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E2723"/>
          <w:sz w:val="44"/>
          <w:szCs w:val="44"/>
        </w:rPr>
        <w:t xml:space="preserve">FNB Sales Case Study</w:t>
      </w:r>
    </w:p>
    <w:p>
      <w:pPr>
        <w:spacing w:after="400"/>
      </w:pPr>
      <w:r>
        <w:rPr>
          <w:color w:val="A9743B"/>
          <w:sz w:val="26"/>
          <w:szCs w:val="26"/>
        </w:rPr>
        <w:t xml:space="preserve">Project Description &amp; Next Steps</w:t>
      </w:r>
    </w:p>
    <w:p>
      <w:pPr>
        <w:pStyle w:val="Heading1"/>
        <w:spacing w:after="140" w:before="280"/>
      </w:pPr>
      <w:r>
        <w:t xml:space="preserve">1. Project Overview</w:t>
      </w:r>
    </w:p>
    <w:p>
      <w:pPr>
        <w:spacing w:after="160"/>
      </w:pPr>
      <w:r>
        <w:t xml:space="preserve">This case study analyzes three years of daily sales data (1,053 trading days, December 2013 to November 2016) for a single retail product. The dataset provides four fields — Date, Sales, Cost of Sales, and Quantity Sold — aggregated at a daily level. The objective was to derive pricing and profitability metrics, identify promotional periods and measure their impact on demand, and surface any additional insights of business value.</w:t>
      </w:r>
    </w:p>
    <w:p>
      <w:pPr>
        <w:spacing w:after="160"/>
      </w:pPr>
      <w:r>
        <w:t xml:space="preserve">The exercise was framed as a data analyst assessment: the emphasis was as much on process and reasoning as on the final numbers, so this document also sets out the working method used and what would come next if this were a live piece of analysis rather than a case study.</w:t>
      </w:r>
    </w:p>
    <w:p>
      <w:pPr>
        <w:pStyle w:val="Heading1"/>
        <w:spacing w:after="140" w:before="280"/>
      </w:pPr>
      <w:r>
        <w:t xml:space="preserve">2. Objective</w:t>
      </w:r>
    </w:p>
    <w:p>
      <w:pPr>
        <w:pStyle w:val="ListParagraph"/>
        <w:numPr>
          <w:ilvl w:val="0"/>
          <w:numId w:val="1"/>
        </w:numPr>
        <w:spacing w:after="80"/>
      </w:pPr>
      <w:r>
        <w:t xml:space="preserve">Calculate the daily sales price per unit and the average unit sales price</w:t>
      </w:r>
    </w:p>
    <w:p>
      <w:pPr>
        <w:pStyle w:val="ListParagraph"/>
        <w:numPr>
          <w:ilvl w:val="0"/>
          <w:numId w:val="1"/>
        </w:numPr>
        <w:spacing w:after="80"/>
      </w:pPr>
      <w:r>
        <w:t xml:space="preserve">Calculate daily % gross profit and % gross profit per unit</w:t>
      </w:r>
    </w:p>
    <w:p>
      <w:pPr>
        <w:pStyle w:val="ListParagraph"/>
        <w:numPr>
          <w:ilvl w:val="0"/>
          <w:numId w:val="1"/>
        </w:numPr>
        <w:spacing w:after="80"/>
      </w:pPr>
      <w:r>
        <w:t xml:space="preserve">Identify 3 promotional periods and calculate price elasticity of demand for each</w:t>
      </w:r>
    </w:p>
    <w:p>
      <w:pPr>
        <w:pStyle w:val="ListParagraph"/>
        <w:numPr>
          <w:ilvl w:val="0"/>
          <w:numId w:val="1"/>
        </w:numPr>
        <w:spacing w:after="80"/>
      </w:pPr>
      <w:r>
        <w:t xml:space="preserve">Assess whether the product performs better or worse when sold at a promotional price</w:t>
      </w:r>
    </w:p>
    <w:p>
      <w:pPr>
        <w:pStyle w:val="ListParagraph"/>
        <w:numPr>
          <w:ilvl w:val="0"/>
          <w:numId w:val="1"/>
        </w:numPr>
        <w:spacing w:after="80"/>
      </w:pPr>
      <w:r>
        <w:t xml:space="preserve">Derive further insights beyond the brief</w:t>
      </w:r>
    </w:p>
    <w:p>
      <w:pPr>
        <w:pStyle w:val="Heading1"/>
        <w:spacing w:after="140" w:before="280"/>
      </w:pPr>
      <w:r>
        <w:t xml:space="preserve">3. Methodology</w:t>
      </w:r>
    </w:p>
    <w:p>
      <w:pPr>
        <w:spacing w:after="160"/>
      </w:pPr>
      <w:r>
        <w:rPr>
          <w:b/>
          <w:bCs/>
        </w:rPr>
        <w:t xml:space="preserve">Daily unit economics: </w:t>
      </w:r>
    </w:p>
    <w:p>
      <w:pPr>
        <w:spacing w:after="160"/>
      </w:pPr>
      <w:r>
        <w:t xml:space="preserve">Price per unit, cost per unit, gross profit, and gross profit % were calculated directly from the raw columns. The average unit sales price was calculated as a Rand-weighted average (total Sales ÷ total Quantity), not a simple average of daily prices, so that high-volume days are correctly weighted.</w:t>
      </w:r>
    </w:p>
    <w:p>
      <w:pPr>
        <w:spacing w:after="160"/>
      </w:pPr>
      <w:r>
        <w:rPr>
          <w:b/>
          <w:bCs/>
        </w:rPr>
        <w:t xml:space="preserve">Promotional period detection: </w:t>
      </w:r>
    </w:p>
    <w:p>
      <w:pPr>
        <w:spacing w:after="160"/>
      </w:pPr>
      <w:r>
        <w:t xml:space="preserve">The dataset contains no explicit promotion flag, so promotional periods were inferred statistically — days priced more than one standard deviation below a baseline were flagged, then grouped into continuous runs. This was validated with a second, independent method (a rolling 14-day z-score, implemented in PySpark) rather than relying on a single detection pass. Two of the three selected periods were confirmed directly by both methods; the third required manual judgement after the automated check was skewed by a one-day outlier price spike immediately preceding it. This limitation is disclosed rather than smoothed over, as the underlying price drop and volume increase are still clearly present in the raw data.</w:t>
      </w:r>
    </w:p>
    <w:p>
      <w:pPr>
        <w:spacing w:after="160"/>
      </w:pPr>
      <w:r>
        <w:rPr>
          <w:b/>
          <w:bCs/>
        </w:rPr>
        <w:t xml:space="preserve">Price elasticity of demand: </w:t>
      </w:r>
    </w:p>
    <w:p>
      <w:pPr>
        <w:spacing w:after="160"/>
      </w:pPr>
      <w:r>
        <w:t xml:space="preserve">Calculated as % change in quantity sold ÷ % change in price, comparing each promotional window to the 14 trading days immediately prior.</w:t>
      </w:r>
    </w:p>
    <w:p>
      <w:pPr>
        <w:pStyle w:val="Heading1"/>
        <w:spacing w:after="140" w:before="280"/>
      </w:pPr>
      <w:r>
        <w:t xml:space="preserve">4. Key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3E2723" w:val="clear"/>
          </w:tcPr>
          <w:p>
            <w:r>
              <w:rPr>
                <w:b/>
                <w:bCs/>
                <w:color w:val="FFFFFF"/>
                <w:sz w:val="20"/>
                <w:szCs w:val="20"/>
              </w:rPr>
              <w:t xml:space="preserve">Metric</w:t>
            </w:r>
          </w:p>
        </w:tc>
        <w:tc>
          <w:tcPr>
            <w:tcW w:type="dxa" w:w="4675"/>
            <w:shd w:fill="3E2723" w:val="clear"/>
          </w:tcPr>
          <w:p>
            <w:r>
              <w:rPr>
                <w:b/>
                <w:bCs/>
                <w:color w:val="FFFFFF"/>
                <w:sz w:val="20"/>
                <w:szCs w:val="20"/>
              </w:rPr>
              <w:t xml:space="preserve">Value</w:t>
            </w:r>
          </w:p>
        </w:tc>
      </w:tr>
      <w:tr>
        <w:tc>
          <w:tcPr>
            <w:tcW w:type="dxa" w:w="4675"/>
          </w:tcPr>
          <w:p>
            <w:r>
              <w:rPr>
                <w:b w:val="false"/>
                <w:bCs w:val="false"/>
                <w:color w:val="000000"/>
                <w:sz w:val="20"/>
                <w:szCs w:val="20"/>
              </w:rPr>
              <w:t xml:space="preserve">Average unit price (Rand-weighted)</w:t>
            </w:r>
          </w:p>
        </w:tc>
        <w:tc>
          <w:tcPr>
            <w:tcW w:type="dxa" w:w="4675"/>
          </w:tcPr>
          <w:p>
            <w:r>
              <w:rPr>
                <w:b w:val="false"/>
                <w:bCs w:val="false"/>
                <w:color w:val="000000"/>
                <w:sz w:val="20"/>
                <w:szCs w:val="20"/>
              </w:rPr>
              <w:t xml:space="preserve">R35.40</w:t>
            </w:r>
          </w:p>
        </w:tc>
      </w:tr>
      <w:tr>
        <w:tc>
          <w:tcPr>
            <w:tcW w:type="dxa" w:w="4675"/>
          </w:tcPr>
          <w:p>
            <w:r>
              <w:rPr>
                <w:b w:val="false"/>
                <w:bCs w:val="false"/>
                <w:color w:val="000000"/>
                <w:sz w:val="20"/>
                <w:szCs w:val="20"/>
              </w:rPr>
              <w:t xml:space="preserve">Overall gross profit %</w:t>
            </w:r>
          </w:p>
        </w:tc>
        <w:tc>
          <w:tcPr>
            <w:tcW w:type="dxa" w:w="4675"/>
          </w:tcPr>
          <w:p>
            <w:r>
              <w:rPr>
                <w:b w:val="false"/>
                <w:bCs w:val="false"/>
                <w:color w:val="000000"/>
                <w:sz w:val="20"/>
                <w:szCs w:val="20"/>
              </w:rPr>
              <w:t xml:space="preserve">≈ -3.8%</w:t>
            </w:r>
          </w:p>
        </w:tc>
      </w:tr>
      <w:tr>
        <w:tc>
          <w:tcPr>
            <w:tcW w:type="dxa" w:w="4675"/>
          </w:tcPr>
          <w:p>
            <w:r>
              <w:rPr>
                <w:b w:val="false"/>
                <w:bCs w:val="false"/>
                <w:color w:val="000000"/>
                <w:sz w:val="20"/>
                <w:szCs w:val="20"/>
              </w:rPr>
              <w:t xml:space="preserve">Total gross profit / (loss)</w:t>
            </w:r>
          </w:p>
        </w:tc>
        <w:tc>
          <w:tcPr>
            <w:tcW w:type="dxa" w:w="4675"/>
          </w:tcPr>
          <w:p>
            <w:r>
              <w:rPr>
                <w:b w:val="false"/>
                <w:bCs w:val="false"/>
                <w:color w:val="000000"/>
                <w:sz w:val="20"/>
                <w:szCs w:val="20"/>
              </w:rPr>
              <w:t xml:space="preserve">≈ -R7.1 million</w:t>
            </w:r>
          </w:p>
        </w:tc>
      </w:tr>
      <w:tr>
        <w:tc>
          <w:tcPr>
            <w:tcW w:type="dxa" w:w="4675"/>
          </w:tcPr>
          <w:p>
            <w:r>
              <w:rPr>
                <w:b w:val="false"/>
                <w:bCs w:val="false"/>
                <w:color w:val="000000"/>
                <w:sz w:val="20"/>
                <w:szCs w:val="20"/>
              </w:rPr>
              <w:t xml:space="preserve">PED — Period 1 (24 Sep–6 Oct 2014)</w:t>
            </w:r>
          </w:p>
        </w:tc>
        <w:tc>
          <w:tcPr>
            <w:tcW w:type="dxa" w:w="4675"/>
          </w:tcPr>
          <w:p>
            <w:r>
              <w:rPr>
                <w:b w:val="false"/>
                <w:bCs w:val="false"/>
                <w:color w:val="000000"/>
                <w:sz w:val="20"/>
                <w:szCs w:val="20"/>
              </w:rPr>
              <w:t xml:space="preserve">-46.2</w:t>
            </w:r>
          </w:p>
        </w:tc>
      </w:tr>
      <w:tr>
        <w:tc>
          <w:tcPr>
            <w:tcW w:type="dxa" w:w="4675"/>
          </w:tcPr>
          <w:p>
            <w:r>
              <w:rPr>
                <w:b w:val="false"/>
                <w:bCs w:val="false"/>
                <w:color w:val="000000"/>
                <w:sz w:val="20"/>
                <w:szCs w:val="20"/>
              </w:rPr>
              <w:t xml:space="preserve">PED — Period 2 (23 Sep–6 Oct 2015)</w:t>
            </w:r>
          </w:p>
        </w:tc>
        <w:tc>
          <w:tcPr>
            <w:tcW w:type="dxa" w:w="4675"/>
          </w:tcPr>
          <w:p>
            <w:r>
              <w:rPr>
                <w:b w:val="false"/>
                <w:bCs w:val="false"/>
                <w:color w:val="000000"/>
                <w:sz w:val="20"/>
                <w:szCs w:val="20"/>
              </w:rPr>
              <w:t xml:space="preserve">-34.4</w:t>
            </w:r>
          </w:p>
        </w:tc>
      </w:tr>
      <w:tr>
        <w:tc>
          <w:tcPr>
            <w:tcW w:type="dxa" w:w="4675"/>
          </w:tcPr>
          <w:p>
            <w:r>
              <w:rPr>
                <w:b w:val="false"/>
                <w:bCs w:val="false"/>
                <w:color w:val="000000"/>
                <w:sz w:val="20"/>
                <w:szCs w:val="20"/>
              </w:rPr>
              <w:t xml:space="preserve">PED — Period 3 (23 Jun–6 Jul 2016)</w:t>
            </w:r>
          </w:p>
        </w:tc>
        <w:tc>
          <w:tcPr>
            <w:tcW w:type="dxa" w:w="4675"/>
          </w:tcPr>
          <w:p>
            <w:r>
              <w:rPr>
                <w:b w:val="false"/>
                <w:bCs w:val="false"/>
                <w:color w:val="000000"/>
                <w:sz w:val="20"/>
                <w:szCs w:val="20"/>
              </w:rPr>
              <w:t xml:space="preserve">-11.3</w:t>
            </w:r>
          </w:p>
        </w:tc>
      </w:tr>
      <w:tr>
        <w:tc>
          <w:tcPr>
            <w:tcW w:type="dxa" w:w="4675"/>
          </w:tcPr>
          <w:p>
            <w:r>
              <w:rPr>
                <w:b w:val="false"/>
                <w:bCs w:val="false"/>
                <w:color w:val="000000"/>
                <w:sz w:val="20"/>
                <w:szCs w:val="20"/>
              </w:rPr>
              <w:t xml:space="preserve">Highest-volume trading day</w:t>
            </w:r>
          </w:p>
        </w:tc>
        <w:tc>
          <w:tcPr>
            <w:tcW w:type="dxa" w:w="4675"/>
          </w:tcPr>
          <w:p>
            <w:r>
              <w:rPr>
                <w:b w:val="false"/>
                <w:bCs w:val="false"/>
                <w:color w:val="000000"/>
                <w:sz w:val="20"/>
                <w:szCs w:val="20"/>
              </w:rPr>
              <w:t xml:space="preserve">Saturday</w:t>
            </w:r>
          </w:p>
        </w:tc>
      </w:tr>
      <w:tr>
        <w:tc>
          <w:tcPr>
            <w:tcW w:type="dxa" w:w="4675"/>
          </w:tcPr>
          <w:p>
            <w:r>
              <w:rPr>
                <w:b w:val="false"/>
                <w:bCs w:val="false"/>
                <w:color w:val="000000"/>
                <w:sz w:val="20"/>
                <w:szCs w:val="20"/>
              </w:rPr>
              <w:t xml:space="preserve">Year-over-year avg. daily sales change</w:t>
            </w:r>
          </w:p>
        </w:tc>
        <w:tc>
          <w:tcPr>
            <w:tcW w:type="dxa" w:w="4675"/>
          </w:tcPr>
          <w:p>
            <w:r>
              <w:rPr>
                <w:b w:val="false"/>
                <w:bCs w:val="false"/>
                <w:color w:val="000000"/>
                <w:sz w:val="20"/>
                <w:szCs w:val="20"/>
              </w:rPr>
              <w:t xml:space="preserve">-21% (2015), -17% (2016)</w:t>
            </w:r>
          </w:p>
        </w:tc>
      </w:tr>
    </w:tbl>
    <w:p>
      <w:pPr>
        <w:spacing w:after="200"/>
      </w:pPr>
    </w:p>
    <w:p>
      <w:pPr>
        <w:spacing w:after="160"/>
      </w:pPr>
      <w:r>
        <w:t xml:space="preserve">Demand is highly elastic across all three promotional periods reviewed: small price reductions produced substantially larger increases in quantity sold, and total Rand revenue rose in every period despite a compressed gross profit percentage. However, the product has been sold at an overall loss across the full three-year period, and this loss is not a one-off: average daily sales and gross profit percentage have both declined in each successive year, with the sharpest deterioration in 2015. Weekend trading (particularly Friday and Saturday) accounts for the highest sales volume but also the largest absolute Rand shortfall in gross profit, meaning the loss scales with activity rather than being fixed.</w:t>
      </w:r>
    </w:p>
    <w:p>
      <w:pPr>
        <w:pStyle w:val="Heading1"/>
        <w:spacing w:after="140" w:before="280"/>
      </w:pPr>
      <w:r>
        <w:t xml:space="preserve">5. Decision &amp; Recommendation</w:t>
      </w:r>
    </w:p>
    <w:p>
      <w:pPr>
        <w:spacing w:after="160"/>
      </w:pPr>
      <w:r>
        <w:rPr>
          <w:b/>
          <w:bCs/>
          <w:color w:val="3E2723"/>
        </w:rPr>
        <w:t xml:space="preserve">Do not run further promotions on this product until its underlying cost structure is addressed.</w:t>
      </w:r>
    </w:p>
    <w:p>
      <w:pPr>
        <w:spacing w:after="160"/>
      </w:pPr>
      <w:r>
        <w:t xml:space="preserve">Promotions clearly work from a volume and revenue perspective given how elastic demand is. However, applying further promotions to a product that is already loss-making and in structural decline would accelerate losses rather than resolve them. The recommended sequence is: first investigate the drivers of Cost of Sales (supplier pricing, shrinkage, cost allocation — none of which can be determined from this dataset alone); once gross margin is positive, promotions become a genuinely effective lever given the demonstrated elasticity; and any margin correction should be prioritised on the highest-volume trading days (Friday/Saturday), where the Rand impact is greatest.</w:t>
      </w:r>
    </w:p>
    <w:p>
      <w:pPr>
        <w:pStyle w:val="Heading1"/>
        <w:spacing w:after="140" w:before="280"/>
      </w:pPr>
      <w:r>
        <w:t xml:space="preserve">6. Deliverables</w:t>
      </w:r>
    </w:p>
    <w:p>
      <w:pPr>
        <w:pStyle w:val="ListParagraph"/>
        <w:numPr>
          <w:ilvl w:val="0"/>
          <w:numId w:val="1"/>
        </w:numPr>
        <w:spacing w:after="80"/>
      </w:pPr>
      <w:r>
        <w:t xml:space="preserve">Excel workbook — daily metrics, promotional/elasticity analysis, monthly and day-of-week summaries, charts</w:t>
      </w:r>
    </w:p>
    <w:p>
      <w:pPr>
        <w:pStyle w:val="ListParagraph"/>
        <w:numPr>
          <w:ilvl w:val="0"/>
          <w:numId w:val="1"/>
        </w:numPr>
        <w:spacing w:after="80"/>
      </w:pPr>
      <w:r>
        <w:t xml:space="preserve">SQL scripts (Databricks) — base metrics, promo detection, elasticity, year-over-year comparison</w:t>
      </w:r>
    </w:p>
    <w:p>
      <w:pPr>
        <w:pStyle w:val="ListParagraph"/>
        <w:numPr>
          <w:ilvl w:val="0"/>
          <w:numId w:val="1"/>
        </w:numPr>
        <w:spacing w:after="80"/>
      </w:pPr>
      <w:r>
        <w:t xml:space="preserve">PySpark notebook — rolling averages, independent promo-detection cross-check, elasticity validation</w:t>
      </w:r>
    </w:p>
    <w:p>
      <w:pPr>
        <w:pStyle w:val="ListParagraph"/>
        <w:numPr>
          <w:ilvl w:val="0"/>
          <w:numId w:val="1"/>
        </w:numPr>
        <w:spacing w:after="80"/>
      </w:pPr>
      <w:r>
        <w:t xml:space="preserve">PowerPoint presentation — findings and recommendation</w:t>
      </w:r>
    </w:p>
    <w:p>
      <w:pPr>
        <w:pStyle w:val="ListParagraph"/>
        <w:numPr>
          <w:ilvl w:val="0"/>
          <w:numId w:val="1"/>
        </w:numPr>
        <w:spacing w:after="80"/>
      </w:pPr>
      <w:r>
        <w:t xml:space="preserve">Process documentation — notes covering data exploration, feature engineering, and communication planning</w:t>
      </w:r>
    </w:p>
    <w:p>
      <w:pPr>
        <w:pStyle w:val="Heading1"/>
        <w:spacing w:after="140" w:before="280"/>
      </w:pPr>
      <w:r>
        <w:t xml:space="preserve">7. Limitations</w:t>
      </w:r>
    </w:p>
    <w:p>
      <w:pPr>
        <w:pStyle w:val="ListParagraph"/>
        <w:numPr>
          <w:ilvl w:val="0"/>
          <w:numId w:val="1"/>
        </w:numPr>
        <w:spacing w:after="80"/>
      </w:pPr>
      <w:r>
        <w:t xml:space="preserve">Promotional periods are inferred statistically; the dataset contains no ground-truth promotion flag</w:t>
      </w:r>
    </w:p>
    <w:p>
      <w:pPr>
        <w:pStyle w:val="ListParagraph"/>
        <w:numPr>
          <w:ilvl w:val="0"/>
          <w:numId w:val="1"/>
        </w:numPr>
        <w:spacing w:after="80"/>
      </w:pPr>
      <w:r>
        <w:t xml:space="preserve">Elasticity values in this dataset are markedly higher than typical real-world retail elasticity, and are treated as a feature of this simulated dataset rather than a general benchmark</w:t>
      </w:r>
    </w:p>
    <w:p>
      <w:pPr>
        <w:pStyle w:val="ListParagraph"/>
        <w:numPr>
          <w:ilvl w:val="0"/>
          <w:numId w:val="1"/>
        </w:numPr>
        <w:spacing w:after="80"/>
      </w:pPr>
      <w:r>
        <w:t xml:space="preserve">2013 and 2016 are partial years within the dataset; year-over-year figures are normalised to a per-trading-day basis to account for this</w:t>
      </w:r>
    </w:p>
    <w:p>
      <w:pPr>
        <w:pStyle w:val="ListParagraph"/>
        <w:numPr>
          <w:ilvl w:val="0"/>
          <w:numId w:val="1"/>
        </w:numPr>
        <w:spacing w:after="80"/>
      </w:pPr>
      <w:r>
        <w:t xml:space="preserve">Cost of Sales drivers cannot be diagnosed from this dataset alone — it contains no supplier, shrinkage, or cost-allocation detail</w:t>
      </w:r>
    </w:p>
    <w:p>
      <w:pPr>
        <w:pStyle w:val="Heading1"/>
        <w:spacing w:after="140" w:before="280"/>
      </w:pPr>
      <w:r>
        <w:t xml:space="preserve">8. Next Steps</w:t>
      </w:r>
    </w:p>
    <w:p>
      <w:pPr>
        <w:pStyle w:val="ListParagraph"/>
        <w:numPr>
          <w:ilvl w:val="0"/>
          <w:numId w:val="1"/>
        </w:numPr>
        <w:spacing w:after="80"/>
      </w:pPr>
      <w:r>
        <w:t xml:space="preserve">Obtain a breakdown of Cost of Sales to identify what is driving the overall margin shortfall</w:t>
      </w:r>
    </w:p>
    <w:p>
      <w:pPr>
        <w:pStyle w:val="ListParagraph"/>
        <w:numPr>
          <w:ilvl w:val="0"/>
          <w:numId w:val="1"/>
        </w:numPr>
        <w:spacing w:after="80"/>
      </w:pPr>
      <w:r>
        <w:t xml:space="preserve">Confirm the 3 selected promotional periods against any actual internal promotions calendar, if one exists, rather than relying solely on statistical inference</w:t>
      </w:r>
    </w:p>
    <w:p>
      <w:pPr>
        <w:pStyle w:val="ListParagraph"/>
        <w:numPr>
          <w:ilvl w:val="0"/>
          <w:numId w:val="1"/>
        </w:numPr>
        <w:spacing w:after="80"/>
      </w:pPr>
      <w:r>
        <w:t xml:space="preserve">Extend the elasticity analysis to additional promotional periods to test whether the pattern holds consistently</w:t>
      </w:r>
    </w:p>
    <w:p>
      <w:pPr>
        <w:pStyle w:val="ListParagraph"/>
        <w:numPr>
          <w:ilvl w:val="0"/>
          <w:numId w:val="1"/>
        </w:numPr>
        <w:spacing w:after="80"/>
      </w:pPr>
      <w:r>
        <w:t xml:space="preserve">Investigate the cause of the 3-year volume and margin decline (competition, pricing strategy, product lifecycle, or external factors)</w:t>
      </w:r>
    </w:p>
    <w:p>
      <w:pPr>
        <w:pStyle w:val="ListParagraph"/>
        <w:numPr>
          <w:ilvl w:val="0"/>
          <w:numId w:val="1"/>
        </w:numPr>
        <w:spacing w:after="80"/>
      </w:pPr>
      <w:r>
        <w:t xml:space="preserve">Build a live-refreshing dashboard (Databricks AI/BI) so these metrics can be monitored on an ongoing basis rather than as a one-off analysis</w:t>
      </w:r>
    </w:p>
    <w:p>
      <w:pPr>
        <w:pStyle w:val="ListParagraph"/>
        <w:numPr>
          <w:ilvl w:val="0"/>
          <w:numId w:val="1"/>
        </w:numPr>
        <w:spacing w:after="80"/>
      </w:pPr>
      <w:r>
        <w:t xml:space="preserve">Review Friday/Saturday operations specifically, given they carry the largest concentration of Rand losses</w:t>
      </w:r>
    </w:p>
    <w:p>
      <w:pPr>
        <w:spacing w:after="300"/>
      </w:pPr>
    </w:p>
    <w:p>
      <w:r>
        <w:rPr>
          <w:i/>
          <w:iCs/>
          <w:color w:val="595959"/>
          <w:sz w:val="18"/>
          <w:szCs w:val="18"/>
        </w:rPr>
        <w:t xml:space="preserve">Data Analyst Case Study | Dataset: Dec 2013 – Nov 2016 | 1,053 trading days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2026-07-31T19:30:08.026Z</dcterms:created>
  <dcterms:modified xsi:type="dcterms:W3CDTF">2026-07-31T19:30:08.040Z</dcterms:modified>
</cp:coreProperties>
</file>

<file path=docProps/custom.xml><?xml version="1.0" encoding="utf-8"?>
<Properties xmlns="http://schemas.openxmlformats.org/officeDocument/2006/custom-properties" xmlns:vt="http://schemas.openxmlformats.org/officeDocument/2006/docPropsVTypes"/>
</file>