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phoenix:</w:t>
      </w:r>
      <w:r>
        <w:t xml:space="preserve"> </w:t>
      </w:r>
      <w:r>
        <w:t xml:space="preserve">An</w:t>
      </w:r>
      <w:r>
        <w:t xml:space="preserve"> </w:t>
      </w:r>
      <w:r>
        <w:t xml:space="preserve">R</w:t>
      </w:r>
      <w:r>
        <w:t xml:space="preserve"> </w:t>
      </w:r>
      <w:r>
        <w:t xml:space="preserve">package</w:t>
      </w:r>
      <w:r>
        <w:t xml:space="preserve"> </w:t>
      </w:r>
      <w:r>
        <w:t xml:space="preserve">and</w:t>
      </w:r>
      <w:r>
        <w:t xml:space="preserve"> </w:t>
      </w:r>
      <w:r>
        <w:t xml:space="preserve">Python</w:t>
      </w:r>
      <w:r>
        <w:t xml:space="preserve"> </w:t>
      </w:r>
      <w:r>
        <w:t xml:space="preserve">module</w:t>
      </w:r>
      <w:r>
        <w:t xml:space="preserve"> </w:t>
      </w:r>
      <w:r>
        <w:t xml:space="preserve">for</w:t>
      </w:r>
      <w:r>
        <w:t xml:space="preserve"> </w:t>
      </w:r>
      <w:r>
        <w:t xml:space="preserve">calculating</w:t>
      </w:r>
      <w:r>
        <w:t xml:space="preserve"> </w:t>
      </w:r>
      <w:r>
        <w:t xml:space="preserve">the</w:t>
      </w:r>
      <w:r>
        <w:t xml:space="preserve"> </w:t>
      </w:r>
      <w:r>
        <w:t xml:space="preserve">Phoenix</w:t>
      </w:r>
      <w:r>
        <w:t xml:space="preserve"> </w:t>
      </w:r>
      <w:r>
        <w:t xml:space="preserve">Pediatric</w:t>
      </w:r>
      <w:r>
        <w:t xml:space="preserve"> </w:t>
      </w:r>
      <w:r>
        <w:t xml:space="preserve">Sepsis</w:t>
      </w:r>
      <w:r>
        <w:t xml:space="preserve"> </w:t>
      </w:r>
      <w:r>
        <w:t xml:space="preserve">Score</w:t>
      </w:r>
      <w:r>
        <w:t xml:space="preserve"> </w:t>
      </w:r>
      <w:r>
        <w:t xml:space="preserve">and</w:t>
      </w:r>
      <w:r>
        <w:t xml:space="preserve"> </w:t>
      </w:r>
      <w:r>
        <w:t xml:space="preserve">Criteria</w:t>
      </w:r>
    </w:p>
    <w:p>
      <w:pPr>
        <w:pStyle w:val="FirstParagraph"/>
      </w:pPr>
      <w:r>
        <w:rPr>
          <w:bCs/>
          <w:b/>
        </w:rPr>
        <w:t xml:space="preserve">Authors</w:t>
      </w:r>
      <w:r>
        <w:t xml:space="preserve">: Peter E. DeWitt</w:t>
      </w:r>
      <w:r>
        <w:rPr>
          <w:vertAlign w:val="superscript"/>
        </w:rPr>
        <w:t xml:space="preserve">1</w:t>
      </w:r>
      <w:r>
        <w:t xml:space="preserve">, PhD; Seth Russell</w:t>
      </w:r>
      <w:r>
        <w:rPr>
          <w:vertAlign w:val="superscript"/>
        </w:rPr>
        <w:t xml:space="preserve">1</w:t>
      </w:r>
      <w:r>
        <w:t xml:space="preserve">, MS; Margaret N. Rebull</w:t>
      </w:r>
      <w:r>
        <w:rPr>
          <w:vertAlign w:val="superscript"/>
        </w:rPr>
        <w:t xml:space="preserve">1</w:t>
      </w:r>
      <w:r>
        <w:t xml:space="preserve">, MA; L. Nelson Sanchez-Pinto</w:t>
      </w:r>
      <w:r>
        <w:rPr>
          <w:vertAlign w:val="superscript"/>
        </w:rPr>
        <w:t xml:space="preserve">2</w:t>
      </w:r>
      <w:r>
        <w:t xml:space="preserve">, MD, MBI; Tellen D. Bennett</w:t>
      </w:r>
      <w:r>
        <w:rPr>
          <w:vertAlign w:val="superscript"/>
        </w:rPr>
        <w:t xml:space="preserve">1,3</w:t>
      </w:r>
      <w:r>
        <w:t xml:space="preserve">, MD, MS</w:t>
      </w:r>
    </w:p>
    <w:p>
      <w:pPr>
        <w:pStyle w:val="BodyText"/>
      </w:pPr>
      <w:r>
        <w:rPr>
          <w:u w:val="single"/>
        </w:rPr>
        <w:t xml:space="preserve">Author affiliations:</w:t>
      </w:r>
    </w:p>
    <w:p>
      <w:pPr>
        <w:pStyle w:val="BodyText"/>
      </w:pPr>
      <w:r>
        <w:rPr>
          <w:vertAlign w:val="superscript"/>
        </w:rPr>
        <w:t xml:space="preserve">1</w:t>
      </w:r>
      <w:r>
        <w:t xml:space="preserve"> </w:t>
      </w:r>
      <w:r>
        <w:t xml:space="preserve">Department of Biomedical Informatics, University of Colorado School of Medicine, University of Colorado Anschutz Medical Campus, Aurora, Colorado, USA</w:t>
      </w:r>
    </w:p>
    <w:p>
      <w:pPr>
        <w:pStyle w:val="BodyText"/>
      </w:pPr>
      <w:r>
        <w:rPr>
          <w:vertAlign w:val="superscript"/>
        </w:rPr>
        <w:t xml:space="preserve">2</w:t>
      </w:r>
      <w:r>
        <w:t xml:space="preserve"> </w:t>
      </w:r>
      <w:r>
        <w:t xml:space="preserve">Departments of Pediatrics (Critical Care) and Preventive Medicine (Health and Biomedical Informatics), Northwestern University Feinberg School of Medicine, and Ann and Robert H. Lurie Children’s Hospital of Chicago, Chicago, Illinois, USA</w:t>
      </w:r>
    </w:p>
    <w:p>
      <w:pPr>
        <w:pStyle w:val="BodyText"/>
      </w:pPr>
      <w:r>
        <w:rPr>
          <w:vertAlign w:val="superscript"/>
        </w:rPr>
        <w:t xml:space="preserve">3</w:t>
      </w:r>
      <w:r>
        <w:t xml:space="preserve"> </w:t>
      </w:r>
      <w:r>
        <w:t xml:space="preserve">Section of Critical Care Medicine, Department of Pediatrics, University of Colorado School of Medicine, University of Colorado Anschutz Medical Campus, Aurora, Colorado, USA</w:t>
      </w:r>
    </w:p>
    <w:p>
      <w:pPr>
        <w:pStyle w:val="BodyText"/>
      </w:pPr>
      <w:r>
        <w:rPr>
          <w:bCs/>
          <w:b/>
          <w:u w:val="single"/>
        </w:rPr>
        <w:t xml:space="preserve">Correspondence:</w:t>
      </w:r>
    </w:p>
    <w:p>
      <w:pPr>
        <w:pStyle w:val="BodyText"/>
      </w:pPr>
      <w:r>
        <w:t xml:space="preserve">Peter E. DeWitt, PhD</w:t>
      </w:r>
    </w:p>
    <w:p>
      <w:pPr>
        <w:pStyle w:val="BodyText"/>
      </w:pPr>
      <w:r>
        <w:t xml:space="preserve">Department of Biomedical Informatics</w:t>
      </w:r>
    </w:p>
    <w:p>
      <w:pPr>
        <w:pStyle w:val="BodyText"/>
      </w:pPr>
      <w:r>
        <w:t xml:space="preserve">University of Colorado School of Medicine</w:t>
      </w:r>
    </w:p>
    <w:p>
      <w:pPr>
        <w:pStyle w:val="BodyText"/>
      </w:pPr>
      <w:r>
        <w:t xml:space="preserve">1890 N. Revere Court</w:t>
      </w:r>
    </w:p>
    <w:p>
      <w:pPr>
        <w:pStyle w:val="BodyText"/>
      </w:pPr>
      <w:r>
        <w:t xml:space="preserve">Mailstop F600</w:t>
      </w:r>
    </w:p>
    <w:p>
      <w:pPr>
        <w:pStyle w:val="BodyText"/>
      </w:pPr>
      <w:r>
        <w:t xml:space="preserve">Aurora, Colorado, 80045</w:t>
      </w:r>
    </w:p>
    <w:p>
      <w:pPr>
        <w:pStyle w:val="BodyText"/>
      </w:pPr>
      <w:r>
        <w:t xml:space="preserve">Email:</w:t>
      </w:r>
      <w:r>
        <w:t xml:space="preserve"> </w:t>
      </w:r>
      <w:hyperlink r:id="rId20">
        <w:r>
          <w:rPr>
            <w:rStyle w:val="Hyperlink"/>
          </w:rPr>
          <w:t xml:space="preserve">peter.dewitt@cuanschutz.edu</w:t>
        </w:r>
      </w:hyperlink>
    </w:p>
    <w:p>
      <w:pPr>
        <w:pStyle w:val="BodyText"/>
      </w:pPr>
      <w:r>
        <w:rPr>
          <w:bCs/>
          <w:b/>
          <w:u w:val="single"/>
        </w:rPr>
        <w:t xml:space="preserve">Article type:</w:t>
      </w:r>
      <w:r>
        <w:t xml:space="preserve"> </w:t>
      </w:r>
      <w:r>
        <w:t xml:space="preserve">Application Note</w:t>
      </w:r>
    </w:p>
    <w:p>
      <w:pPr>
        <w:pStyle w:val="BodyText"/>
      </w:pPr>
      <w:r>
        <w:rPr>
          <w:bCs/>
          <w:b/>
          <w:u w:val="single"/>
        </w:rPr>
        <w:t xml:space="preserve">Word count:</w:t>
      </w:r>
      <w:r>
        <w:t xml:space="preserve"> </w:t>
      </w:r>
      <w:r>
        <w:t xml:space="preserve">1787 / 2000 (excluding tables)</w:t>
      </w:r>
    </w:p>
    <w:p>
      <w:pPr>
        <w:pStyle w:val="BodyText"/>
      </w:pPr>
      <w:r>
        <w:rPr>
          <w:bCs/>
          <w:b/>
          <w:u w:val="single"/>
        </w:rPr>
        <w:t xml:space="preserve">Tables:</w:t>
      </w:r>
      <w:r>
        <w:t xml:space="preserve"> </w:t>
      </w:r>
      <w:r>
        <w:t xml:space="preserve">2</w:t>
      </w:r>
    </w:p>
    <w:p>
      <w:pPr>
        <w:pStyle w:val="BodyText"/>
      </w:pPr>
      <w:r>
        <w:rPr>
          <w:bCs/>
          <w:b/>
          <w:u w:val="single"/>
        </w:rPr>
        <w:t xml:space="preserve">Figures:</w:t>
      </w:r>
      <w:r>
        <w:t xml:space="preserve"> </w:t>
      </w:r>
      <w:r>
        <w:t xml:space="preserve">0</w:t>
      </w:r>
    </w:p>
    <w:p>
      <w:pPr>
        <w:pStyle w:val="BodyText"/>
      </w:pPr>
      <w:r>
        <w:rPr>
          <w:bCs/>
          <w:b/>
          <w:u w:val="single"/>
        </w:rPr>
        <w:t xml:space="preserve">Supplementary material:</w:t>
      </w:r>
      <w:r>
        <w:t xml:space="preserve"> </w:t>
      </w:r>
      <w:r>
        <w:t xml:space="preserve">Supplementary Examples</w:t>
      </w:r>
    </w:p>
    <w:p>
      <w:pPr>
        <w:pStyle w:val="BodyText"/>
      </w:pPr>
      <w:r>
        <w:rPr>
          <w:bCs/>
          <w:b/>
          <w:u w:val="single"/>
        </w:rPr>
        <w:t xml:space="preserve">Short running title</w:t>
      </w:r>
      <w:r>
        <w:t xml:space="preserve">: R package and Python module for calculating the Phoenix criteria</w:t>
      </w:r>
    </w:p>
    <w:p>
      <w:pPr>
        <w:pStyle w:val="BodyText"/>
      </w:pPr>
      <w:r>
        <w:rPr>
          <w:bCs/>
          <w:b/>
          <w:u w:val="single"/>
        </w:rPr>
        <w:t xml:space="preserve">Keywords:</w:t>
      </w:r>
      <w:r>
        <w:t xml:space="preserve"> </w:t>
      </w:r>
      <w:r>
        <w:t xml:space="preserve">Sepsis, Septic shock, pediatrics, computer software, EHR</w:t>
      </w:r>
    </w:p>
    <w:p>
      <w:r>
        <w:br w:type="page"/>
      </w:r>
    </w:p>
    <w:bookmarkStart w:id="21" w:name="abstract"/>
    <w:p>
      <w:pPr>
        <w:pStyle w:val="Heading1"/>
      </w:pPr>
      <w:r>
        <w:t xml:space="preserve">Abstract</w:t>
      </w:r>
    </w:p>
    <w:p>
      <w:pPr>
        <w:pStyle w:val="FirstParagraph"/>
      </w:pPr>
      <w:r>
        <w:t xml:space="preserve">words: 145/150 words</w:t>
      </w:r>
    </w:p>
    <w:p>
      <w:pPr>
        <w:pStyle w:val="BodyText"/>
      </w:pPr>
      <w:r>
        <w:rPr>
          <w:bCs/>
          <w:b/>
        </w:rPr>
        <w:t xml:space="preserve">Objectives</w:t>
      </w:r>
    </w:p>
    <w:p>
      <w:pPr>
        <w:pStyle w:val="BodyText"/>
      </w:pPr>
      <w:r>
        <w:t xml:space="preserve">The publication of the Phoenix criteria for pediatric sepsis and septic shock</w:t>
      </w:r>
      <w:r>
        <w:t xml:space="preserve"> </w:t>
      </w:r>
      <w:r>
        <w:t xml:space="preserve">initiates a new era in clinical care and research of pediatric sepsis. Tools to</w:t>
      </w:r>
      <w:r>
        <w:t xml:space="preserve"> </w:t>
      </w:r>
      <w:r>
        <w:t xml:space="preserve">consistently and accurately apply the Phoenix criteria to electronic health</w:t>
      </w:r>
      <w:r>
        <w:t xml:space="preserve"> </w:t>
      </w:r>
      <w:r>
        <w:t xml:space="preserve">records (EHRs) is one part of building a robust and internally consistent body</w:t>
      </w:r>
      <w:r>
        <w:t xml:space="preserve"> </w:t>
      </w:r>
      <w:r>
        <w:t xml:space="preserve">of research across multiple research groups and data sets.</w:t>
      </w:r>
    </w:p>
    <w:p>
      <w:pPr>
        <w:pStyle w:val="BodyText"/>
      </w:pPr>
      <w:r>
        <w:rPr>
          <w:bCs/>
          <w:b/>
        </w:rPr>
        <w:t xml:space="preserve">Materials and Methods</w:t>
      </w:r>
    </w:p>
    <w:p>
      <w:pPr>
        <w:pStyle w:val="BodyText"/>
      </w:pPr>
      <w:r>
        <w:t xml:space="preserve">We developed the</w:t>
      </w:r>
      <w:r>
        <w:t xml:space="preserve"> </w:t>
      </w:r>
      <w:r>
        <w:rPr>
          <w:rStyle w:val="VerbatimChar"/>
        </w:rPr>
        <w:t xml:space="preserve">phoenix</w:t>
      </w:r>
      <w:r>
        <w:t xml:space="preserve"> </w:t>
      </w:r>
      <w:r>
        <w:t xml:space="preserve">R package and Python module to provide researchers</w:t>
      </w:r>
      <w:r>
        <w:t xml:space="preserve"> </w:t>
      </w:r>
      <w:r>
        <w:t xml:space="preserve">with intuitive and simple functions to apply the Phoenix criteria to EHR data.</w:t>
      </w:r>
    </w:p>
    <w:p>
      <w:pPr>
        <w:pStyle w:val="BodyText"/>
      </w:pPr>
      <w:r>
        <w:rPr>
          <w:bCs/>
          <w:b/>
        </w:rPr>
        <w:t xml:space="preserve">Results</w:t>
      </w:r>
    </w:p>
    <w:p>
      <w:pPr>
        <w:pStyle w:val="BodyText"/>
      </w:pPr>
      <w:r>
        <w:t xml:space="preserve">The</w:t>
      </w:r>
      <w:r>
        <w:t xml:space="preserve"> </w:t>
      </w:r>
      <w:r>
        <w:rPr>
          <w:rStyle w:val="VerbatimChar"/>
        </w:rPr>
        <w:t xml:space="preserve">phoenix</w:t>
      </w:r>
      <w:r>
        <w:t xml:space="preserve"> </w:t>
      </w:r>
      <w:r>
        <w:t xml:space="preserve">R package and Python module enable researchers to apply the</w:t>
      </w:r>
      <w:r>
        <w:t xml:space="preserve"> </w:t>
      </w:r>
      <w:r>
        <w:t xml:space="preserve">Phoenix criteria to EHR datasets and derive the relevant indicators, total</w:t>
      </w:r>
      <w:r>
        <w:t xml:space="preserve"> </w:t>
      </w:r>
      <w:r>
        <w:t xml:space="preserve">scores, and sub-scores.</w:t>
      </w:r>
    </w:p>
    <w:p>
      <w:pPr>
        <w:pStyle w:val="BodyText"/>
      </w:pPr>
      <w:r>
        <w:rPr>
          <w:bCs/>
          <w:b/>
        </w:rPr>
        <w:t xml:space="preserve">Conclusions</w:t>
      </w:r>
    </w:p>
    <w:p>
      <w:pPr>
        <w:pStyle w:val="BodyText"/>
      </w:pPr>
      <w:r>
        <w:t xml:space="preserve">The</w:t>
      </w:r>
      <w:r>
        <w:t xml:space="preserve"> </w:t>
      </w:r>
      <w:r>
        <w:rPr>
          <w:rStyle w:val="VerbatimChar"/>
        </w:rPr>
        <w:t xml:space="preserve">phoenix</w:t>
      </w:r>
      <w:r>
        <w:t xml:space="preserve"> </w:t>
      </w:r>
      <w:r>
        <w:t xml:space="preserve">R package and Python model are freely available on CRAN, PyPi, and</w:t>
      </w:r>
      <w:r>
        <w:t xml:space="preserve"> </w:t>
      </w:r>
      <w:r>
        <w:t xml:space="preserve">GitHub. These tools enable the consistent and accurate application of the</w:t>
      </w:r>
      <w:r>
        <w:t xml:space="preserve"> </w:t>
      </w:r>
      <w:r>
        <w:t xml:space="preserve">Phoenix criteria to EHR datasets.</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16" w:after="16"/>
            </w:pPr>
            <w:r>
              <w:t xml:space="preserve">Lay Summary</w:t>
            </w:r>
          </w:p>
        </w:tc>
      </w:tr>
      <w:tr>
        <w:trPr>
          <w:cantSplit/>
        </w:trPr>
        <w:tc>
          <w:tcPr>
            <w:tcMar>
              <w:top w:w="108" w:type="dxa"/>
              <w:bottom w:w="108" w:type="dxa"/>
            </w:tcMar>
          </w:tcPr>
          <w:p>
            <w:pPr>
              <w:pStyle w:val="BodyText"/>
            </w:pPr>
            <w:r>
              <w:t xml:space="preserve">The Phoenix criteria for pediatric sepsis and septic shock mark the beginning of</w:t>
            </w:r>
            <w:r>
              <w:t xml:space="preserve"> </w:t>
            </w:r>
            <w:r>
              <w:t xml:space="preserve">a new era for clinical care and research of pediatric sepsis. The new</w:t>
            </w:r>
            <w:r>
              <w:t xml:space="preserve"> </w:t>
            </w:r>
            <w:r>
              <w:t xml:space="preserve">criteria represent a conceptual shift in defining sepsis, moving away from an</w:t>
            </w:r>
            <w:r>
              <w:t xml:space="preserve"> </w:t>
            </w:r>
            <w:r>
              <w:t xml:space="preserve">inflammatory based criteria to life-threatening organ dysfunction based</w:t>
            </w:r>
            <w:r>
              <w:t xml:space="preserve"> </w:t>
            </w:r>
            <w:r>
              <w:t xml:space="preserve">criteria. As these new diagnostic criteria move to the bedside and research</w:t>
            </w:r>
            <w:r>
              <w:t xml:space="preserve"> </w:t>
            </w:r>
            <w:r>
              <w:t xml:space="preserve">areas, the need to consistently and accurately apply the Phoenix criteria to</w:t>
            </w:r>
            <w:r>
              <w:t xml:space="preserve"> </w:t>
            </w:r>
            <w:r>
              <w:t xml:space="preserve">electronic health records (EHR) data is necessary to build a robust and</w:t>
            </w:r>
            <w:r>
              <w:t xml:space="preserve"> </w:t>
            </w:r>
            <w:r>
              <w:t xml:space="preserve">internally consistent body of research.</w:t>
            </w:r>
          </w:p>
          <w:p>
            <w:pPr>
              <w:pStyle w:val="BodyText"/>
            </w:pPr>
            <w:pPr>
              <w:spacing w:after="16"/>
            </w:pPr>
            <w:r>
              <w:t xml:space="preserve">We developed the</w:t>
            </w:r>
            <w:r>
              <w:t xml:space="preserve"> </w:t>
            </w:r>
            <w:r>
              <w:rPr>
                <w:rStyle w:val="VerbatimChar"/>
              </w:rPr>
              <w:t xml:space="preserve">phoenix</w:t>
            </w:r>
            <w:r>
              <w:t xml:space="preserve"> </w:t>
            </w:r>
            <w:r>
              <w:t xml:space="preserve">R package and Python module. These two freely</w:t>
            </w:r>
            <w:r>
              <w:t xml:space="preserve"> </w:t>
            </w:r>
            <w:r>
              <w:t xml:space="preserve">available tools, along with example SQL queries, provide pediatric sepsis</w:t>
            </w:r>
            <w:r>
              <w:t xml:space="preserve"> </w:t>
            </w:r>
            <w:r>
              <w:t xml:space="preserve">researchers the means to apply the Phoenix criteria to EHR data without</w:t>
            </w:r>
            <w:r>
              <w:t xml:space="preserve"> </w:t>
            </w:r>
            <w:r>
              <w:t xml:space="preserve">needing to implement the criteria themselves. Use of</w:t>
            </w:r>
            <w:r>
              <w:t xml:space="preserve"> </w:t>
            </w:r>
            <w:r>
              <w:rPr>
                <w:rStyle w:val="VerbatimChar"/>
              </w:rPr>
              <w:t xml:space="preserve">phoenix</w:t>
            </w:r>
            <w:r>
              <w:t xml:space="preserve"> </w:t>
            </w:r>
            <w:r>
              <w:t xml:space="preserve">will reduce</w:t>
            </w:r>
            <w:r>
              <w:t xml:space="preserve"> </w:t>
            </w:r>
            <w:r>
              <w:t xml:space="preserve">sources of error in research and provide a common implementation for multiple</w:t>
            </w:r>
            <w:r>
              <w:t xml:space="preserve"> </w:t>
            </w:r>
            <w:r>
              <w:t xml:space="preserve">research groups, across multiple data formats, and multiple programming</w:t>
            </w:r>
            <w:r>
              <w:t xml:space="preserve"> </w:t>
            </w:r>
            <w:r>
              <w:t xml:space="preserve">paradigms.</w:t>
            </w:r>
          </w:p>
        </w:tc>
      </w:tr>
    </w:tbl>
    <w:p>
      <w:r>
        <w:br w:type="page"/>
      </w:r>
    </w:p>
    <w:bookmarkEnd w:id="21"/>
    <w:bookmarkStart w:id="22" w:name="background-and-significance"/>
    <w:p>
      <w:pPr>
        <w:pStyle w:val="Heading1"/>
      </w:pPr>
      <w:r>
        <w:t xml:space="preserve">Background and Significance</w:t>
      </w:r>
    </w:p>
    <w:p>
      <w:pPr>
        <w:pStyle w:val="FirstParagraph"/>
      </w:pPr>
      <w:r>
        <w:t xml:space="preserve">Approximately 3.3 million pediatric deaths per year are attributable to sepsis</w:t>
      </w:r>
      <w:r>
        <w:t xml:space="preserve"> </w:t>
      </w:r>
      <w:r>
        <w:t xml:space="preserve">and septic shock.</w:t>
      </w:r>
      <w:r>
        <w:t xml:space="preserve">[1]</w:t>
      </w:r>
      <w:r>
        <w:t xml:space="preserve"> </w:t>
      </w:r>
      <w:r>
        <w:t xml:space="preserve">In January 2024, the Phoenix diagnostic</w:t>
      </w:r>
      <w:r>
        <w:t xml:space="preserve"> </w:t>
      </w:r>
      <w:r>
        <w:t xml:space="preserve">criteria for pediatric sepsis were published to supersede the</w:t>
      </w:r>
      <w:r>
        <w:t xml:space="preserve"> </w:t>
      </w:r>
      <w:r>
        <w:t xml:space="preserve">criteria</w:t>
      </w:r>
      <w:r>
        <w:t xml:space="preserve">[2]</w:t>
      </w:r>
      <w:r>
        <w:t xml:space="preserve"> </w:t>
      </w:r>
      <w:r>
        <w:t xml:space="preserve">defined by the International Pediatrics</w:t>
      </w:r>
      <w:r>
        <w:t xml:space="preserve"> </w:t>
      </w:r>
      <w:r>
        <w:t xml:space="preserve">Sepsis Criteria Conference in</w:t>
      </w:r>
      <w:r>
        <w:t xml:space="preserve"> </w:t>
      </w:r>
      <w:r>
        <w:t xml:space="preserve">2005.</w:t>
      </w:r>
      <w:r>
        <w:t xml:space="preserve">[3,4]</w:t>
      </w:r>
      <w:r>
        <w:t xml:space="preserve"> </w:t>
      </w:r>
      <w:r>
        <w:t xml:space="preserve">Transitioning to the Phoenix criteria is a conceptual change, moving away from</w:t>
      </w:r>
      <w:r>
        <w:t xml:space="preserve"> </w:t>
      </w:r>
      <w:r>
        <w:t xml:space="preserve">an inflammatory response-based criteria to a life-threatening organ</w:t>
      </w:r>
      <w:r>
        <w:t xml:space="preserve"> </w:t>
      </w:r>
      <w:r>
        <w:t xml:space="preserve">dysfunction-based criteria. This change parallels the conceptual change for the</w:t>
      </w:r>
      <w:r>
        <w:t xml:space="preserve"> </w:t>
      </w:r>
      <w:r>
        <w:t xml:space="preserve">diagnostic criteria of adult sepsis.</w:t>
      </w:r>
      <w:r>
        <w:t xml:space="preserve">[5,6]</w:t>
      </w:r>
    </w:p>
    <w:p>
      <w:pPr>
        <w:pStyle w:val="BodyText"/>
      </w:pPr>
      <w:r>
        <w:t xml:space="preserve">The Pediatric Sepsis Task Force developed the Phoenix criteria using a</w:t>
      </w:r>
      <w:r>
        <w:t xml:space="preserve"> </w:t>
      </w:r>
      <w:r>
        <w:t xml:space="preserve">data-driven modified Delphi consensus approach. The criteria are based on four</w:t>
      </w:r>
      <w:r>
        <w:t xml:space="preserve"> </w:t>
      </w:r>
      <w:r>
        <w:t xml:space="preserve">organ dysfunctions: respiratory, cardiovascular, coagulation, and neurologic.</w:t>
      </w:r>
      <w:r>
        <w:t xml:space="preserve"> </w:t>
      </w:r>
      <w:r>
        <w:t xml:space="preserve">Additionally, the task force published an 8-organ system score, Phoenix-8, for</w:t>
      </w:r>
      <w:r>
        <w:t xml:space="preserve"> </w:t>
      </w:r>
      <w:r>
        <w:t xml:space="preserve">research</w:t>
      </w:r>
      <w:r>
        <w:t xml:space="preserve"> </w:t>
      </w:r>
      <w:r>
        <w:t xml:space="preserve">purposes.</w:t>
      </w:r>
      <w:r>
        <w:t xml:space="preserve">[3,4]</w:t>
      </w:r>
    </w:p>
    <w:p>
      <w:pPr>
        <w:pStyle w:val="BodyText"/>
      </w:pPr>
      <w:r>
        <w:t xml:space="preserve">The Phoenix criteria initiate a new era of benchmarking,</w:t>
      </w:r>
      <w:r>
        <w:t xml:space="preserve"> </w:t>
      </w:r>
      <w:r>
        <w:t xml:space="preserve">epidemiological surveillance, clinical quality improvement, and research in</w:t>
      </w:r>
      <w:r>
        <w:t xml:space="preserve"> </w:t>
      </w:r>
      <w:r>
        <w:t xml:space="preserve">pediatric sepsis.</w:t>
      </w:r>
    </w:p>
    <w:p>
      <w:pPr>
        <w:pStyle w:val="BodyText"/>
      </w:pPr>
      <w:r>
        <w:t xml:space="preserve">Sufficient information to implement the Phoenix criteria has been</w:t>
      </w:r>
      <w:r>
        <w:t xml:space="preserve"> </w:t>
      </w:r>
      <w:r>
        <w:t xml:space="preserve">published.</w:t>
      </w:r>
      <w:r>
        <w:t xml:space="preserve">[3,4]</w:t>
      </w:r>
      <w:r>
        <w:t xml:space="preserve"> </w:t>
      </w:r>
      <w:r>
        <w:t xml:space="preserve">However, the published code required extensive redactions to protect the</w:t>
      </w:r>
      <w:r>
        <w:t xml:space="preserve"> </w:t>
      </w:r>
      <w:r>
        <w:t xml:space="preserve">anonymity of both patients and health care systems providing data, resulting in</w:t>
      </w:r>
      <w:r>
        <w:t xml:space="preserve"> </w:t>
      </w:r>
      <w:r>
        <w:t xml:space="preserve">code that is not easily reusable.</w:t>
      </w:r>
    </w:p>
    <w:p>
      <w:pPr>
        <w:pStyle w:val="BodyText"/>
      </w:pPr>
      <w:r>
        <w:t xml:space="preserve">There is a need for a tool that can apply the Phoenix criteria to any electronic</w:t>
      </w:r>
      <w:r>
        <w:t xml:space="preserve"> </w:t>
      </w:r>
      <w:r>
        <w:t xml:space="preserve">health record (EHR) data set consistently such that publications reporting on or</w:t>
      </w:r>
      <w:r>
        <w:t xml:space="preserve"> </w:t>
      </w:r>
      <w:r>
        <w:t xml:space="preserve">using the Phoenix criteria can be compared fairly among each other.</w:t>
      </w:r>
    </w:p>
    <w:p>
      <w:pPr>
        <w:pStyle w:val="BodyText"/>
      </w:pPr>
      <w:r>
        <w:t xml:space="preserve">To fill this need we have developed and published a R package, Python module,</w:t>
      </w:r>
      <w:r>
        <w:t xml:space="preserve"> </w:t>
      </w:r>
      <w:r>
        <w:t xml:space="preserve">and example SQL queries for applying the Phoenix criteria to other data sets.</w:t>
      </w:r>
    </w:p>
    <w:bookmarkEnd w:id="22"/>
    <w:bookmarkStart w:id="23" w:name="objective"/>
    <w:p>
      <w:pPr>
        <w:pStyle w:val="Heading1"/>
      </w:pPr>
      <w:r>
        <w:t xml:space="preserve">Objective</w:t>
      </w:r>
    </w:p>
    <w:p>
      <w:pPr>
        <w:pStyle w:val="FirstParagraph"/>
      </w:pPr>
      <w:r>
        <w:t xml:space="preserve">To provide an efficient and consistent way to apply the Phoenix scoring rubric</w:t>
      </w:r>
      <w:r>
        <w:t xml:space="preserve"> </w:t>
      </w:r>
      <w:r>
        <w:t xml:space="preserve">to new EHR data sets and for all researchers, we developed the</w:t>
      </w:r>
      <w:r>
        <w:t xml:space="preserve"> </w:t>
      </w:r>
      <w:r>
        <w:rPr>
          <w:rStyle w:val="VerbatimChar"/>
        </w:rPr>
        <w:t xml:space="preserve">phoenix</w:t>
      </w:r>
      <w:r>
        <w:t xml:space="preserve"> </w:t>
      </w:r>
      <w:r>
        <w:t xml:space="preserve">R</w:t>
      </w:r>
      <w:r>
        <w:t xml:space="preserve"> </w:t>
      </w:r>
      <w:r>
        <w:t xml:space="preserve">package, Python module, and example SQL queries.</w:t>
      </w:r>
    </w:p>
    <w:bookmarkEnd w:id="23"/>
    <w:bookmarkStart w:id="36" w:name="materials-and-methods"/>
    <w:p>
      <w:pPr>
        <w:pStyle w:val="Heading1"/>
      </w:pPr>
      <w:r>
        <w:t xml:space="preserve">Materials and Methods</w:t>
      </w:r>
    </w:p>
    <w:p>
      <w:pPr>
        <w:pStyle w:val="FirstParagraph"/>
      </w:pPr>
      <w:r>
        <w:t xml:space="preserve">The Phoenix criteria (</w:t>
      </w:r>
      <w:hyperlink w:anchor="tbl-phoenix-rubric">
        <w:r>
          <w:rPr>
            <w:rStyle w:val="Hyperlink"/>
          </w:rPr>
          <w:t xml:space="preserve">Table 1</w:t>
        </w:r>
      </w:hyperlink>
      <w:r>
        <w:t xml:space="preserve">) were developed using a dataset that</w:t>
      </w:r>
      <w:r>
        <w:t xml:space="preserve"> </w:t>
      </w:r>
      <w:r>
        <w:t xml:space="preserve">included over 3.5 million pediatric encounters from ten hospital systems across</w:t>
      </w:r>
      <w:r>
        <w:t xml:space="preserve"> </w:t>
      </w:r>
      <w:r>
        <w:t xml:space="preserve">North America, South America, Asia, and Africa. The criteria are applicable to</w:t>
      </w:r>
      <w:r>
        <w:t xml:space="preserve"> </w:t>
      </w:r>
      <w:r>
        <w:t xml:space="preserve">pediatric patients in both high- and low/middle-resourced environments. The</w:t>
      </w:r>
      <w:r>
        <w:t xml:space="preserve"> </w:t>
      </w:r>
      <w:r>
        <w:t xml:space="preserve">development data excluded birth-hospitalizations and patients with gestational</w:t>
      </w:r>
      <w:r>
        <w:t xml:space="preserve"> </w:t>
      </w:r>
      <w:r>
        <w:t xml:space="preserve">ages less than 37</w:t>
      </w:r>
      <w:r>
        <w:t xml:space="preserve"> </w:t>
      </w:r>
      <w:r>
        <w:t xml:space="preserve">weeks.</w:t>
      </w:r>
      <w:r>
        <w:t xml:space="preserve">[3,4]</w:t>
      </w:r>
    </w:p>
    <w:tbl>
      <w:tblPr>
        <w:tblStyle w:val="Table"/>
        <w:tblW w:type="pct" w:w="5000"/>
        <w:tblLook w:firstRow="0" w:lastRow="0" w:firstColumn="0" w:lastColumn="0" w:noHBand="0" w:noVBand="0" w:val="0000"/>
        <w:jc w:val="start"/>
        <w:tblLayout w:type="fixed"/>
      </w:tblPr>
      <w:tblGrid>
        <w:gridCol w:w="7920"/>
      </w:tblGrid>
      <w:tr>
        <w:tc>
          <w:tcPr/>
          <w:bookmarkStart w:id="35" w:name="tbl-phoenix-rubric"/>
          <w:p>
            <w:pPr>
              <w:jc w:val="center"/>
            </w:pPr>
            <w:pPr>
              <w:jc w:val="start"/>
              <w:spacing w:before="200"/>
              <w:pStyle w:val="ImageCaption"/>
            </w:pPr>
            <w:r>
              <w:t xml:space="preserve">Table 1: The Organ Dysfunction Scoring for the Phoenix Criteria. The Phoenix sepsis</w:t>
            </w:r>
            <w:r>
              <w:t xml:space="preserve"> </w:t>
            </w:r>
            <w:r>
              <w:t xml:space="preserve">criteria are based on the Phoenix Sepsis Score, which includes respiratory,</w:t>
            </w:r>
            <w:r>
              <w:t xml:space="preserve"> </w:t>
            </w:r>
            <w:r>
              <w:t xml:space="preserve">cardiovascular, coagulation, and neurologic dysfunction; Phoenix-8 is based on</w:t>
            </w:r>
            <w:r>
              <w:t xml:space="preserve"> </w:t>
            </w:r>
            <w:r>
              <w:t xml:space="preserve">those four organ systems plus endocrine, immunologic, renal, and hepatic</w:t>
            </w:r>
            <w:r>
              <w:t xml:space="preserve"> </w:t>
            </w:r>
            <w:r>
              <w:t xml:space="preserve">dysfunction. Sepsis is defined as a Phoenix Sepsis Score ≥ 2. Septic Shock</w:t>
            </w:r>
            <w:r>
              <w:t xml:space="preserve"> </w:t>
            </w:r>
            <w:r>
              <w:t xml:space="preserve">is defined as sepsis with at least one cardiovascular point. Missing data maps</w:t>
            </w:r>
            <w:r>
              <w:t xml:space="preserve"> </w:t>
            </w:r>
            <w:r>
              <w:t xml:space="preserve">to scores of zero. The limits reported in this table reflect the implementation</w:t>
            </w:r>
            <w:r>
              <w:t xml:space="preserve"> </w:t>
            </w:r>
            <w:r>
              <w:t xml:space="preserve">of the criteria in software, whereas the comparable published tables report the</w:t>
            </w:r>
            <w:r>
              <w:t xml:space="preserve"> </w:t>
            </w:r>
            <w:r>
              <w:t xml:space="preserve">criteria from a clinical</w:t>
            </w:r>
            <w:r>
              <w:t xml:space="preserve"> </w:t>
            </w:r>
            <w:r>
              <w:t xml:space="preserve">perspective.</w:t>
            </w:r>
            <w:r>
              <w:t xml:space="preserve">[3,4]</w:t>
            </w:r>
            <w:r>
              <w:t xml:space="preserve"> </w:t>
            </w:r>
            <w:r>
              <w:t xml:space="preserve">The</w:t>
            </w:r>
            <w:r>
              <w:t xml:space="preserve"> </w:t>
            </w:r>
            <w:r>
              <w:t xml:space="preserve">two representations of the criteria are consistent in practice.</w:t>
            </w:r>
          </w:p>
          <w:tbl>
            <w:tblPr>
              <w:tblStyle w:val="Table"/>
              <w:tblW w:type="pct" w:w="5000"/>
              <w:tblLook w:firstRow="1" w:lastRow="0" w:firstColumn="0" w:lastColumn="0" w:noHBand="0" w:noVBand="0" w:val="0020"/>
              <w:jc w:val="start"/>
              <w:tblLayout w:type="fixed"/>
            </w:tblPr>
            <w:tblGrid>
              <w:gridCol w:w="2917"/>
              <w:gridCol w:w="1250"/>
              <w:gridCol w:w="1250"/>
              <w:gridCol w:w="1250"/>
              <w:gridCol w:w="1250"/>
            </w:tblGrid>
            <w:tr>
              <w:trPr>
                <w:tblHeader w:val="true"/>
              </w:trPr>
              <w:tc>
                <w:tcPr/>
                <w:p>
                  <w:pPr>
                    <w:pStyle w:val="Compact"/>
                    <w:jc w:val="left"/>
                    <w:jc w:val="center"/>
                  </w:pPr>
                  <w:r>
                    <w:t xml:space="preserve">Organ System</w:t>
                  </w:r>
                </w:p>
              </w:tc>
              <w:tc>
                <w:tcPr/>
                <w:p>
                  <w:pPr>
                    <w:pStyle w:val="Compact"/>
                    <w:jc w:val="left"/>
                    <w:jc w:val="center"/>
                  </w:pPr>
                  <w:r>
                    <w:t xml:space="preserve">0 Points</w:t>
                  </w:r>
                </w:p>
              </w:tc>
              <w:tc>
                <w:tcPr/>
                <w:p>
                  <w:pPr>
                    <w:pStyle w:val="Compact"/>
                    <w:jc w:val="left"/>
                    <w:jc w:val="center"/>
                  </w:pPr>
                  <w:r>
                    <w:t xml:space="preserve">1 Point</w:t>
                  </w:r>
                </w:p>
              </w:tc>
              <w:tc>
                <w:tcPr/>
                <w:p>
                  <w:pPr>
                    <w:pStyle w:val="Compact"/>
                    <w:jc w:val="left"/>
                    <w:jc w:val="center"/>
                  </w:pPr>
                  <w:r>
                    <w:t xml:space="preserve">2 Points</w:t>
                  </w:r>
                </w:p>
              </w:tc>
              <w:tc>
                <w:tcPr/>
                <w:p>
                  <w:pPr>
                    <w:pStyle w:val="Compact"/>
                    <w:jc w:val="left"/>
                    <w:jc w:val="center"/>
                  </w:pPr>
                  <w:r>
                    <w:t xml:space="preserve">3 Points</w:t>
                  </w:r>
                </w:p>
              </w:tc>
            </w:tr>
            <w:tr>
              <w:tc>
                <w:tcPr/>
                <w:p>
                  <w:pPr>
                    <w:pStyle w:val="Compact"/>
                    <w:jc w:val="left"/>
                    <w:jc w:val="center"/>
                  </w:pPr>
                  <w:r>
                    <w:rPr>
                      <w:bCs/>
                      <w:b/>
                    </w:rPr>
                    <w:t xml:space="preserve">Respiratory</w:t>
                  </w:r>
                  <w:r>
                    <w:t xml:space="preserve"> </w:t>
                  </w:r>
                  <w:r>
                    <w:t xml:space="preserve">(0-3 points)</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Respiratory Support</w:t>
                  </w:r>
                </w:p>
              </w:tc>
              <w:tc>
                <w:tcPr/>
                <w:p>
                  <w:pPr>
                    <w:pStyle w:val="Compact"/>
                  </w:pPr>
                </w:p>
              </w:tc>
              <w:tc>
                <w:tcPr/>
                <w:p>
                  <w:pPr>
                    <w:pStyle w:val="Compact"/>
                    <w:jc w:val="left"/>
                    <w:jc w:val="center"/>
                  </w:pPr>
                  <w:r>
                    <w:t xml:space="preserve">Any respiratory support</w:t>
                  </w:r>
                </w:p>
              </w:tc>
              <w:tc>
                <w:tcPr/>
                <w:p>
                  <w:pPr>
                    <w:pStyle w:val="Compact"/>
                    <w:jc w:val="left"/>
                    <w:jc w:val="center"/>
                  </w:pPr>
                  <w:r>
                    <w:t xml:space="preserve">IMV</w:t>
                  </w:r>
                  <w:r>
                    <w:rPr>
                      <w:rStyle w:val="FootnoteReference"/>
                    </w:rPr>
                    <w:footnoteReference w:id="24"/>
                  </w:r>
                </w:p>
              </w:tc>
              <w:tc>
                <w:tcPr/>
                <w:p>
                  <w:pPr>
                    <w:pStyle w:val="Compact"/>
                    <w:jc w:val="left"/>
                    <w:jc w:val="center"/>
                  </w:pPr>
                  <w:r>
                    <w:t xml:space="preserve">IMV</w:t>
                  </w:r>
                </w:p>
              </w:tc>
            </w:tr>
            <w:tr>
              <w:tc>
                <w:tcPr/>
                <w:p>
                  <w:pPr>
                    <w:pStyle w:val="Compact"/>
                    <w:jc w:val="left"/>
                    <w:jc w:val="center"/>
                  </w:pPr>
                  <w:r>
                    <w:t xml:space="preserve">PaO</w:t>
                  </w:r>
                  <w:r>
                    <w:rPr>
                      <w:vertAlign w:val="subscript"/>
                    </w:rPr>
                    <w:t xml:space="preserve">2</w:t>
                  </w:r>
                  <w:r>
                    <w:t xml:space="preserve">:FiO</w:t>
                  </w:r>
                  <w:r>
                    <w:rPr>
                      <w:vertAlign w:val="subscript"/>
                    </w:rPr>
                    <w:t xml:space="preserve">2</w:t>
                  </w:r>
                </w:p>
              </w:tc>
              <w:tc>
                <w:tcPr/>
                <w:p>
                  <w:pPr>
                    <w:pStyle w:val="Compact"/>
                    <w:jc w:val="left"/>
                    <w:jc w:val="center"/>
                  </w:pPr>
                  <w:r>
                    <w:t xml:space="preserve">≥ 400</w:t>
                  </w:r>
                </w:p>
              </w:tc>
              <w:tc>
                <w:tcPr/>
                <w:p>
                  <w:pPr>
                    <w:pStyle w:val="Compact"/>
                    <w:jc w:val="left"/>
                    <w:jc w:val="center"/>
                  </w:pPr>
                  <w:r>
                    <w:t xml:space="preserve">&lt; 400</w:t>
                  </w:r>
                </w:p>
              </w:tc>
              <w:tc>
                <w:tcPr/>
                <w:p>
                  <w:pPr>
                    <w:pStyle w:val="Compact"/>
                    <w:jc w:val="left"/>
                    <w:jc w:val="center"/>
                  </w:pPr>
                  <w:r>
                    <w:t xml:space="preserve">&lt; 200</w:t>
                  </w:r>
                </w:p>
              </w:tc>
              <w:tc>
                <w:tcPr/>
                <w:p>
                  <w:pPr>
                    <w:pStyle w:val="Compact"/>
                    <w:jc w:val="left"/>
                    <w:jc w:val="center"/>
                  </w:pPr>
                  <w:r>
                    <w:t xml:space="preserve">&lt; 100</w:t>
                  </w:r>
                </w:p>
              </w:tc>
            </w:tr>
            <w:tr>
              <w:tc>
                <w:tcPr/>
                <w:p>
                  <w:pPr>
                    <w:pStyle w:val="Compact"/>
                    <w:jc w:val="left"/>
                    <w:jc w:val="center"/>
                  </w:pPr>
                  <w:r>
                    <w:t xml:space="preserve">SpO</w:t>
                  </w:r>
                  <w:r>
                    <w:rPr>
                      <w:vertAlign w:val="subscript"/>
                    </w:rPr>
                    <w:t xml:space="preserve">2</w:t>
                  </w:r>
                  <w:r>
                    <w:t xml:space="preserve">:FiO</w:t>
                  </w:r>
                  <w:r>
                    <w:rPr>
                      <w:vertAlign w:val="subscript"/>
                    </w:rPr>
                    <w:t xml:space="preserve">2</w:t>
                  </w:r>
                  <w:r>
                    <w:rPr>
                      <w:rStyle w:val="FootnoteReference"/>
                    </w:rPr>
                    <w:footnoteReference w:id="25"/>
                  </w:r>
                </w:p>
              </w:tc>
              <w:tc>
                <w:tcPr/>
                <w:p>
                  <w:pPr>
                    <w:pStyle w:val="Compact"/>
                    <w:jc w:val="left"/>
                    <w:jc w:val="center"/>
                  </w:pPr>
                  <w:r>
                    <w:t xml:space="preserve">≥ 292</w:t>
                  </w:r>
                </w:p>
              </w:tc>
              <w:tc>
                <w:tcPr/>
                <w:p>
                  <w:pPr>
                    <w:pStyle w:val="Compact"/>
                    <w:jc w:val="left"/>
                    <w:jc w:val="center"/>
                  </w:pPr>
                  <w:r>
                    <w:t xml:space="preserve">&lt; 292</w:t>
                  </w:r>
                </w:p>
              </w:tc>
              <w:tc>
                <w:tcPr/>
                <w:p>
                  <w:pPr>
                    <w:pStyle w:val="Compact"/>
                    <w:jc w:val="left"/>
                    <w:jc w:val="center"/>
                  </w:pPr>
                  <w:r>
                    <w:t xml:space="preserve">&lt; 220</w:t>
                  </w:r>
                </w:p>
              </w:tc>
              <w:tc>
                <w:tcPr/>
                <w:p>
                  <w:pPr>
                    <w:pStyle w:val="Compact"/>
                    <w:jc w:val="left"/>
                    <w:jc w:val="center"/>
                  </w:pPr>
                  <w:r>
                    <w:t xml:space="preserve">&lt; 148</w:t>
                  </w:r>
                </w:p>
              </w:tc>
            </w:tr>
            <w:tr>
              <w:tc>
                <w:tcPr/>
                <w:p>
                  <w:pPr>
                    <w:pStyle w:val="Compact"/>
                    <w:jc w:val="left"/>
                    <w:jc w:val="center"/>
                  </w:pPr>
                  <w:r>
                    <w:rPr>
                      <w:bCs/>
                      <w:b/>
                    </w:rPr>
                    <w:t xml:space="preserve">Cardiovascular</w:t>
                  </w:r>
                  <w:r>
                    <w:t xml:space="preserve"> </w:t>
                  </w:r>
                  <w:r>
                    <w:t xml:space="preserve">(0-6 points; sum of medications, Lactate, and MAP)</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Systemic Vasoactive Medications</w:t>
                  </w:r>
                  <w:r>
                    <w:rPr>
                      <w:rStyle w:val="FootnoteReference"/>
                    </w:rPr>
                    <w:footnoteReference w:id="26"/>
                  </w:r>
                </w:p>
              </w:tc>
              <w:tc>
                <w:tcPr/>
                <w:p>
                  <w:pPr>
                    <w:pStyle w:val="Compact"/>
                    <w:jc w:val="left"/>
                    <w:jc w:val="center"/>
                  </w:pPr>
                  <w:r>
                    <w:t xml:space="preserve">No medications</w:t>
                  </w:r>
                </w:p>
              </w:tc>
              <w:tc>
                <w:tcPr/>
                <w:p>
                  <w:pPr>
                    <w:pStyle w:val="Compact"/>
                    <w:jc w:val="left"/>
                    <w:jc w:val="center"/>
                  </w:pPr>
                  <w:r>
                    <w:t xml:space="preserve">1 medication</w:t>
                  </w:r>
                </w:p>
              </w:tc>
              <w:tc>
                <w:tcPr/>
                <w:p>
                  <w:pPr>
                    <w:pStyle w:val="Compact"/>
                    <w:jc w:val="left"/>
                    <w:jc w:val="center"/>
                  </w:pPr>
                  <w:r>
                    <w:t xml:space="preserve">2 or more medications</w:t>
                  </w:r>
                </w:p>
              </w:tc>
              <w:tc>
                <w:tcPr/>
                <w:p>
                  <w:pPr>
                    <w:pStyle w:val="Compact"/>
                  </w:pPr>
                </w:p>
              </w:tc>
            </w:tr>
            <w:tr>
              <w:tc>
                <w:tcPr/>
                <w:p>
                  <w:pPr>
                    <w:pStyle w:val="Compact"/>
                    <w:jc w:val="left"/>
                    <w:jc w:val="center"/>
                  </w:pPr>
                  <w:r>
                    <w:t xml:space="preserve">Lactate</w:t>
                  </w:r>
                  <w:r>
                    <w:rPr>
                      <w:rStyle w:val="FootnoteReference"/>
                    </w:rPr>
                    <w:footnoteReference w:id="27"/>
                  </w:r>
                  <w:r>
                    <w:t xml:space="preserve"> </w:t>
                  </w:r>
                  <w:r>
                    <w:t xml:space="preserve">(mmol/L)</w:t>
                  </w:r>
                </w:p>
              </w:tc>
              <w:tc>
                <w:tcPr/>
                <w:p>
                  <w:pPr>
                    <w:pStyle w:val="Compact"/>
                    <w:jc w:val="left"/>
                    <w:jc w:val="center"/>
                  </w:pPr>
                  <w:r>
                    <w:t xml:space="preserve">&lt; 5</w:t>
                  </w:r>
                </w:p>
              </w:tc>
              <w:tc>
                <w:tcPr/>
                <w:p>
                  <w:pPr>
                    <w:pStyle w:val="Compact"/>
                    <w:jc w:val="left"/>
                    <w:jc w:val="center"/>
                  </w:pPr>
                  <w:r>
                    <w:t xml:space="preserve">5 ≤ Lactate</w:t>
                  </w:r>
                  <w:r>
                    <w:rPr>
                      <w:rStyle w:val="FootnoteReference"/>
                    </w:rPr>
                    <w:footnoteReference w:id="28"/>
                  </w:r>
                  <w:r>
                    <w:t xml:space="preserve"> </w:t>
                  </w:r>
                  <w:r>
                    <w:t xml:space="preserve">&lt; 11</w:t>
                  </w:r>
                </w:p>
              </w:tc>
              <w:tc>
                <w:tcPr/>
                <w:p>
                  <w:pPr>
                    <w:pStyle w:val="Compact"/>
                    <w:jc w:val="left"/>
                    <w:jc w:val="center"/>
                  </w:pPr>
                  <w:r>
                    <w:t xml:space="preserve">≥ 11</w:t>
                  </w:r>
                </w:p>
              </w:tc>
              <w:tc>
                <w:tcPr/>
                <w:p>
                  <w:pPr>
                    <w:pStyle w:val="Compact"/>
                  </w:pPr>
                </w:p>
              </w:tc>
            </w:tr>
            <w:tr>
              <w:tc>
                <w:tcPr/>
                <w:p>
                  <w:pPr>
                    <w:pStyle w:val="Compact"/>
                    <w:jc w:val="left"/>
                    <w:jc w:val="center"/>
                  </w:pPr>
                  <w:r>
                    <w:t xml:space="preserve">Age</w:t>
                  </w:r>
                  <w:r>
                    <w:rPr>
                      <w:rStyle w:val="FootnoteReference"/>
                    </w:rPr>
                    <w:footnoteReference w:id="29"/>
                  </w:r>
                  <w:r>
                    <w:t xml:space="preserve"> </w:t>
                  </w:r>
                  <w:r>
                    <w:t xml:space="preserve">(months) adjusted MAP</w:t>
                  </w:r>
                  <w:r>
                    <w:rPr>
                      <w:rStyle w:val="FootnoteReference"/>
                    </w:rPr>
                    <w:footnoteReference w:id="30"/>
                  </w:r>
                  <w:r>
                    <w:t xml:space="preserve"> </w:t>
                  </w:r>
                  <w:r>
                    <w:t xml:space="preserve">(mmHg)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0 ≤ Age &lt; 1</w:t>
                  </w:r>
                </w:p>
              </w:tc>
              <w:tc>
                <w:tcPr/>
                <w:p>
                  <w:pPr>
                    <w:pStyle w:val="Compact"/>
                    <w:jc w:val="left"/>
                    <w:jc w:val="center"/>
                  </w:pPr>
                  <w:r>
                    <w:t xml:space="preserve">≥ 31</w:t>
                  </w:r>
                </w:p>
              </w:tc>
              <w:tc>
                <w:tcPr/>
                <w:p>
                  <w:pPr>
                    <w:pStyle w:val="Compact"/>
                    <w:jc w:val="left"/>
                    <w:jc w:val="center"/>
                  </w:pPr>
                  <w:r>
                    <w:t xml:space="preserve">17 ≤ MAP &lt; 31</w:t>
                  </w:r>
                </w:p>
              </w:tc>
              <w:tc>
                <w:tcPr/>
                <w:p>
                  <w:pPr>
                    <w:pStyle w:val="Compact"/>
                    <w:jc w:val="left"/>
                    <w:jc w:val="center"/>
                  </w:pPr>
                  <w:r>
                    <w:t xml:space="preserve">&lt; 17</w:t>
                  </w:r>
                </w:p>
              </w:tc>
              <w:tc>
                <w:tcPr/>
                <w:p>
                  <w:pPr>
                    <w:pStyle w:val="Compact"/>
                  </w:pPr>
                </w:p>
              </w:tc>
            </w:tr>
            <w:tr>
              <w:tc>
                <w:tcPr/>
                <w:p>
                  <w:pPr>
                    <w:pStyle w:val="Compact"/>
                    <w:jc w:val="left"/>
                    <w:jc w:val="center"/>
                  </w:pPr>
                  <w:r>
                    <w:t xml:space="preserve">1 ≤ Age &lt; 12</w:t>
                  </w:r>
                </w:p>
              </w:tc>
              <w:tc>
                <w:tcPr/>
                <w:p>
                  <w:pPr>
                    <w:pStyle w:val="Compact"/>
                    <w:jc w:val="left"/>
                    <w:jc w:val="center"/>
                  </w:pPr>
                  <w:r>
                    <w:t xml:space="preserve">≥ 39</w:t>
                  </w:r>
                </w:p>
              </w:tc>
              <w:tc>
                <w:tcPr/>
                <w:p>
                  <w:pPr>
                    <w:pStyle w:val="Compact"/>
                    <w:jc w:val="left"/>
                    <w:jc w:val="center"/>
                  </w:pPr>
                  <w:r>
                    <w:t xml:space="preserve">25 ≤ MAP &lt; 39</w:t>
                  </w:r>
                </w:p>
              </w:tc>
              <w:tc>
                <w:tcPr/>
                <w:p>
                  <w:pPr>
                    <w:pStyle w:val="Compact"/>
                    <w:jc w:val="left"/>
                    <w:jc w:val="center"/>
                  </w:pPr>
                  <w:r>
                    <w:t xml:space="preserve">&lt; 25</w:t>
                  </w:r>
                </w:p>
              </w:tc>
              <w:tc>
                <w:tcPr/>
                <w:p>
                  <w:pPr>
                    <w:pStyle w:val="Compact"/>
                  </w:pPr>
                </w:p>
              </w:tc>
            </w:tr>
            <w:tr>
              <w:tc>
                <w:tcPr/>
                <w:p>
                  <w:pPr>
                    <w:pStyle w:val="Compact"/>
                    <w:jc w:val="left"/>
                    <w:jc w:val="center"/>
                  </w:pPr>
                  <w:r>
                    <w:t xml:space="preserve">12 ≤ Age &lt; 24</w:t>
                  </w:r>
                </w:p>
              </w:tc>
              <w:tc>
                <w:tcPr/>
                <w:p>
                  <w:pPr>
                    <w:pStyle w:val="Compact"/>
                    <w:jc w:val="left"/>
                    <w:jc w:val="center"/>
                  </w:pPr>
                  <w:r>
                    <w:t xml:space="preserve">≥ 44</w:t>
                  </w:r>
                </w:p>
              </w:tc>
              <w:tc>
                <w:tcPr/>
                <w:p>
                  <w:pPr>
                    <w:pStyle w:val="Compact"/>
                    <w:jc w:val="left"/>
                    <w:jc w:val="center"/>
                  </w:pPr>
                  <w:r>
                    <w:t xml:space="preserve">31 ≤ MAP &lt; 44</w:t>
                  </w:r>
                </w:p>
              </w:tc>
              <w:tc>
                <w:tcPr/>
                <w:p>
                  <w:pPr>
                    <w:pStyle w:val="Compact"/>
                    <w:jc w:val="left"/>
                    <w:jc w:val="center"/>
                  </w:pPr>
                  <w:r>
                    <w:t xml:space="preserve">&lt; 31</w:t>
                  </w:r>
                </w:p>
              </w:tc>
              <w:tc>
                <w:tcPr/>
                <w:p>
                  <w:pPr>
                    <w:pStyle w:val="Compact"/>
                  </w:pPr>
                </w:p>
              </w:tc>
            </w:tr>
            <w:tr>
              <w:tc>
                <w:tcPr/>
                <w:p>
                  <w:pPr>
                    <w:pStyle w:val="Compact"/>
                    <w:jc w:val="left"/>
                    <w:jc w:val="center"/>
                  </w:pPr>
                  <w:r>
                    <w:t xml:space="preserve">24 ≤ Age &lt; 60</w:t>
                  </w:r>
                </w:p>
              </w:tc>
              <w:tc>
                <w:tcPr/>
                <w:p>
                  <w:pPr>
                    <w:pStyle w:val="Compact"/>
                    <w:jc w:val="left"/>
                    <w:jc w:val="center"/>
                  </w:pPr>
                  <w:r>
                    <w:t xml:space="preserve">≥ 45</w:t>
                  </w:r>
                </w:p>
              </w:tc>
              <w:tc>
                <w:tcPr/>
                <w:p>
                  <w:pPr>
                    <w:pStyle w:val="Compact"/>
                    <w:jc w:val="left"/>
                    <w:jc w:val="center"/>
                  </w:pPr>
                  <w:r>
                    <w:t xml:space="preserve">32 ≤ MAP &lt; 45</w:t>
                  </w:r>
                </w:p>
              </w:tc>
              <w:tc>
                <w:tcPr/>
                <w:p>
                  <w:pPr>
                    <w:pStyle w:val="Compact"/>
                    <w:jc w:val="left"/>
                    <w:jc w:val="center"/>
                  </w:pPr>
                  <w:r>
                    <w:t xml:space="preserve">&lt; 32</w:t>
                  </w:r>
                </w:p>
              </w:tc>
              <w:tc>
                <w:tcPr/>
                <w:p>
                  <w:pPr>
                    <w:pStyle w:val="Compact"/>
                  </w:pPr>
                </w:p>
              </w:tc>
            </w:tr>
            <w:tr>
              <w:tc>
                <w:tcPr/>
                <w:p>
                  <w:pPr>
                    <w:pStyle w:val="Compact"/>
                    <w:jc w:val="left"/>
                    <w:jc w:val="center"/>
                  </w:pPr>
                  <w:r>
                    <w:t xml:space="preserve">60 ≤ Age &lt; 144</w:t>
                  </w:r>
                </w:p>
              </w:tc>
              <w:tc>
                <w:tcPr/>
                <w:p>
                  <w:pPr>
                    <w:pStyle w:val="Compact"/>
                    <w:jc w:val="left"/>
                    <w:jc w:val="center"/>
                  </w:pPr>
                  <w:r>
                    <w:t xml:space="preserve">≥ 49</w:t>
                  </w:r>
                </w:p>
              </w:tc>
              <w:tc>
                <w:tcPr/>
                <w:p>
                  <w:pPr>
                    <w:pStyle w:val="Compact"/>
                    <w:jc w:val="left"/>
                    <w:jc w:val="center"/>
                  </w:pPr>
                  <w:r>
                    <w:t xml:space="preserve">36 ≤ MAP &lt; 49</w:t>
                  </w:r>
                </w:p>
              </w:tc>
              <w:tc>
                <w:tcPr/>
                <w:p>
                  <w:pPr>
                    <w:pStyle w:val="Compact"/>
                    <w:jc w:val="left"/>
                    <w:jc w:val="center"/>
                  </w:pPr>
                  <w:r>
                    <w:t xml:space="preserve">&lt; 36</w:t>
                  </w:r>
                </w:p>
              </w:tc>
              <w:tc>
                <w:tcPr/>
                <w:p>
                  <w:pPr>
                    <w:pStyle w:val="Compact"/>
                  </w:pPr>
                </w:p>
              </w:tc>
            </w:tr>
            <w:tr>
              <w:tc>
                <w:tcPr/>
                <w:p>
                  <w:pPr>
                    <w:pStyle w:val="Compact"/>
                    <w:jc w:val="left"/>
                    <w:jc w:val="center"/>
                  </w:pPr>
                  <w:r>
                    <w:t xml:space="preserve">144 ≤ Age &lt; 216</w:t>
                  </w:r>
                </w:p>
              </w:tc>
              <w:tc>
                <w:tcPr/>
                <w:p>
                  <w:pPr>
                    <w:pStyle w:val="Compact"/>
                    <w:jc w:val="left"/>
                    <w:jc w:val="center"/>
                  </w:pPr>
                  <w:r>
                    <w:t xml:space="preserve">≥ 52</w:t>
                  </w:r>
                </w:p>
              </w:tc>
              <w:tc>
                <w:tcPr/>
                <w:p>
                  <w:pPr>
                    <w:pStyle w:val="Compact"/>
                    <w:jc w:val="left"/>
                    <w:jc w:val="center"/>
                  </w:pPr>
                  <w:r>
                    <w:t xml:space="preserve">38 ≤ MAP &lt; 52</w:t>
                  </w:r>
                </w:p>
              </w:tc>
              <w:tc>
                <w:tcPr/>
                <w:p>
                  <w:pPr>
                    <w:pStyle w:val="Compact"/>
                    <w:jc w:val="left"/>
                    <w:jc w:val="center"/>
                  </w:pPr>
                  <w:r>
                    <w:t xml:space="preserve">&lt; 38</w:t>
                  </w:r>
                </w:p>
              </w:tc>
              <w:tc>
                <w:tcPr/>
                <w:p>
                  <w:pPr>
                    <w:pStyle w:val="Compact"/>
                  </w:pPr>
                </w:p>
              </w:tc>
            </w:tr>
            <w:tr>
              <w:tc>
                <w:tcPr/>
                <w:p>
                  <w:pPr>
                    <w:pStyle w:val="Compact"/>
                    <w:jc w:val="left"/>
                    <w:jc w:val="center"/>
                  </w:pPr>
                  <w:r>
                    <w:rPr>
                      <w:bCs/>
                      <w:b/>
                    </w:rPr>
                    <w:t xml:space="preserve">Coagulation</w:t>
                  </w:r>
                  <w:r>
                    <w:rPr>
                      <w:rStyle w:val="FootnoteReference"/>
                    </w:rPr>
                    <w:footnoteReference w:id="31"/>
                  </w:r>
                  <w:r>
                    <w:t xml:space="preserve"> </w:t>
                  </w:r>
                  <w:r>
                    <w:t xml:space="preserve">(0-2 points; 1 for each lab; max of 2 points)</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Platelets (1000/μL)</w:t>
                  </w:r>
                </w:p>
              </w:tc>
              <w:tc>
                <w:tcPr/>
                <w:p>
                  <w:pPr>
                    <w:pStyle w:val="Compact"/>
                    <w:jc w:val="left"/>
                    <w:jc w:val="center"/>
                  </w:pPr>
                  <w:r>
                    <w:t xml:space="preserve">≥ 100</w:t>
                  </w:r>
                </w:p>
              </w:tc>
              <w:tc>
                <w:tcPr/>
                <w:p>
                  <w:pPr>
                    <w:pStyle w:val="Compact"/>
                    <w:jc w:val="left"/>
                    <w:jc w:val="center"/>
                  </w:pPr>
                  <w:r>
                    <w:t xml:space="preserve">&lt; 100</w:t>
                  </w:r>
                </w:p>
              </w:tc>
              <w:tc>
                <w:tcPr/>
                <w:p>
                  <w:pPr>
                    <w:pStyle w:val="Compact"/>
                  </w:pPr>
                </w:p>
              </w:tc>
              <w:tc>
                <w:tcPr/>
                <w:p>
                  <w:pPr>
                    <w:pStyle w:val="Compact"/>
                  </w:pPr>
                </w:p>
              </w:tc>
            </w:tr>
            <w:tr>
              <w:tc>
                <w:tcPr/>
                <w:p>
                  <w:pPr>
                    <w:pStyle w:val="Compact"/>
                    <w:jc w:val="left"/>
                    <w:jc w:val="center"/>
                  </w:pPr>
                  <w:r>
                    <w:t xml:space="preserve">INR</w:t>
                  </w:r>
                </w:p>
              </w:tc>
              <w:tc>
                <w:tcPr/>
                <w:p>
                  <w:pPr>
                    <w:pStyle w:val="Compact"/>
                    <w:jc w:val="left"/>
                    <w:jc w:val="center"/>
                  </w:pPr>
                  <w:r>
                    <w:t xml:space="preserve">≤ 1.3</w:t>
                  </w:r>
                </w:p>
              </w:tc>
              <w:tc>
                <w:tcPr/>
                <w:p>
                  <w:pPr>
                    <w:pStyle w:val="Compact"/>
                    <w:jc w:val="left"/>
                    <w:jc w:val="center"/>
                  </w:pPr>
                  <w:r>
                    <w:t xml:space="preserve">&gt; 1.3</w:t>
                  </w:r>
                </w:p>
              </w:tc>
              <w:tc>
                <w:tcPr/>
                <w:p>
                  <w:pPr>
                    <w:pStyle w:val="Compact"/>
                  </w:pPr>
                </w:p>
              </w:tc>
              <w:tc>
                <w:tcPr/>
                <w:p>
                  <w:pPr>
                    <w:pStyle w:val="Compact"/>
                  </w:pPr>
                </w:p>
              </w:tc>
            </w:tr>
            <w:tr>
              <w:tc>
                <w:tcPr/>
                <w:p>
                  <w:pPr>
                    <w:pStyle w:val="Compact"/>
                    <w:jc w:val="left"/>
                    <w:jc w:val="center"/>
                  </w:pPr>
                  <w:r>
                    <w:t xml:space="preserve">D-Dimer (mg/L FEU)</w:t>
                  </w:r>
                </w:p>
              </w:tc>
              <w:tc>
                <w:tcPr/>
                <w:p>
                  <w:pPr>
                    <w:pStyle w:val="Compact"/>
                    <w:jc w:val="left"/>
                    <w:jc w:val="center"/>
                  </w:pPr>
                  <w:r>
                    <w:t xml:space="preserve">≤ 2</w:t>
                  </w:r>
                </w:p>
              </w:tc>
              <w:tc>
                <w:tcPr/>
                <w:p>
                  <w:pPr>
                    <w:pStyle w:val="Compact"/>
                    <w:jc w:val="left"/>
                    <w:jc w:val="center"/>
                  </w:pPr>
                  <w:r>
                    <w:t xml:space="preserve">&gt; 2</w:t>
                  </w:r>
                </w:p>
              </w:tc>
              <w:tc>
                <w:tcPr/>
                <w:p>
                  <w:pPr>
                    <w:pStyle w:val="Compact"/>
                  </w:pPr>
                </w:p>
              </w:tc>
              <w:tc>
                <w:tcPr/>
                <w:p>
                  <w:pPr>
                    <w:pStyle w:val="Compact"/>
                  </w:pPr>
                </w:p>
              </w:tc>
            </w:tr>
            <w:tr>
              <w:tc>
                <w:tcPr/>
                <w:p>
                  <w:pPr>
                    <w:pStyle w:val="Compact"/>
                    <w:jc w:val="left"/>
                    <w:jc w:val="center"/>
                  </w:pPr>
                  <w:r>
                    <w:t xml:space="preserve">Fibrinogen (mg/dL)</w:t>
                  </w:r>
                </w:p>
              </w:tc>
              <w:tc>
                <w:tcPr/>
                <w:p>
                  <w:pPr>
                    <w:pStyle w:val="Compact"/>
                    <w:jc w:val="left"/>
                    <w:jc w:val="center"/>
                  </w:pPr>
                  <w:r>
                    <w:t xml:space="preserve">≥ 100</w:t>
                  </w:r>
                </w:p>
              </w:tc>
              <w:tc>
                <w:tcPr/>
                <w:p>
                  <w:pPr>
                    <w:pStyle w:val="Compact"/>
                    <w:jc w:val="left"/>
                    <w:jc w:val="center"/>
                  </w:pPr>
                  <w:r>
                    <w:t xml:space="preserve">&lt; 100</w:t>
                  </w:r>
                </w:p>
              </w:tc>
              <w:tc>
                <w:tcPr/>
                <w:p>
                  <w:pPr>
                    <w:pStyle w:val="Compact"/>
                  </w:pPr>
                </w:p>
              </w:tc>
              <w:tc>
                <w:tcPr/>
                <w:p>
                  <w:pPr>
                    <w:pStyle w:val="Compact"/>
                  </w:pPr>
                </w:p>
              </w:tc>
            </w:tr>
            <w:tr>
              <w:tc>
                <w:tcPr/>
                <w:p>
                  <w:pPr>
                    <w:pStyle w:val="Compact"/>
                    <w:jc w:val="left"/>
                    <w:jc w:val="center"/>
                  </w:pPr>
                  <w:r>
                    <w:rPr>
                      <w:bCs/>
                      <w:b/>
                    </w:rPr>
                    <w:t xml:space="preserve">Neurologic</w:t>
                  </w:r>
                  <w:r>
                    <w:rPr>
                      <w:rStyle w:val="FootnoteReference"/>
                    </w:rPr>
                    <w:footnoteReference w:id="32"/>
                  </w:r>
                  <w:r>
                    <w:t xml:space="preserve"> </w:t>
                  </w:r>
                  <w:r>
                    <w:t xml:space="preserve">(0-2 points)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GCS</w:t>
                  </w:r>
                  <w:r>
                    <w:rPr>
                      <w:rStyle w:val="FootnoteReference"/>
                    </w:rPr>
                    <w:footnoteReference w:id="33"/>
                  </w:r>
                  <w:r>
                    <w:t xml:space="preserve"> </w:t>
                  </w:r>
                  <w:r>
                    <w:t xml:space="preserve">≥ 11</w:t>
                  </w:r>
                </w:p>
              </w:tc>
              <w:tc>
                <w:tcPr/>
                <w:p>
                  <w:pPr>
                    <w:pStyle w:val="Compact"/>
                    <w:jc w:val="left"/>
                    <w:jc w:val="center"/>
                  </w:pPr>
                  <w:r>
                    <w:t xml:space="preserve">GCS ≤ 10</w:t>
                  </w:r>
                </w:p>
              </w:tc>
              <w:tc>
                <w:tcPr/>
                <w:p>
                  <w:pPr>
                    <w:pStyle w:val="Compact"/>
                    <w:jc w:val="left"/>
                    <w:jc w:val="center"/>
                  </w:pPr>
                  <w:r>
                    <w:t xml:space="preserve">Bilaterally fixed pupils</w:t>
                  </w:r>
                </w:p>
              </w:tc>
              <w:tc>
                <w:tcPr/>
                <w:p>
                  <w:pPr>
                    <w:pStyle w:val="Compact"/>
                  </w:pPr>
                </w:p>
              </w:tc>
            </w:tr>
            <w:tr>
              <w:tc>
                <w:tcPr/>
                <w:p>
                  <w:pPr>
                    <w:pStyle w:val="Compact"/>
                    <w:jc w:val="left"/>
                    <w:jc w:val="center"/>
                  </w:pPr>
                  <w:r>
                    <w:rPr>
                      <w:bCs/>
                      <w:b/>
                    </w:rPr>
                    <w:t xml:space="preserve">Endocrine</w:t>
                  </w:r>
                  <w:r>
                    <w:t xml:space="preserve"> </w:t>
                  </w:r>
                  <w:r>
                    <w:t xml:space="preserve">(0-1 point)</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Blood Glucose (mg/dL)</w:t>
                  </w:r>
                </w:p>
              </w:tc>
              <w:tc>
                <w:tcPr/>
                <w:p>
                  <w:pPr>
                    <w:pStyle w:val="Compact"/>
                    <w:jc w:val="left"/>
                    <w:jc w:val="center"/>
                  </w:pPr>
                  <w:r>
                    <w:t xml:space="preserve">50 ≤ Blood Glucose ≤ 150</w:t>
                  </w:r>
                </w:p>
              </w:tc>
              <w:tc>
                <w:tcPr/>
                <w:p>
                  <w:pPr>
                    <w:pStyle w:val="Compact"/>
                    <w:jc w:val="left"/>
                    <w:jc w:val="center"/>
                  </w:pPr>
                  <w:r>
                    <w:t xml:space="preserve">&lt; 50; or &gt; 150</w:t>
                  </w:r>
                </w:p>
              </w:tc>
              <w:tc>
                <w:tcPr/>
                <w:p>
                  <w:pPr>
                    <w:pStyle w:val="Compact"/>
                  </w:pPr>
                </w:p>
              </w:tc>
              <w:tc>
                <w:tcPr/>
                <w:p>
                  <w:pPr>
                    <w:pStyle w:val="Compact"/>
                  </w:pPr>
                </w:p>
              </w:tc>
            </w:tr>
            <w:tr>
              <w:tc>
                <w:tcPr/>
                <w:p>
                  <w:pPr>
                    <w:pStyle w:val="Compact"/>
                    <w:jc w:val="left"/>
                    <w:jc w:val="center"/>
                  </w:pPr>
                  <w:r>
                    <w:rPr>
                      <w:bCs/>
                      <w:b/>
                    </w:rPr>
                    <w:t xml:space="preserve">Immunologic</w:t>
                  </w:r>
                  <w:r>
                    <w:t xml:space="preserve"> </w:t>
                  </w:r>
                  <w:r>
                    <w:t xml:space="preserve">(0-1 point; point from ANC and/or ALC)</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ANC (cells/mm</w:t>
                  </w:r>
                  <w:r>
                    <w:rPr>
                      <w:vertAlign w:val="superscript"/>
                    </w:rPr>
                    <w:t xml:space="preserve">3</w:t>
                  </w:r>
                  <w:r>
                    <w:t xml:space="preserve">)</w:t>
                  </w:r>
                </w:p>
              </w:tc>
              <w:tc>
                <w:tcPr/>
                <w:p>
                  <w:pPr>
                    <w:pStyle w:val="Compact"/>
                    <w:jc w:val="left"/>
                    <w:jc w:val="center"/>
                  </w:pPr>
                  <w:r>
                    <w:t xml:space="preserve">≥ 500</w:t>
                  </w:r>
                </w:p>
              </w:tc>
              <w:tc>
                <w:tcPr/>
                <w:p>
                  <w:pPr>
                    <w:pStyle w:val="Compact"/>
                    <w:jc w:val="left"/>
                    <w:jc w:val="center"/>
                  </w:pPr>
                  <w:r>
                    <w:t xml:space="preserve">&lt; 500</w:t>
                  </w:r>
                </w:p>
              </w:tc>
              <w:tc>
                <w:tcPr/>
                <w:p>
                  <w:pPr>
                    <w:pStyle w:val="Compact"/>
                  </w:pPr>
                </w:p>
              </w:tc>
              <w:tc>
                <w:tcPr/>
                <w:p>
                  <w:pPr>
                    <w:pStyle w:val="Compact"/>
                  </w:pPr>
                </w:p>
              </w:tc>
            </w:tr>
            <w:tr>
              <w:tc>
                <w:tcPr/>
                <w:p>
                  <w:pPr>
                    <w:pStyle w:val="Compact"/>
                    <w:jc w:val="left"/>
                    <w:jc w:val="center"/>
                  </w:pPr>
                  <w:r>
                    <w:t xml:space="preserve">ALC (cells/mm</w:t>
                  </w:r>
                  <w:r>
                    <w:rPr>
                      <w:vertAlign w:val="superscript"/>
                    </w:rPr>
                    <w:t xml:space="preserve">3</w:t>
                  </w:r>
                  <w:r>
                    <w:t xml:space="preserve">)</w:t>
                  </w:r>
                </w:p>
              </w:tc>
              <w:tc>
                <w:tcPr/>
                <w:p>
                  <w:pPr>
                    <w:pStyle w:val="Compact"/>
                    <w:jc w:val="left"/>
                    <w:jc w:val="center"/>
                  </w:pPr>
                  <w:r>
                    <w:t xml:space="preserve">≥ 1000</w:t>
                  </w:r>
                </w:p>
              </w:tc>
              <w:tc>
                <w:tcPr/>
                <w:p>
                  <w:pPr>
                    <w:pStyle w:val="Compact"/>
                    <w:jc w:val="left"/>
                    <w:jc w:val="center"/>
                  </w:pPr>
                  <w:r>
                    <w:t xml:space="preserve">&lt; 1000</w:t>
                  </w:r>
                </w:p>
              </w:tc>
              <w:tc>
                <w:tcPr/>
                <w:p>
                  <w:pPr>
                    <w:pStyle w:val="Compact"/>
                  </w:pPr>
                </w:p>
              </w:tc>
              <w:tc>
                <w:tcPr/>
                <w:p>
                  <w:pPr>
                    <w:pStyle w:val="Compact"/>
                  </w:pPr>
                </w:p>
              </w:tc>
            </w:tr>
            <w:tr>
              <w:tc>
                <w:tcPr/>
                <w:p>
                  <w:pPr>
                    <w:pStyle w:val="Compact"/>
                    <w:jc w:val="left"/>
                    <w:jc w:val="center"/>
                  </w:pPr>
                  <w:r>
                    <w:rPr>
                      <w:bCs/>
                      <w:b/>
                    </w:rPr>
                    <w:t xml:space="preserve">Renal</w:t>
                  </w:r>
                  <w:r>
                    <w:t xml:space="preserve"> </w:t>
                  </w:r>
                  <w:r>
                    <w:t xml:space="preserve">(0-1 point)</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Age</w:t>
                  </w:r>
                  <w:r>
                    <w:rPr>
                      <w:rStyle w:val="FootnoteReference"/>
                    </w:rPr>
                    <w:footnoteReference w:id="34"/>
                  </w:r>
                  <w:r>
                    <w:t xml:space="preserve"> </w:t>
                  </w:r>
                  <w:r>
                    <w:t xml:space="preserve">(months) adjusted Creatinine (mg/dL)</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0 ≤ Age &lt; 1</w:t>
                  </w:r>
                </w:p>
              </w:tc>
              <w:tc>
                <w:tcPr/>
                <w:p>
                  <w:pPr>
                    <w:pStyle w:val="Compact"/>
                    <w:jc w:val="left"/>
                    <w:jc w:val="center"/>
                  </w:pPr>
                  <w:r>
                    <w:t xml:space="preserve">&lt; 0.8</w:t>
                  </w:r>
                </w:p>
              </w:tc>
              <w:tc>
                <w:tcPr/>
                <w:p>
                  <w:pPr>
                    <w:pStyle w:val="Compact"/>
                    <w:jc w:val="left"/>
                    <w:jc w:val="center"/>
                  </w:pPr>
                  <w:r>
                    <w:t xml:space="preserve">≥ 0.8</w:t>
                  </w:r>
                </w:p>
              </w:tc>
              <w:tc>
                <w:tcPr/>
                <w:p>
                  <w:pPr>
                    <w:pStyle w:val="Compact"/>
                  </w:pPr>
                </w:p>
              </w:tc>
              <w:tc>
                <w:tcPr/>
                <w:p>
                  <w:pPr>
                    <w:pStyle w:val="Compact"/>
                  </w:pPr>
                </w:p>
              </w:tc>
            </w:tr>
            <w:tr>
              <w:tc>
                <w:tcPr/>
                <w:p>
                  <w:pPr>
                    <w:pStyle w:val="Compact"/>
                    <w:jc w:val="left"/>
                    <w:jc w:val="center"/>
                  </w:pPr>
                  <w:r>
                    <w:t xml:space="preserve">1 ≤ Age &lt; 12</w:t>
                  </w:r>
                </w:p>
              </w:tc>
              <w:tc>
                <w:tcPr/>
                <w:p>
                  <w:pPr>
                    <w:pStyle w:val="Compact"/>
                    <w:jc w:val="left"/>
                    <w:jc w:val="center"/>
                  </w:pPr>
                  <w:r>
                    <w:t xml:space="preserve">&lt; 0.3</w:t>
                  </w:r>
                </w:p>
              </w:tc>
              <w:tc>
                <w:tcPr/>
                <w:p>
                  <w:pPr>
                    <w:pStyle w:val="Compact"/>
                    <w:jc w:val="left"/>
                    <w:jc w:val="center"/>
                  </w:pPr>
                  <w:r>
                    <w:t xml:space="preserve">≥ 0.3</w:t>
                  </w:r>
                </w:p>
              </w:tc>
              <w:tc>
                <w:tcPr/>
                <w:p>
                  <w:pPr>
                    <w:pStyle w:val="Compact"/>
                  </w:pPr>
                </w:p>
              </w:tc>
              <w:tc>
                <w:tcPr/>
                <w:p>
                  <w:pPr>
                    <w:pStyle w:val="Compact"/>
                  </w:pPr>
                </w:p>
              </w:tc>
            </w:tr>
            <w:tr>
              <w:tc>
                <w:tcPr/>
                <w:p>
                  <w:pPr>
                    <w:pStyle w:val="Compact"/>
                    <w:jc w:val="left"/>
                    <w:jc w:val="center"/>
                  </w:pPr>
                  <w:r>
                    <w:t xml:space="preserve">12 ≤ Age &lt; 24</w:t>
                  </w:r>
                </w:p>
              </w:tc>
              <w:tc>
                <w:tcPr/>
                <w:p>
                  <w:pPr>
                    <w:pStyle w:val="Compact"/>
                    <w:jc w:val="left"/>
                    <w:jc w:val="center"/>
                  </w:pPr>
                  <w:r>
                    <w:t xml:space="preserve">&lt; 0.4</w:t>
                  </w:r>
                </w:p>
              </w:tc>
              <w:tc>
                <w:tcPr/>
                <w:p>
                  <w:pPr>
                    <w:pStyle w:val="Compact"/>
                    <w:jc w:val="left"/>
                    <w:jc w:val="center"/>
                  </w:pPr>
                  <w:r>
                    <w:t xml:space="preserve">≥ 0.4</w:t>
                  </w:r>
                </w:p>
              </w:tc>
              <w:tc>
                <w:tcPr/>
                <w:p>
                  <w:pPr>
                    <w:pStyle w:val="Compact"/>
                  </w:pPr>
                </w:p>
              </w:tc>
              <w:tc>
                <w:tcPr/>
                <w:p>
                  <w:pPr>
                    <w:pStyle w:val="Compact"/>
                  </w:pPr>
                </w:p>
              </w:tc>
            </w:tr>
            <w:tr>
              <w:tc>
                <w:tcPr/>
                <w:p>
                  <w:pPr>
                    <w:pStyle w:val="Compact"/>
                    <w:jc w:val="left"/>
                    <w:jc w:val="center"/>
                  </w:pPr>
                  <w:r>
                    <w:t xml:space="preserve">24 ≤ Age &lt; 60</w:t>
                  </w:r>
                </w:p>
              </w:tc>
              <w:tc>
                <w:tcPr/>
                <w:p>
                  <w:pPr>
                    <w:pStyle w:val="Compact"/>
                    <w:jc w:val="left"/>
                    <w:jc w:val="center"/>
                  </w:pPr>
                  <w:r>
                    <w:t xml:space="preserve">&lt; 0.6</w:t>
                  </w:r>
                </w:p>
              </w:tc>
              <w:tc>
                <w:tcPr/>
                <w:p>
                  <w:pPr>
                    <w:pStyle w:val="Compact"/>
                    <w:jc w:val="left"/>
                    <w:jc w:val="center"/>
                  </w:pPr>
                  <w:r>
                    <w:t xml:space="preserve">≥ 0.6</w:t>
                  </w:r>
                </w:p>
              </w:tc>
              <w:tc>
                <w:tcPr/>
                <w:p>
                  <w:pPr>
                    <w:pStyle w:val="Compact"/>
                  </w:pPr>
                </w:p>
              </w:tc>
              <w:tc>
                <w:tcPr/>
                <w:p>
                  <w:pPr>
                    <w:pStyle w:val="Compact"/>
                  </w:pPr>
                </w:p>
              </w:tc>
            </w:tr>
            <w:tr>
              <w:tc>
                <w:tcPr/>
                <w:p>
                  <w:pPr>
                    <w:pStyle w:val="Compact"/>
                    <w:jc w:val="left"/>
                    <w:jc w:val="center"/>
                  </w:pPr>
                  <w:r>
                    <w:t xml:space="preserve">60 ≤ Age &lt; 144</w:t>
                  </w:r>
                </w:p>
              </w:tc>
              <w:tc>
                <w:tcPr/>
                <w:p>
                  <w:pPr>
                    <w:pStyle w:val="Compact"/>
                    <w:jc w:val="left"/>
                    <w:jc w:val="center"/>
                  </w:pPr>
                  <w:r>
                    <w:t xml:space="preserve">&lt; 0.7</w:t>
                  </w:r>
                </w:p>
              </w:tc>
              <w:tc>
                <w:tcPr/>
                <w:p>
                  <w:pPr>
                    <w:pStyle w:val="Compact"/>
                    <w:jc w:val="left"/>
                    <w:jc w:val="center"/>
                  </w:pPr>
                  <w:r>
                    <w:t xml:space="preserve">≥ 0.7</w:t>
                  </w:r>
                </w:p>
              </w:tc>
              <w:tc>
                <w:tcPr/>
                <w:p>
                  <w:pPr>
                    <w:pStyle w:val="Compact"/>
                  </w:pPr>
                </w:p>
              </w:tc>
              <w:tc>
                <w:tcPr/>
                <w:p>
                  <w:pPr>
                    <w:pStyle w:val="Compact"/>
                  </w:pPr>
                </w:p>
              </w:tc>
            </w:tr>
            <w:tr>
              <w:tc>
                <w:tcPr/>
                <w:p>
                  <w:pPr>
                    <w:pStyle w:val="Compact"/>
                    <w:jc w:val="left"/>
                    <w:jc w:val="center"/>
                  </w:pPr>
                  <w:r>
                    <w:t xml:space="preserve">144 ≤ Age &lt; 216</w:t>
                  </w:r>
                </w:p>
              </w:tc>
              <w:tc>
                <w:tcPr/>
                <w:p>
                  <w:pPr>
                    <w:pStyle w:val="Compact"/>
                    <w:jc w:val="left"/>
                    <w:jc w:val="center"/>
                  </w:pPr>
                  <w:r>
                    <w:t xml:space="preserve">&lt; 1.0</w:t>
                  </w:r>
                </w:p>
              </w:tc>
              <w:tc>
                <w:tcPr/>
                <w:p>
                  <w:pPr>
                    <w:pStyle w:val="Compact"/>
                    <w:jc w:val="left"/>
                    <w:jc w:val="center"/>
                  </w:pPr>
                  <w:r>
                    <w:t xml:space="preserve">≥ 1.0</w:t>
                  </w:r>
                </w:p>
              </w:tc>
              <w:tc>
                <w:tcPr/>
                <w:p>
                  <w:pPr>
                    <w:pStyle w:val="Compact"/>
                  </w:pPr>
                </w:p>
              </w:tc>
              <w:tc>
                <w:tcPr/>
                <w:p>
                  <w:pPr>
                    <w:pStyle w:val="Compact"/>
                  </w:pPr>
                </w:p>
              </w:tc>
            </w:tr>
            <w:tr>
              <w:tc>
                <w:tcPr/>
                <w:p>
                  <w:pPr>
                    <w:pStyle w:val="Compact"/>
                    <w:jc w:val="left"/>
                    <w:jc w:val="center"/>
                  </w:pPr>
                  <w:r>
                    <w:rPr>
                      <w:bCs/>
                      <w:b/>
                    </w:rPr>
                    <w:t xml:space="preserve">Hepatic</w:t>
                  </w:r>
                  <w:r>
                    <w:t xml:space="preserve"> </w:t>
                  </w:r>
                  <w:r>
                    <w:t xml:space="preserve">(0-1 point; point from total bilirubin and/or ALT)</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Total Bilirubin (mg/dL)</w:t>
                  </w:r>
                </w:p>
              </w:tc>
              <w:tc>
                <w:tcPr/>
                <w:p>
                  <w:pPr>
                    <w:pStyle w:val="Compact"/>
                    <w:jc w:val="left"/>
                    <w:jc w:val="center"/>
                  </w:pPr>
                  <w:r>
                    <w:t xml:space="preserve">&lt; 4</w:t>
                  </w:r>
                </w:p>
              </w:tc>
              <w:tc>
                <w:tcPr/>
                <w:p>
                  <w:pPr>
                    <w:pStyle w:val="Compact"/>
                    <w:jc w:val="left"/>
                    <w:jc w:val="center"/>
                  </w:pPr>
                  <w:r>
                    <w:t xml:space="preserve">≥ 4</w:t>
                  </w:r>
                </w:p>
              </w:tc>
              <w:tc>
                <w:tcPr/>
                <w:p>
                  <w:pPr>
                    <w:pStyle w:val="Compact"/>
                  </w:pPr>
                </w:p>
              </w:tc>
              <w:tc>
                <w:tcPr/>
                <w:p>
                  <w:pPr>
                    <w:pStyle w:val="Compact"/>
                  </w:pPr>
                </w:p>
              </w:tc>
            </w:tr>
            <w:tr>
              <w:tc>
                <w:tcPr/>
                <w:p>
                  <w:pPr>
                    <w:pStyle w:val="Compact"/>
                    <w:jc w:val="left"/>
                    <w:jc w:val="center"/>
                  </w:pPr>
                  <w:r>
                    <w:t xml:space="preserve">ALT (IU/L)</w:t>
                  </w:r>
                </w:p>
              </w:tc>
              <w:tc>
                <w:tcPr/>
                <w:p>
                  <w:pPr>
                    <w:pStyle w:val="Compact"/>
                    <w:jc w:val="left"/>
                    <w:jc w:val="center"/>
                  </w:pPr>
                  <w:r>
                    <w:t xml:space="preserve">≤ 102</w:t>
                  </w:r>
                </w:p>
              </w:tc>
              <w:tc>
                <w:tcPr/>
                <w:p>
                  <w:pPr>
                    <w:pStyle w:val="Compact"/>
                    <w:jc w:val="left"/>
                    <w:jc w:val="center"/>
                  </w:pPr>
                  <w:r>
                    <w:t xml:space="preserve">&gt; 102</w:t>
                  </w:r>
                </w:p>
              </w:tc>
              <w:tc>
                <w:tcPr/>
                <w:p>
                  <w:pPr>
                    <w:pStyle w:val="Compact"/>
                  </w:pPr>
                </w:p>
              </w:tc>
              <w:tc>
                <w:tcPr/>
                <w:p>
                  <w:pPr>
                    <w:pStyle w:val="Compact"/>
                  </w:pPr>
                </w:p>
              </w:tc>
            </w:tr>
          </w:tbl>
          <w:bookmarkEnd w:id="35"/>
          <w:p/>
        </w:tc>
      </w:tr>
    </w:tbl>
    <w:p>
      <w:pPr>
        <w:pStyle w:val="BodyText"/>
      </w:pPr>
      <w:r>
        <w:t xml:space="preserve">The Phoenix criteria define sepsis as a suspected infection (operationalized as</w:t>
      </w:r>
      <w:r>
        <w:t xml:space="preserve"> </w:t>
      </w:r>
      <w:r>
        <w:t xml:space="preserve">at least one dose of a systemic anti-microbial medication and at least one</w:t>
      </w:r>
      <w:r>
        <w:t xml:space="preserve"> </w:t>
      </w:r>
      <w:r>
        <w:t xml:space="preserve">microbiological test ordered within the first 24 hours of a hospital encounter) with</w:t>
      </w:r>
      <w:r>
        <w:t xml:space="preserve"> </w:t>
      </w:r>
      <w:r>
        <w:t xml:space="preserve">a Phoenix score of at least 2 points. Additionally, septic shock is defined as</w:t>
      </w:r>
      <w:r>
        <w:t xml:space="preserve"> </w:t>
      </w:r>
      <w:r>
        <w:t xml:space="preserve">sepsis with at least one point from the cardiovascular dysfunction component of</w:t>
      </w:r>
      <w:r>
        <w:t xml:space="preserve"> </w:t>
      </w:r>
      <w:r>
        <w:t xml:space="preserve">the Phoenix Sepsis</w:t>
      </w:r>
      <w:r>
        <w:t xml:space="preserve"> </w:t>
      </w:r>
      <w:r>
        <w:t xml:space="preserve">Score.</w:t>
      </w:r>
      <w:r>
        <w:t xml:space="preserve">[3,4]</w:t>
      </w:r>
    </w:p>
    <w:p>
      <w:pPr>
        <w:pStyle w:val="BodyText"/>
      </w:pPr>
      <w:r>
        <w:t xml:space="preserve">Missing data values are mapped to scores of</w:t>
      </w:r>
      <w:r>
        <w:t xml:space="preserve"> </w:t>
      </w:r>
      <w:r>
        <w:t xml:space="preserve">zero.</w:t>
      </w:r>
      <w:r>
        <w:t xml:space="preserve">[4]</w:t>
      </w:r>
      <w:r>
        <w:t xml:space="preserve"> </w:t>
      </w:r>
      <w:r>
        <w:t xml:space="preserve">It was reasonable to assume that for some</w:t>
      </w:r>
      <w:r>
        <w:t xml:space="preserve"> </w:t>
      </w:r>
      <w:r>
        <w:t xml:space="preserve">laboratory values and metrics missing data indicate no concern and testing</w:t>
      </w:r>
      <w:r>
        <w:t xml:space="preserve"> </w:t>
      </w:r>
      <w:r>
        <w:t xml:space="preserve">was not ordered. Further, the Phoenix criteria was developed to be useful in</w:t>
      </w:r>
      <w:r>
        <w:t xml:space="preserve"> </w:t>
      </w:r>
      <w:r>
        <w:t xml:space="preserve">high, medium, and low resource settings where some laboratory values,</w:t>
      </w:r>
      <w:r>
        <w:t xml:space="preserve"> </w:t>
      </w:r>
      <w:r>
        <w:t xml:space="preserve">medications, and other values might be uncommon or impossible to obtain. The</w:t>
      </w:r>
      <w:r>
        <w:t xml:space="preserve"> </w:t>
      </w:r>
      <w:r>
        <w:rPr>
          <w:rStyle w:val="VerbatimChar"/>
        </w:rPr>
        <w:t xml:space="preserve">phoenix</w:t>
      </w:r>
      <w:r>
        <w:t xml:space="preserve"> </w:t>
      </w:r>
      <w:r>
        <w:t xml:space="preserve">R package, Python module, and example SQL queries handle missing</w:t>
      </w:r>
      <w:r>
        <w:t xml:space="preserve"> </w:t>
      </w:r>
      <w:r>
        <w:t xml:space="preserve">values consistent with the development approach for the Phoenix criteria.</w:t>
      </w:r>
    </w:p>
    <w:p>
      <w:pPr>
        <w:pStyle w:val="BodyText"/>
      </w:pPr>
      <w:r>
        <w:t xml:space="preserve">The</w:t>
      </w:r>
      <w:r>
        <w:t xml:space="preserve"> </w:t>
      </w:r>
      <w:r>
        <w:rPr>
          <w:rStyle w:val="VerbatimChar"/>
        </w:rPr>
        <w:t xml:space="preserve">phoenix</w:t>
      </w:r>
      <w:r>
        <w:t xml:space="preserve"> </w:t>
      </w:r>
      <w:r>
        <w:t xml:space="preserve">R package is available from the Comprehensive R</w:t>
      </w:r>
      <w:r>
        <w:t xml:space="preserve"> </w:t>
      </w:r>
      <w:r>
        <w:t xml:space="preserve">Archive Network (CRAN) (https://cran.r-project.org/package=phoenix) and GitHub</w:t>
      </w:r>
      <w:r>
        <w:t xml:space="preserve"> </w:t>
      </w:r>
      <w:r>
        <w:t xml:space="preserve">(https://github.com/cu-dbmi-peds/phoenix/).</w:t>
      </w:r>
      <w:r>
        <w:t xml:space="preserve"> </w:t>
      </w:r>
      <w:r>
        <w:rPr>
          <w:rStyle w:val="VerbatimChar"/>
        </w:rPr>
        <w:t xml:space="preserve">phoenix</w:t>
      </w:r>
      <w:r>
        <w:t xml:space="preserve"> </w:t>
      </w:r>
      <w:r>
        <w:t xml:space="preserve">was designed to be as light-weight as possible. There are no dependencies nor</w:t>
      </w:r>
      <w:r>
        <w:t xml:space="preserve"> </w:t>
      </w:r>
      <w:r>
        <w:t xml:space="preserve">imports save base R. The R package was the primary focus for development and</w:t>
      </w:r>
      <w:r>
        <w:t xml:space="preserve"> </w:t>
      </w:r>
      <w:r>
        <w:t xml:space="preserve">will be the focus for this manuscript. A testing suite for version 1.0.0 of</w:t>
      </w:r>
      <w:r>
        <w:t xml:space="preserve"> </w:t>
      </w:r>
      <w:r>
        <w:rPr>
          <w:rStyle w:val="VerbatimChar"/>
        </w:rPr>
        <w:t xml:space="preserve">phoenix</w:t>
      </w:r>
      <w:r>
        <w:t xml:space="preserve"> </w:t>
      </w:r>
      <w:r>
        <w:t xml:space="preserve">has 100% code coverage (details on the GitHub page) along with</w:t>
      </w:r>
      <w:r>
        <w:t xml:space="preserve"> </w:t>
      </w:r>
      <w:r>
        <w:t xml:space="preserve">automatic CRAN checks for Windows, MacOS, and Ubuntu, for the current version</w:t>
      </w:r>
      <w:r>
        <w:t xml:space="preserve"> </w:t>
      </w:r>
      <w:r>
        <w:t xml:space="preserve">of R, the prior version of R, and the development version of R.</w:t>
      </w:r>
    </w:p>
    <w:p>
      <w:pPr>
        <w:pStyle w:val="BodyText"/>
      </w:pPr>
      <w:r>
        <w:t xml:space="preserve">The Python module has been made public via PyPi</w:t>
      </w:r>
      <w:r>
        <w:t xml:space="preserve"> </w:t>
      </w:r>
      <w:r>
        <w:t xml:space="preserve">(https://pypi.org/project/phoenix-sepsis/) with source code available in the</w:t>
      </w:r>
      <w:r>
        <w:t xml:space="preserve"> </w:t>
      </w:r>
      <w:r>
        <w:t xml:space="preserve">same GitHub repository as the R package. A set of tests are built within the</w:t>
      </w:r>
      <w:r>
        <w:t xml:space="preserve"> </w:t>
      </w:r>
      <w:r>
        <w:t xml:space="preserve">GitHub source code to ensure that the results of the Python module are identical</w:t>
      </w:r>
      <w:r>
        <w:t xml:space="preserve"> </w:t>
      </w:r>
      <w:r>
        <w:t xml:space="preserve">to the results of the R package.</w:t>
      </w:r>
    </w:p>
    <w:p>
      <w:pPr>
        <w:pStyle w:val="BodyText"/>
      </w:pPr>
      <w:r>
        <w:t xml:space="preserve">Lastly, example SQL queries, as understood by SQLite, are also provided in the</w:t>
      </w:r>
      <w:r>
        <w:t xml:space="preserve"> </w:t>
      </w:r>
      <w:r>
        <w:t xml:space="preserve">GitHub repository and the</w:t>
      </w:r>
      <w:r>
        <w:t xml:space="preserve"> </w:t>
      </w:r>
      <w:r>
        <w:rPr>
          <w:bCs/>
          <w:b/>
        </w:rPr>
        <w:t xml:space="preserve">Supplemental Examples</w:t>
      </w:r>
      <w:r>
        <w:t xml:space="preserve">. As with the Python module</w:t>
      </w:r>
      <w:r>
        <w:t xml:space="preserve"> </w:t>
      </w:r>
      <w:r>
        <w:t xml:space="preserve">there is testing code within the repo to ensure the results of the SQLite</w:t>
      </w:r>
      <w:r>
        <w:t xml:space="preserve"> </w:t>
      </w:r>
      <w:r>
        <w:t xml:space="preserve">queries are identical to the R package.</w:t>
      </w:r>
    </w:p>
    <w:p>
      <w:pPr>
        <w:pStyle w:val="BodyText"/>
      </w:pPr>
      <w:r>
        <w:t xml:space="preserve">Extensive documentation for the R package, Python module, and SQLite queries are</w:t>
      </w:r>
      <w:r>
        <w:t xml:space="preserve"> </w:t>
      </w:r>
      <w:r>
        <w:t xml:space="preserve">available on the package website https://cu-dbmi-peds.github.io/phoenix/.</w:t>
      </w:r>
    </w:p>
    <w:bookmarkEnd w:id="36"/>
    <w:bookmarkStart w:id="38" w:name="sec-results"/>
    <w:p>
      <w:pPr>
        <w:pStyle w:val="Heading1"/>
      </w:pPr>
      <w:r>
        <w:t xml:space="preserve">Results</w:t>
      </w:r>
    </w:p>
    <w:p>
      <w:pPr>
        <w:pStyle w:val="FirstParagraph"/>
      </w:pPr>
      <w:r>
        <w:t xml:space="preserve">An example data set,</w:t>
      </w:r>
      <w:r>
        <w:t xml:space="preserve"> </w:t>
      </w:r>
      <w:r>
        <w:rPr>
          <w:rStyle w:val="VerbatimChar"/>
        </w:rPr>
        <w:t xml:space="preserve">sepsis</w:t>
      </w:r>
      <w:r>
        <w:t xml:space="preserve">, is provided as a</w:t>
      </w:r>
      <w:r>
        <w:t xml:space="preserve"> </w:t>
      </w:r>
      <w:r>
        <w:rPr>
          <w:rStyle w:val="VerbatimChar"/>
        </w:rPr>
        <w:t xml:space="preserve">data.frame</w:t>
      </w:r>
      <w:r>
        <w:t xml:space="preserve"> </w:t>
      </w:r>
      <w:r>
        <w:t xml:space="preserve">within the R</w:t>
      </w:r>
      <w:r>
        <w:t xml:space="preserve"> </w:t>
      </w:r>
      <w:r>
        <w:t xml:space="preserve">package, as a plain text file in the Python module, and used in the example</w:t>
      </w:r>
      <w:r>
        <w:t xml:space="preserve"> </w:t>
      </w:r>
      <w:r>
        <w:t xml:space="preserve">SQLite queries. The data consists of 20 synthetic observations of</w:t>
      </w:r>
      <w:r>
        <w:t xml:space="preserve"> </w:t>
      </w:r>
      <w:r>
        <w:t xml:space="preserve">27 variables needed by the Phoenix and Phoenix-8 criteria. The</w:t>
      </w:r>
      <w:r>
        <w:t xml:space="preserve"> </w:t>
      </w:r>
      <w:r>
        <w:t xml:space="preserve">data is lazyloaded in R and is available when the</w:t>
      </w:r>
      <w:r>
        <w:t xml:space="preserve"> </w:t>
      </w:r>
      <w:r>
        <w:rPr>
          <w:rStyle w:val="VerbatimChar"/>
        </w:rPr>
        <w:t xml:space="preserve">phoenix</w:t>
      </w:r>
      <w:r>
        <w:t xml:space="preserve"> </w:t>
      </w:r>
      <w:r>
        <w:t xml:space="preserve">namespace is</w:t>
      </w:r>
      <w:r>
        <w:t xml:space="preserve"> </w:t>
      </w:r>
      <w:r>
        <w:t xml:space="preserve">attached to the search path, i.e., when</w:t>
      </w:r>
      <w:r>
        <w:t xml:space="preserve"> </w:t>
      </w:r>
      <w:r>
        <w:rPr>
          <w:rStyle w:val="VerbatimChar"/>
        </w:rPr>
        <w:t xml:space="preserve">library(phoenix)</w:t>
      </w:r>
      <w:r>
        <w:t xml:space="preserve"> </w:t>
      </w:r>
      <w:r>
        <w:t xml:space="preserve">is called.</w:t>
      </w:r>
    </w:p>
    <w:p>
      <w:pPr>
        <w:pStyle w:val="SourceCode"/>
      </w:pPr>
      <w:r>
        <w:rPr>
          <w:rStyle w:val="FunctionTok"/>
        </w:rPr>
        <w:t xml:space="preserve">library</w:t>
      </w:r>
      <w:r>
        <w:rPr>
          <w:rStyle w:val="NormalTok"/>
        </w:rPr>
        <w:t xml:space="preserve">(phoenix)</w:t>
      </w:r>
      <w:r>
        <w:br/>
      </w:r>
      <w:r>
        <w:rPr>
          <w:rStyle w:val="FunctionTok"/>
        </w:rPr>
        <w:t xml:space="preserve">dim</w:t>
      </w:r>
      <w:r>
        <w:rPr>
          <w:rStyle w:val="NormalTok"/>
        </w:rPr>
        <w:t xml:space="preserve">(sepsis)</w:t>
      </w:r>
      <w:r>
        <w:br/>
      </w:r>
      <w:r>
        <w:rPr>
          <w:rStyle w:val="DocumentationTok"/>
        </w:rPr>
        <w:t xml:space="preserve">## [1] 20 27</w:t>
      </w:r>
      <w:r>
        <w:br/>
      </w:r>
      <w:r>
        <w:rPr>
          <w:rStyle w:val="FunctionTok"/>
        </w:rPr>
        <w:t xml:space="preserve">names</w:t>
      </w:r>
      <w:r>
        <w:rPr>
          <w:rStyle w:val="NormalTok"/>
        </w:rPr>
        <w:t xml:space="preserve">(sepsis)</w:t>
      </w:r>
      <w:r>
        <w:br/>
      </w:r>
      <w:r>
        <w:rPr>
          <w:rStyle w:val="DocumentationTok"/>
        </w:rPr>
        <w:t xml:space="preserve">##  [1] "pid"            "age"            "fio2"           "pao2"          </w:t>
      </w:r>
      <w:r>
        <w:br/>
      </w:r>
      <w:r>
        <w:rPr>
          <w:rStyle w:val="DocumentationTok"/>
        </w:rPr>
        <w:t xml:space="preserve">##  [5] "spo2"           "vent"           "gcs_total"      "pupil"         </w:t>
      </w:r>
      <w:r>
        <w:br/>
      </w:r>
      <w:r>
        <w:rPr>
          <w:rStyle w:val="DocumentationTok"/>
        </w:rPr>
        <w:t xml:space="preserve">##  [9] "platelets"      "inr"            "d_dimer"        "fibrinogen"    </w:t>
      </w:r>
      <w:r>
        <w:br/>
      </w:r>
      <w:r>
        <w:rPr>
          <w:rStyle w:val="DocumentationTok"/>
        </w:rPr>
        <w:t xml:space="preserve">## [13] "dbp"            "sbp"            "lactate"        "dobutamine"    </w:t>
      </w:r>
      <w:r>
        <w:br/>
      </w:r>
      <w:r>
        <w:rPr>
          <w:rStyle w:val="DocumentationTok"/>
        </w:rPr>
        <w:t xml:space="preserve">## [17] "dopamine"       "epinephrine"    "milrinone"      "norepinephrine"</w:t>
      </w:r>
      <w:r>
        <w:br/>
      </w:r>
      <w:r>
        <w:rPr>
          <w:rStyle w:val="DocumentationTok"/>
        </w:rPr>
        <w:t xml:space="preserve">## [21] "vasopressin"    "glucose"        "anc"            "alc"           </w:t>
      </w:r>
      <w:r>
        <w:br/>
      </w:r>
      <w:r>
        <w:rPr>
          <w:rStyle w:val="DocumentationTok"/>
        </w:rPr>
        <w:t xml:space="preserve">## [25] "creatinine"     "bilirubin"      "alt"</w:t>
      </w:r>
    </w:p>
    <w:p>
      <w:pPr>
        <w:pStyle w:val="FirstParagraph"/>
      </w:pPr>
      <w:r>
        <w:t xml:space="preserve">In Python, the example data can be loaded into a pandas DataFrame via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importlib.resources</w:t>
      </w:r>
      <w:r>
        <w:br/>
      </w:r>
      <w:r>
        <w:rPr>
          <w:rStyle w:val="ImportTok"/>
        </w:rPr>
        <w:t xml:space="preserve">import</w:t>
      </w:r>
      <w:r>
        <w:rPr>
          <w:rStyle w:val="NormalTok"/>
        </w:rPr>
        <w:t xml:space="preserve"> phoenix </w:t>
      </w:r>
      <w:r>
        <w:rPr>
          <w:rStyle w:val="ImportTok"/>
        </w:rPr>
        <w:t xml:space="preserve">as</w:t>
      </w:r>
      <w:r>
        <w:rPr>
          <w:rStyle w:val="NormalTok"/>
        </w:rPr>
        <w:t xml:space="preserve"> phx</w:t>
      </w:r>
      <w:r>
        <w:br/>
      </w:r>
      <w:r>
        <w:rPr>
          <w:rStyle w:val="NormalTok"/>
        </w:rPr>
        <w:t xml:space="preserve">path </w:t>
      </w:r>
      <w:r>
        <w:rPr>
          <w:rStyle w:val="OperatorTok"/>
        </w:rPr>
        <w:t xml:space="preserve">=</w:t>
      </w:r>
      <w:r>
        <w:rPr>
          <w:rStyle w:val="NormalTok"/>
        </w:rPr>
        <w:t xml:space="preserve"> importlib.resources.files(</w:t>
      </w:r>
      <w:r>
        <w:rPr>
          <w:rStyle w:val="StringTok"/>
        </w:rPr>
        <w:t xml:space="preserve">'phoenix'</w:t>
      </w:r>
      <w:r>
        <w:rPr>
          <w:rStyle w:val="NormalTok"/>
        </w:rPr>
        <w:t xml:space="preserve">)</w:t>
      </w:r>
      <w:r>
        <w:br/>
      </w:r>
      <w:r>
        <w:rPr>
          <w:rStyle w:val="NormalTok"/>
        </w:rPr>
        <w:t xml:space="preserve">sepsis </w:t>
      </w:r>
      <w:r>
        <w:rPr>
          <w:rStyle w:val="OperatorTok"/>
        </w:rPr>
        <w:t xml:space="preserve">=</w:t>
      </w:r>
      <w:r>
        <w:rPr>
          <w:rStyle w:val="NormalTok"/>
        </w:rPr>
        <w:t xml:space="preserve"> pd.read_csv(path.joinpath(</w:t>
      </w:r>
      <w:r>
        <w:rPr>
          <w:rStyle w:val="StringTok"/>
        </w:rPr>
        <w:t xml:space="preserve">'data'</w:t>
      </w:r>
      <w:r>
        <w:rPr>
          <w:rStyle w:val="NormalTok"/>
        </w:rPr>
        <w:t xml:space="preserve">).joinpath(</w:t>
      </w:r>
      <w:r>
        <w:rPr>
          <w:rStyle w:val="StringTok"/>
        </w:rPr>
        <w:t xml:space="preserve">'sepsis.csv'</w:t>
      </w:r>
      <w:r>
        <w:rPr>
          <w:rStyle w:val="NormalTok"/>
        </w:rPr>
        <w:t xml:space="preserve">))</w:t>
      </w:r>
      <w:r>
        <w:br/>
      </w:r>
      <w:r>
        <w:rPr>
          <w:rStyle w:val="BuiltInTok"/>
        </w:rPr>
        <w:t xml:space="preserve">print</w:t>
      </w:r>
      <w:r>
        <w:rPr>
          <w:rStyle w:val="NormalTok"/>
        </w:rPr>
        <w:t xml:space="preserve">(sepsis.shape)</w:t>
      </w:r>
      <w:r>
        <w:br/>
      </w:r>
      <w:r>
        <w:rPr>
          <w:rStyle w:val="CommentTok"/>
        </w:rPr>
        <w:t xml:space="preserve">## (20, 27)</w:t>
      </w:r>
    </w:p>
    <w:p>
      <w:pPr>
        <w:pStyle w:val="FirstParagraph"/>
      </w:pPr>
      <w:r>
        <w:t xml:space="preserve">Extensive detail on the synthetic data is available in the R package</w:t>
      </w:r>
      <w:r>
        <w:t xml:space="preserve"> </w:t>
      </w:r>
      <w:r>
        <w:t xml:space="preserve">documentation, the package website, and in the</w:t>
      </w:r>
      <w:r>
        <w:t xml:space="preserve"> </w:t>
      </w:r>
      <w:r>
        <w:rPr>
          <w:bCs/>
          <w:b/>
        </w:rPr>
        <w:t xml:space="preserve">Supplementary Examples</w:t>
      </w:r>
      <w:r>
        <w:t xml:space="preserve">.</w:t>
      </w:r>
    </w:p>
    <w:p>
      <w:pPr>
        <w:pStyle w:val="BodyText"/>
      </w:pPr>
      <w:r>
        <w:t xml:space="preserve">End users of the Python module and R package will have generally the same</w:t>
      </w:r>
      <w:r>
        <w:t xml:space="preserve"> </w:t>
      </w:r>
      <w:r>
        <w:t xml:space="preserve">experience. Both use the same naming conventions and provide the same ten</w:t>
      </w:r>
      <w:r>
        <w:t xml:space="preserve"> </w:t>
      </w:r>
      <w:r>
        <w:t xml:space="preserve">vectorized functions for applying the Phoenix criteria (</w:t>
      </w:r>
      <w:hyperlink w:anchor="tbl-functions">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tbl-functions"/>
          <w:p>
            <w:pPr>
              <w:jc w:val="center"/>
            </w:pPr>
            <w:pPr>
              <w:jc w:val="start"/>
              <w:spacing w:before="200"/>
              <w:pStyle w:val="ImageCaption"/>
            </w:pPr>
            <w:r>
              <w:t xml:space="preserve">Table 2: R and Python function names and returns for each of the Phoenix organ</w:t>
            </w:r>
            <w:r>
              <w:t xml:space="preserve"> </w:t>
            </w:r>
            <w:r>
              <w:t xml:space="preserve">dysfunction scores and total scoring. The Phoenix criteria is the sum of the</w:t>
            </w:r>
            <w:r>
              <w:t xml:space="preserve"> </w:t>
            </w:r>
            <w:r>
              <w:t xml:space="preserve">respiratory, cardiovascular, coagulation, and neurologic scores. Phoenix</w:t>
            </w:r>
            <w:r>
              <w:t xml:space="preserve"> </w:t>
            </w:r>
            <w:r>
              <w:t xml:space="preserve">sepsis is defined as a total score of two or more points (along with suspected</w:t>
            </w:r>
            <w:r>
              <w:t xml:space="preserve"> </w:t>
            </w:r>
            <w:r>
              <w:t xml:space="preserve">infection). Septic shock is sepsis with at least one cardiovascular point.</w:t>
            </w:r>
            <w:r>
              <w:t xml:space="preserve"> </w:t>
            </w:r>
            <w:r>
              <w:t xml:space="preserve">Phoenix-8 is an extended scoring system and is the sum of all eight organ</w:t>
            </w:r>
            <w:r>
              <w:t xml:space="preserve"> </w:t>
            </w:r>
            <w:r>
              <w:t xml:space="preserve">systems.</w:t>
            </w:r>
          </w:p>
          <w:tbl>
            <w:tblPr>
              <w:tblStyle w:val="Table"/>
              <w:tblW w:type="pct" w:w="5000"/>
              <w:tblLook w:firstRow="1" w:lastRow="0" w:firstColumn="0" w:lastColumn="0" w:noHBand="0" w:noVBand="0" w:val="0020"/>
              <w:jc w:val="start"/>
              <w:tblLayout w:type="fixed"/>
            </w:tblPr>
            <w:tblGrid>
              <w:gridCol w:w="2493"/>
              <w:gridCol w:w="2640"/>
              <w:gridCol w:w="1026"/>
              <w:gridCol w:w="1760"/>
            </w:tblGrid>
            <w:tr>
              <w:trPr>
                <w:tblHeader w:val="true"/>
              </w:trPr>
              <w:tc>
                <w:tcPr/>
                <w:p>
                  <w:pPr>
                    <w:pStyle w:val="Compact"/>
                    <w:jc w:val="left"/>
                    <w:jc w:val="center"/>
                  </w:pPr>
                  <w:r>
                    <w:t xml:space="preserve">Phoenix Criteria</w:t>
                  </w:r>
                </w:p>
              </w:tc>
              <w:tc>
                <w:tcPr/>
                <w:p>
                  <w:pPr>
                    <w:pStyle w:val="Compact"/>
                    <w:jc w:val="left"/>
                    <w:jc w:val="center"/>
                  </w:pPr>
                  <w:r>
                    <w:t xml:space="preserve">R, Python Function</w:t>
                  </w:r>
                </w:p>
              </w:tc>
              <w:tc>
                <w:tcPr/>
                <w:p>
                  <w:pPr>
                    <w:pStyle w:val="Compact"/>
                    <w:jc w:val="left"/>
                    <w:jc w:val="center"/>
                  </w:pPr>
                  <w:r>
                    <w:t xml:space="preserve">R Return</w:t>
                  </w:r>
                </w:p>
              </w:tc>
              <w:tc>
                <w:tcPr/>
                <w:p>
                  <w:pPr>
                    <w:pStyle w:val="Compact"/>
                    <w:jc w:val="left"/>
                    <w:jc w:val="center"/>
                  </w:pPr>
                  <w:r>
                    <w:t xml:space="preserve">Python Return</w:t>
                  </w:r>
                </w:p>
              </w:tc>
            </w:tr>
            <w:tr>
              <w:tc>
                <w:tcPr/>
                <w:p>
                  <w:pPr>
                    <w:pStyle w:val="Compact"/>
                    <w:jc w:val="left"/>
                    <w:jc w:val="center"/>
                  </w:pPr>
                  <w:r>
                    <w:t xml:space="preserve">Respiratory dysfunction</w:t>
                  </w:r>
                </w:p>
              </w:tc>
              <w:tc>
                <w:tcPr/>
                <w:p>
                  <w:pPr>
                    <w:pStyle w:val="Compact"/>
                    <w:jc w:val="left"/>
                    <w:jc w:val="center"/>
                  </w:pPr>
                  <w:r>
                    <w:rPr>
                      <w:rStyle w:val="VerbatimChar"/>
                    </w:rPr>
                    <w:t xml:space="preserve">phoenix_respiratory</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Cardiovascular dysfunction</w:t>
                  </w:r>
                </w:p>
              </w:tc>
              <w:tc>
                <w:tcPr/>
                <w:p>
                  <w:pPr>
                    <w:pStyle w:val="Compact"/>
                    <w:jc w:val="left"/>
                    <w:jc w:val="center"/>
                  </w:pPr>
                  <w:r>
                    <w:rPr>
                      <w:rStyle w:val="VerbatimChar"/>
                    </w:rPr>
                    <w:t xml:space="preserve">phoenix_cardiovascular</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Coagulation dysfunction</w:t>
                  </w:r>
                </w:p>
              </w:tc>
              <w:tc>
                <w:tcPr/>
                <w:p>
                  <w:pPr>
                    <w:pStyle w:val="Compact"/>
                    <w:jc w:val="left"/>
                    <w:jc w:val="center"/>
                  </w:pPr>
                  <w:r>
                    <w:rPr>
                      <w:rStyle w:val="VerbatimChar"/>
                    </w:rPr>
                    <w:t xml:space="preserve">phoenix_coagulation</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Neurologic dysfunction</w:t>
                  </w:r>
                </w:p>
              </w:tc>
              <w:tc>
                <w:tcPr/>
                <w:p>
                  <w:pPr>
                    <w:pStyle w:val="Compact"/>
                    <w:jc w:val="left"/>
                    <w:jc w:val="center"/>
                  </w:pPr>
                  <w:r>
                    <w:rPr>
                      <w:rStyle w:val="VerbatimChar"/>
                    </w:rPr>
                    <w:t xml:space="preserve">phoenix_neurologic</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Endocrine dysfunction</w:t>
                  </w:r>
                </w:p>
              </w:tc>
              <w:tc>
                <w:tcPr/>
                <w:p>
                  <w:pPr>
                    <w:pStyle w:val="Compact"/>
                    <w:jc w:val="left"/>
                    <w:jc w:val="center"/>
                  </w:pPr>
                  <w:r>
                    <w:rPr>
                      <w:rStyle w:val="VerbatimChar"/>
                    </w:rPr>
                    <w:t xml:space="preserve">phoenix_endocrine</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Immunologic dysfunction</w:t>
                  </w:r>
                </w:p>
              </w:tc>
              <w:tc>
                <w:tcPr/>
                <w:p>
                  <w:pPr>
                    <w:pStyle w:val="Compact"/>
                    <w:jc w:val="left"/>
                    <w:jc w:val="center"/>
                  </w:pPr>
                  <w:r>
                    <w:rPr>
                      <w:rStyle w:val="VerbatimChar"/>
                    </w:rPr>
                    <w:t xml:space="preserve">phoenix_immunologic</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Renal dysfunction</w:t>
                  </w:r>
                </w:p>
              </w:tc>
              <w:tc>
                <w:tcPr/>
                <w:p>
                  <w:pPr>
                    <w:pStyle w:val="Compact"/>
                    <w:jc w:val="left"/>
                    <w:jc w:val="center"/>
                  </w:pPr>
                  <w:r>
                    <w:rPr>
                      <w:rStyle w:val="VerbatimChar"/>
                    </w:rPr>
                    <w:t xml:space="preserve">phoenix_renal</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Hepatic dysfunction</w:t>
                  </w:r>
                </w:p>
              </w:tc>
              <w:tc>
                <w:tcPr/>
                <w:p>
                  <w:pPr>
                    <w:pStyle w:val="Compact"/>
                    <w:jc w:val="left"/>
                    <w:jc w:val="center"/>
                  </w:pPr>
                  <w:r>
                    <w:rPr>
                      <w:rStyle w:val="VerbatimChar"/>
                    </w:rPr>
                    <w:t xml:space="preserve">phoenix_hepatic</w:t>
                  </w:r>
                </w:p>
              </w:tc>
              <w:tc>
                <w:tcPr/>
                <w:p>
                  <w:pPr>
                    <w:pStyle w:val="Compact"/>
                    <w:jc w:val="left"/>
                    <w:jc w:val="center"/>
                  </w:pPr>
                  <w:r>
                    <w:t xml:space="preserve">Integer vector</w:t>
                  </w:r>
                </w:p>
              </w:tc>
              <w:tc>
                <w:tcPr/>
                <w:p>
                  <w:pPr>
                    <w:pStyle w:val="Compact"/>
                    <w:jc w:val="left"/>
                    <w:jc w:val="center"/>
                  </w:pPr>
                  <w:r>
                    <w:t xml:space="preserve">Numpy array</w:t>
                  </w:r>
                </w:p>
              </w:tc>
            </w:tr>
            <w:tr>
              <w:tc>
                <w:tcPr/>
                <w:p>
                  <w:pPr>
                    <w:pStyle w:val="Compact"/>
                    <w:jc w:val="left"/>
                    <w:jc w:val="center"/>
                  </w:pPr>
                  <w:r>
                    <w:t xml:space="preserve">Phoenix Criteria</w:t>
                  </w:r>
                </w:p>
              </w:tc>
              <w:tc>
                <w:tcPr/>
                <w:p>
                  <w:pPr>
                    <w:pStyle w:val="Compact"/>
                    <w:jc w:val="left"/>
                    <w:jc w:val="center"/>
                  </w:pPr>
                  <w:r>
                    <w:rPr>
                      <w:rStyle w:val="VerbatimChar"/>
                    </w:rPr>
                    <w:t xml:space="preserve">phoenix</w:t>
                  </w:r>
                </w:p>
              </w:tc>
              <w:tc>
                <w:tcPr/>
                <w:p>
                  <w:pPr>
                    <w:pStyle w:val="Compact"/>
                    <w:jc w:val="left"/>
                    <w:jc w:val="center"/>
                  </w:pPr>
                  <w:r>
                    <w:rPr>
                      <w:rStyle w:val="VerbatimChar"/>
                    </w:rPr>
                    <w:t xml:space="preserve">data.frame</w:t>
                  </w:r>
                </w:p>
              </w:tc>
              <w:tc>
                <w:tcPr/>
                <w:p>
                  <w:pPr>
                    <w:pStyle w:val="Compact"/>
                    <w:jc w:val="left"/>
                    <w:jc w:val="center"/>
                  </w:pPr>
                  <w:r>
                    <w:t xml:space="preserve">Pandas DataFrame</w:t>
                  </w:r>
                </w:p>
              </w:tc>
            </w:tr>
            <w:tr>
              <w:tc>
                <w:tcPr/>
                <w:p>
                  <w:pPr>
                    <w:pStyle w:val="Compact"/>
                    <w:jc w:val="left"/>
                    <w:jc w:val="center"/>
                  </w:pPr>
                  <w:r>
                    <w:t xml:space="preserve">Phoenix-8 Criteria</w:t>
                  </w:r>
                </w:p>
              </w:tc>
              <w:tc>
                <w:tcPr/>
                <w:p>
                  <w:pPr>
                    <w:pStyle w:val="Compact"/>
                    <w:jc w:val="left"/>
                    <w:jc w:val="center"/>
                  </w:pPr>
                  <w:r>
                    <w:rPr>
                      <w:rStyle w:val="VerbatimChar"/>
                    </w:rPr>
                    <w:t xml:space="preserve">phoenix8</w:t>
                  </w:r>
                </w:p>
              </w:tc>
              <w:tc>
                <w:tcPr/>
                <w:p>
                  <w:pPr>
                    <w:pStyle w:val="Compact"/>
                    <w:jc w:val="left"/>
                    <w:jc w:val="center"/>
                  </w:pPr>
                  <w:r>
                    <w:rPr>
                      <w:rStyle w:val="VerbatimChar"/>
                    </w:rPr>
                    <w:t xml:space="preserve">data.frame</w:t>
                  </w:r>
                </w:p>
              </w:tc>
              <w:tc>
                <w:tcPr/>
                <w:p>
                  <w:pPr>
                    <w:pStyle w:val="Compact"/>
                    <w:jc w:val="left"/>
                    <w:jc w:val="center"/>
                  </w:pPr>
                  <w:r>
                    <w:t xml:space="preserve">Pandas DataFrame</w:t>
                  </w:r>
                </w:p>
              </w:tc>
            </w:tr>
          </w:tbl>
          <w:bookmarkEnd w:id="37"/>
          <w:p/>
        </w:tc>
      </w:tr>
    </w:tbl>
    <w:p>
      <w:pPr>
        <w:pStyle w:val="BodyText"/>
      </w:pPr>
      <w:r>
        <w:t xml:space="preserve">The return of</w:t>
      </w:r>
      <w:r>
        <w:t xml:space="preserve"> </w:t>
      </w:r>
      <w:r>
        <w:rPr>
          <w:rStyle w:val="VerbatimChar"/>
        </w:rPr>
        <w:t xml:space="preserve">phoenix()</w:t>
      </w:r>
      <w:r>
        <w:t xml:space="preserve"> </w:t>
      </w:r>
      <w:r>
        <w:t xml:space="preserve">is a data.frame (R) Pandas DataFrame (Python) with</w:t>
      </w:r>
      <w:r>
        <w:t xml:space="preserve"> </w:t>
      </w:r>
      <w:r>
        <w:t xml:space="preserve">7 columns; the respiratory dysfunction score, cardiovascular</w:t>
      </w:r>
      <w:r>
        <w:t xml:space="preserve"> </w:t>
      </w:r>
      <w:r>
        <w:t xml:space="preserve">dysfunction score, coagulation dysfunction score, neurologic dysfunction score,</w:t>
      </w:r>
      <w:r>
        <w:t xml:space="preserve"> </w:t>
      </w:r>
      <w:r>
        <w:t xml:space="preserve">total score, and indicator columns for sepsis (total score ≥ 2), and septic</w:t>
      </w:r>
      <w:r>
        <w:t xml:space="preserve"> </w:t>
      </w:r>
      <w:r>
        <w:t xml:space="preserve">shock (sepsis with ≥ 1 cardiovascular points).</w:t>
      </w:r>
      <w:r>
        <w:t xml:space="preserve"> </w:t>
      </w:r>
      <w:r>
        <w:rPr>
          <w:rStyle w:val="VerbatimChar"/>
        </w:rPr>
        <w:t xml:space="preserve">phoenix8()</w:t>
      </w:r>
      <w:r>
        <w:t xml:space="preserve"> </w:t>
      </w:r>
      <w:r>
        <w:t xml:space="preserve">returns the</w:t>
      </w:r>
      <w:r>
        <w:t xml:space="preserve"> </w:t>
      </w:r>
      <w:r>
        <w:t xml:space="preserve">same as</w:t>
      </w:r>
      <w:r>
        <w:t xml:space="preserve"> </w:t>
      </w:r>
      <w:r>
        <w:rPr>
          <w:rStyle w:val="VerbatimChar"/>
        </w:rPr>
        <w:t xml:space="preserve">phoenix()</w:t>
      </w:r>
      <w:r>
        <w:t xml:space="preserve"> </w:t>
      </w:r>
      <w:r>
        <w:t xml:space="preserve">with additional columns for the endocrine, immunologic,</w:t>
      </w:r>
      <w:r>
        <w:t xml:space="preserve"> </w:t>
      </w:r>
      <w:r>
        <w:t xml:space="preserve">renal, and hepatic dysfunction scores, and the Phoenix-8 total score. All the</w:t>
      </w:r>
      <w:r>
        <w:t xml:space="preserve"> </w:t>
      </w:r>
      <w:r>
        <w:t xml:space="preserve">columns are integer valued.</w:t>
      </w:r>
    </w:p>
    <w:p>
      <w:pPr>
        <w:pStyle w:val="BodyText"/>
      </w:pPr>
      <w:r>
        <w:t xml:space="preserve">A simple example</w:t>
      </w:r>
      <w:r>
        <w:t xml:space="preserve">[4]</w:t>
      </w:r>
      <w:r>
        <w:t xml:space="preserve">: a three-year-old presenting</w:t>
      </w:r>
      <w:r>
        <w:t xml:space="preserve"> </w:t>
      </w:r>
      <w:r>
        <w:t xml:space="preserve">with a fever, tachycardia, and irritability is given broad spectrum antibiotics</w:t>
      </w:r>
      <w:r>
        <w:t xml:space="preserve"> </w:t>
      </w:r>
      <w:r>
        <w:t xml:space="preserve">and started on a norepinephrine drip due to hypotension (blood pressure 67/32).</w:t>
      </w:r>
      <w:r>
        <w:t xml:space="preserve"> </w:t>
      </w:r>
      <w:r>
        <w:t xml:space="preserve">A complete blood count (CBC) shows a platelet count of 95 K/μL. Applying the</w:t>
      </w:r>
      <w:r>
        <w:t xml:space="preserve"> </w:t>
      </w:r>
      <w:r>
        <w:t xml:space="preserve">Phoenix criteria to this patient results in a respiratory score of 0,</w:t>
      </w:r>
      <w:r>
        <w:t xml:space="preserve"> </w:t>
      </w:r>
      <w:r>
        <w:t xml:space="preserve">cardiovascular score of 2; coagulation score of 1; neurologic score of 0, and a</w:t>
      </w:r>
      <w:r>
        <w:t xml:space="preserve"> </w:t>
      </w:r>
      <w:r>
        <w:t xml:space="preserve">total score of 3; sepsis=yes because the score is ≥ 2; septic shock=yes</w:t>
      </w:r>
      <w:r>
        <w:t xml:space="preserve"> </w:t>
      </w:r>
      <w:r>
        <w:t xml:space="preserve">because the cardiovascular score is also ≥ 1. Scoring in R would be done</w:t>
      </w:r>
      <w:r>
        <w:t xml:space="preserve"> </w:t>
      </w:r>
      <w:r>
        <w:t xml:space="preserve">using:</w:t>
      </w:r>
    </w:p>
    <w:p>
      <w:pPr>
        <w:pStyle w:val="SourceCode"/>
      </w:pPr>
      <w:r>
        <w:rPr>
          <w:rStyle w:val="FunctionTok"/>
        </w:rPr>
        <w:t xml:space="preserve">library</w:t>
      </w:r>
      <w:r>
        <w:rPr>
          <w:rStyle w:val="NormalTok"/>
        </w:rPr>
        <w:t xml:space="preserve">(phoenix)</w:t>
      </w:r>
      <w:r>
        <w:br/>
      </w:r>
      <w:r>
        <w:rPr>
          <w:rStyle w:val="NormalTok"/>
        </w:rPr>
        <w:t xml:space="preserve">p </w:t>
      </w:r>
      <w:r>
        <w:rPr>
          <w:rStyle w:val="OtherTok"/>
        </w:rPr>
        <w:t xml:space="preserve">&lt;-</w:t>
      </w:r>
      <w:r>
        <w:rPr>
          <w:rStyle w:val="NormalTok"/>
        </w:rPr>
        <w:t xml:space="preserve"> </w:t>
      </w:r>
      <w:r>
        <w:rPr>
          <w:rStyle w:val="FunctionTok"/>
        </w:rPr>
        <w:t xml:space="preserve">phoenix</w:t>
      </w:r>
      <w:r>
        <w:rPr>
          <w:rStyle w:val="NormalTok"/>
        </w:rPr>
        <w:t xml:space="preserve">(</w:t>
      </w:r>
      <w:r>
        <w:br/>
      </w:r>
      <w:r>
        <w:rPr>
          <w:rStyle w:val="NormalTok"/>
        </w:rPr>
        <w:t xml:space="preserve">  </w:t>
      </w:r>
      <w:r>
        <w:rPr>
          <w:rStyle w:val="AttributeTok"/>
        </w:rPr>
        <w:t xml:space="preserve">vasoactives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map         =</w:t>
      </w:r>
      <w:r>
        <w:rPr>
          <w:rStyle w:val="NormalTok"/>
        </w:rPr>
        <w:t xml:space="preserve"> </w:t>
      </w:r>
      <w:r>
        <w:rPr>
          <w:rStyle w:val="FunctionTok"/>
        </w:rPr>
        <w:t xml:space="preserve">map</w:t>
      </w:r>
      <w:r>
        <w:rPr>
          <w:rStyle w:val="NormalTok"/>
        </w:rPr>
        <w:t xml:space="preserve">(</w:t>
      </w:r>
      <w:r>
        <w:rPr>
          <w:rStyle w:val="AttributeTok"/>
        </w:rPr>
        <w:t xml:space="preserve">sbp =</w:t>
      </w:r>
      <w:r>
        <w:rPr>
          <w:rStyle w:val="NormalTok"/>
        </w:rPr>
        <w:t xml:space="preserve"> </w:t>
      </w:r>
      <w:r>
        <w:rPr>
          <w:rStyle w:val="DecValTok"/>
        </w:rPr>
        <w:t xml:space="preserve">67</w:t>
      </w:r>
      <w:r>
        <w:rPr>
          <w:rStyle w:val="NormalTok"/>
        </w:rPr>
        <w:t xml:space="preserve">, </w:t>
      </w:r>
      <w:r>
        <w:rPr>
          <w:rStyle w:val="AttributeTok"/>
        </w:rPr>
        <w:t xml:space="preserve">dbp =</w:t>
      </w:r>
      <w:r>
        <w:rPr>
          <w:rStyle w:val="NormalTok"/>
        </w:rPr>
        <w:t xml:space="preserve"> </w:t>
      </w:r>
      <w:r>
        <w:rPr>
          <w:rStyle w:val="DecValTok"/>
        </w:rPr>
        <w:t xml:space="preserve">32</w:t>
      </w:r>
      <w:r>
        <w:rPr>
          <w:rStyle w:val="NormalTok"/>
        </w:rPr>
        <w:t xml:space="preserve">), </w:t>
      </w:r>
      <w:r>
        <w:rPr>
          <w:rStyle w:val="CommentTok"/>
        </w:rPr>
        <w:t xml:space="preserve"># MAP = 2/3 * DBP + 1/3 * SBP,</w:t>
      </w:r>
      <w:r>
        <w:br/>
      </w:r>
      <w:r>
        <w:rPr>
          <w:rStyle w:val="NormalTok"/>
        </w:rPr>
        <w:t xml:space="preserve">  </w:t>
      </w:r>
      <w:r>
        <w:rPr>
          <w:rStyle w:val="AttributeTok"/>
        </w:rPr>
        <w:t xml:space="preserve">platelets   =</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AttributeTok"/>
        </w:rPr>
        <w:t xml:space="preserve">gcs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36</w:t>
      </w:r>
      <w:r>
        <w:rPr>
          <w:rStyle w:val="NormalTok"/>
        </w:rPr>
        <w:t xml:space="preserve">)</w:t>
      </w:r>
      <w:r>
        <w:br/>
      </w:r>
      <w:r>
        <w:rPr>
          <w:rStyle w:val="FunctionTok"/>
        </w:rPr>
        <w:t xml:space="preserve">str</w:t>
      </w:r>
      <w:r>
        <w:rPr>
          <w:rStyle w:val="NormalTok"/>
        </w:rPr>
        <w:t xml:space="preserve">(p)</w:t>
      </w:r>
      <w:r>
        <w:br/>
      </w:r>
      <w:r>
        <w:rPr>
          <w:rStyle w:val="DocumentationTok"/>
        </w:rPr>
        <w:t xml:space="preserve">## 'data.frame':    1 obs. of  7 variables:</w:t>
      </w:r>
      <w:r>
        <w:br/>
      </w:r>
      <w:r>
        <w:rPr>
          <w:rStyle w:val="DocumentationTok"/>
        </w:rPr>
        <w:t xml:space="preserve">##  $ phoenix_respiratory_score   : int 0</w:t>
      </w:r>
      <w:r>
        <w:br/>
      </w:r>
      <w:r>
        <w:rPr>
          <w:rStyle w:val="DocumentationTok"/>
        </w:rPr>
        <w:t xml:space="preserve">##  $ phoenix_cardiovascular_score: int 2</w:t>
      </w:r>
      <w:r>
        <w:br/>
      </w:r>
      <w:r>
        <w:rPr>
          <w:rStyle w:val="DocumentationTok"/>
        </w:rPr>
        <w:t xml:space="preserve">##  $ phoenix_coagulation_score   : int 1</w:t>
      </w:r>
      <w:r>
        <w:br/>
      </w:r>
      <w:r>
        <w:rPr>
          <w:rStyle w:val="DocumentationTok"/>
        </w:rPr>
        <w:t xml:space="preserve">##  $ phoenix_neurologic_score    : int 0</w:t>
      </w:r>
      <w:r>
        <w:br/>
      </w:r>
      <w:r>
        <w:rPr>
          <w:rStyle w:val="DocumentationTok"/>
        </w:rPr>
        <w:t xml:space="preserve">##  $ phoenix_sepsis_score        : int 3</w:t>
      </w:r>
      <w:r>
        <w:br/>
      </w:r>
      <w:r>
        <w:rPr>
          <w:rStyle w:val="DocumentationTok"/>
        </w:rPr>
        <w:t xml:space="preserve">##  $ phoenix_sepsis              : int 1</w:t>
      </w:r>
      <w:r>
        <w:br/>
      </w:r>
      <w:r>
        <w:rPr>
          <w:rStyle w:val="DocumentationTok"/>
        </w:rPr>
        <w:t xml:space="preserve">##  $ phoenix_septic_shock        : int 1</w:t>
      </w:r>
    </w:p>
    <w:p>
      <w:pPr>
        <w:pStyle w:val="FirstParagraph"/>
      </w:pPr>
      <w:r>
        <w:t xml:space="preserve">Scoring in Python:</w:t>
      </w:r>
    </w:p>
    <w:p>
      <w:pPr>
        <w:pStyle w:val="SourceCode"/>
      </w:pPr>
      <w:r>
        <w:rPr>
          <w:rStyle w:val="ImportTok"/>
        </w:rPr>
        <w:t xml:space="preserve">import</w:t>
      </w:r>
      <w:r>
        <w:rPr>
          <w:rStyle w:val="NormalTok"/>
        </w:rPr>
        <w:t xml:space="preserve"> phoenix </w:t>
      </w:r>
      <w:r>
        <w:rPr>
          <w:rStyle w:val="ImportTok"/>
        </w:rPr>
        <w:t xml:space="preserve">as</w:t>
      </w:r>
      <w:r>
        <w:rPr>
          <w:rStyle w:val="NormalTok"/>
        </w:rPr>
        <w:t xml:space="preserve"> phx</w:t>
      </w:r>
      <w:r>
        <w:br/>
      </w:r>
      <w:r>
        <w:rPr>
          <w:rStyle w:val="NormalTok"/>
        </w:rPr>
        <w:t xml:space="preserve">df </w:t>
      </w:r>
      <w:r>
        <w:rPr>
          <w:rStyle w:val="OperatorTok"/>
        </w:rPr>
        <w:t xml:space="preserve">=</w:t>
      </w:r>
      <w:r>
        <w:rPr>
          <w:rStyle w:val="NormalTok"/>
        </w:rPr>
        <w:t xml:space="preserve"> phx.phoenix(</w:t>
      </w:r>
      <w:r>
        <w:br/>
      </w:r>
      <w:r>
        <w:rPr>
          <w:rStyle w:val="NormalTok"/>
        </w:rPr>
        <w:t xml:space="preserve">  vasoactives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map</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67</w:t>
      </w:r>
      <w:r>
        <w:rPr>
          <w:rStyle w:val="NormalTok"/>
        </w:rPr>
        <w:t xml:space="preserve">,</w:t>
      </w:r>
      <w:r>
        <w:br/>
      </w:r>
      <w:r>
        <w:rPr>
          <w:rStyle w:val="NormalTok"/>
        </w:rPr>
        <w:t xml:space="preserve">  platelets   </w:t>
      </w:r>
      <w:r>
        <w:rPr>
          <w:rStyle w:val="OperatorTok"/>
        </w:rPr>
        <w:t xml:space="preserve">=</w:t>
      </w:r>
      <w:r>
        <w:rPr>
          <w:rStyle w:val="NormalTok"/>
        </w:rPr>
        <w:t xml:space="preserve"> </w:t>
      </w:r>
      <w:r>
        <w:rPr>
          <w:rStyle w:val="DecValTok"/>
        </w:rPr>
        <w:t xml:space="preserve">95</w:t>
      </w:r>
      <w:r>
        <w:rPr>
          <w:rStyle w:val="NormalTok"/>
        </w:rPr>
        <w:t xml:space="preserve">,</w:t>
      </w:r>
      <w:r>
        <w:br/>
      </w:r>
      <w:r>
        <w:rPr>
          <w:rStyle w:val="NormalTok"/>
        </w:rPr>
        <w:t xml:space="preserve">  gcs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age         </w:t>
      </w:r>
      <w:r>
        <w:rPr>
          <w:rStyle w:val="OperatorTok"/>
        </w:rPr>
        <w:t xml:space="preserve">=</w:t>
      </w:r>
      <w:r>
        <w:rPr>
          <w:rStyle w:val="NormalTok"/>
        </w:rPr>
        <w:t xml:space="preserve"> </w:t>
      </w:r>
      <w:r>
        <w:rPr>
          <w:rStyle w:val="DecValTok"/>
        </w:rPr>
        <w:t xml:space="preserve">36</w:t>
      </w:r>
      <w:r>
        <w:rPr>
          <w:rStyle w:val="NormalTok"/>
        </w:rPr>
        <w:t xml:space="preserve">)</w:t>
      </w:r>
      <w:r>
        <w:br/>
      </w:r>
      <w:r>
        <w:rPr>
          <w:rStyle w:val="BuiltInTok"/>
        </w:rPr>
        <w:t xml:space="preserve">print</w:t>
      </w:r>
      <w:r>
        <w:rPr>
          <w:rStyle w:val="NormalTok"/>
        </w:rPr>
        <w:t xml:space="preserve">(df.T)</w:t>
      </w:r>
      <w:r>
        <w:br/>
      </w:r>
      <w:r>
        <w:rPr>
          <w:rStyle w:val="CommentTok"/>
        </w:rPr>
        <w:t xml:space="preserve">##                               0</w:t>
      </w:r>
      <w:r>
        <w:br/>
      </w:r>
      <w:r>
        <w:rPr>
          <w:rStyle w:val="CommentTok"/>
        </w:rPr>
        <w:t xml:space="preserve">## phoenix_respiratory_score     0</w:t>
      </w:r>
      <w:r>
        <w:br/>
      </w:r>
      <w:r>
        <w:rPr>
          <w:rStyle w:val="CommentTok"/>
        </w:rPr>
        <w:t xml:space="preserve">## phoenix_cardiovascular_score  2</w:t>
      </w:r>
      <w:r>
        <w:br/>
      </w:r>
      <w:r>
        <w:rPr>
          <w:rStyle w:val="CommentTok"/>
        </w:rPr>
        <w:t xml:space="preserve">## phoenix_coagulation_score     1</w:t>
      </w:r>
      <w:r>
        <w:br/>
      </w:r>
      <w:r>
        <w:rPr>
          <w:rStyle w:val="CommentTok"/>
        </w:rPr>
        <w:t xml:space="preserve">## phoenix_neurologic_score      0</w:t>
      </w:r>
      <w:r>
        <w:br/>
      </w:r>
      <w:r>
        <w:rPr>
          <w:rStyle w:val="CommentTok"/>
        </w:rPr>
        <w:t xml:space="preserve">## phoenix_sepsis_score          3</w:t>
      </w:r>
      <w:r>
        <w:br/>
      </w:r>
      <w:r>
        <w:rPr>
          <w:rStyle w:val="CommentTok"/>
        </w:rPr>
        <w:t xml:space="preserve">## phoenix_sepsis                1</w:t>
      </w:r>
      <w:r>
        <w:br/>
      </w:r>
      <w:r>
        <w:rPr>
          <w:rStyle w:val="CommentTok"/>
        </w:rPr>
        <w:t xml:space="preserve">## phoenix_septic_shock          1</w:t>
      </w:r>
    </w:p>
    <w:p>
      <w:pPr>
        <w:pStyle w:val="FirstParagraph"/>
      </w:pPr>
      <w:r>
        <w:t xml:space="preserve">In the above example only the known data need be inputted. Missing values are</w:t>
      </w:r>
      <w:r>
        <w:t xml:space="preserve"> </w:t>
      </w:r>
      <w:r>
        <w:t xml:space="preserve">mapped to scores of zero. That is, Phoenix is based on the explicitly defined</w:t>
      </w:r>
      <w:r>
        <w:t xml:space="preserve"> </w:t>
      </w:r>
      <w:r>
        <w:t xml:space="preserve">inputs and any missing inputs are implicitly mapping to scores of zero. This is</w:t>
      </w:r>
      <w:r>
        <w:t xml:space="preserve"> </w:t>
      </w:r>
      <w:r>
        <w:t xml:space="preserve">consistent with the Phoenix development process.</w:t>
      </w:r>
      <w:r>
        <w:t xml:space="preserve">[4]</w:t>
      </w:r>
    </w:p>
    <w:p>
      <w:pPr>
        <w:pStyle w:val="BodyText"/>
      </w:pPr>
      <w:r>
        <w:t xml:space="preserve">To apply the Phoenix rubric to a full data set in R:</w:t>
      </w:r>
    </w:p>
    <w:p>
      <w:pPr>
        <w:pStyle w:val="SourceCode"/>
      </w:pPr>
      <w:r>
        <w:rPr>
          <w:rStyle w:val="NormalTok"/>
        </w:rPr>
        <w:t xml:space="preserve">phoenix_scores </w:t>
      </w:r>
      <w:r>
        <w:rPr>
          <w:rStyle w:val="OtherTok"/>
        </w:rPr>
        <w:t xml:space="preserve">&lt;-</w:t>
      </w:r>
      <w:r>
        <w:br/>
      </w:r>
      <w:r>
        <w:rPr>
          <w:rStyle w:val="NormalTok"/>
        </w:rPr>
        <w:t xml:space="preserve">  </w:t>
      </w:r>
      <w:r>
        <w:rPr>
          <w:rStyle w:val="FunctionTok"/>
        </w:rPr>
        <w:t xml:space="preserve">phoenix</w:t>
      </w:r>
      <w:r>
        <w:rPr>
          <w:rStyle w:val="NormalTok"/>
        </w:rPr>
        <w:t xml:space="preserve">(</w:t>
      </w:r>
      <w:r>
        <w:br/>
      </w:r>
      <w:r>
        <w:rPr>
          <w:rStyle w:val="NormalTok"/>
        </w:rPr>
        <w:t xml:space="preserve">    </w:t>
      </w:r>
      <w:r>
        <w:rPr>
          <w:rStyle w:val="CommentTok"/>
        </w:rPr>
        <w:t xml:space="preserve"># respiratory</w:t>
      </w:r>
      <w:r>
        <w:br/>
      </w:r>
      <w:r>
        <w:rPr>
          <w:rStyle w:val="NormalTok"/>
        </w:rPr>
        <w:t xml:space="preserve">      </w:t>
      </w:r>
      <w:r>
        <w:rPr>
          <w:rStyle w:val="AttributeTok"/>
        </w:rPr>
        <w:t xml:space="preserve">pf_ratio =</w:t>
      </w:r>
      <w:r>
        <w:rPr>
          <w:rStyle w:val="NormalTok"/>
        </w:rPr>
        <w:t xml:space="preserve"> pao2 </w:t>
      </w:r>
      <w:r>
        <w:rPr>
          <w:rStyle w:val="SpecialCharTok"/>
        </w:rPr>
        <w:t xml:space="preserve">/</w:t>
      </w:r>
      <w:r>
        <w:rPr>
          <w:rStyle w:val="NormalTok"/>
        </w:rPr>
        <w:t xml:space="preserve"> fio2,</w:t>
      </w:r>
      <w:r>
        <w:br/>
      </w:r>
      <w:r>
        <w:rPr>
          <w:rStyle w:val="NormalTok"/>
        </w:rPr>
        <w:t xml:space="preserve">      </w:t>
      </w:r>
      <w:r>
        <w:rPr>
          <w:rStyle w:val="AttributeTok"/>
        </w:rPr>
        <w:t xml:space="preserve">sf_ratio =</w:t>
      </w:r>
      <w:r>
        <w:rPr>
          <w:rStyle w:val="NormalTok"/>
        </w:rPr>
        <w:t xml:space="preserve"> </w:t>
      </w:r>
      <w:r>
        <w:rPr>
          <w:rStyle w:val="FunctionTok"/>
        </w:rPr>
        <w:t xml:space="preserve">ifelse</w:t>
      </w:r>
      <w:r>
        <w:rPr>
          <w:rStyle w:val="NormalTok"/>
        </w:rPr>
        <w:t xml:space="preserve">(spo2 </w:t>
      </w:r>
      <w:r>
        <w:rPr>
          <w:rStyle w:val="SpecialCharTok"/>
        </w:rPr>
        <w:t xml:space="preserve">&lt;=</w:t>
      </w:r>
      <w:r>
        <w:rPr>
          <w:rStyle w:val="NormalTok"/>
        </w:rPr>
        <w:t xml:space="preserve"> </w:t>
      </w:r>
      <w:r>
        <w:rPr>
          <w:rStyle w:val="DecValTok"/>
        </w:rPr>
        <w:t xml:space="preserve">97</w:t>
      </w:r>
      <w:r>
        <w:rPr>
          <w:rStyle w:val="NormalTok"/>
        </w:rPr>
        <w:t xml:space="preserve">, spo2 </w:t>
      </w:r>
      <w:r>
        <w:rPr>
          <w:rStyle w:val="SpecialCharTok"/>
        </w:rPr>
        <w:t xml:space="preserve">/</w:t>
      </w:r>
      <w:r>
        <w:rPr>
          <w:rStyle w:val="NormalTok"/>
        </w:rPr>
        <w:t xml:space="preserve"> fio2, </w:t>
      </w:r>
      <w:r>
        <w:rPr>
          <w:rStyle w:val="ConstantTok"/>
        </w:rPr>
        <w:t xml:space="preserve">NA_real_</w:t>
      </w:r>
      <w:r>
        <w:rPr>
          <w:rStyle w:val="NormalTok"/>
        </w:rPr>
        <w:t xml:space="preserve">),</w:t>
      </w:r>
      <w:r>
        <w:br/>
      </w:r>
      <w:r>
        <w:rPr>
          <w:rStyle w:val="NormalTok"/>
        </w:rPr>
        <w:t xml:space="preserve">      </w:t>
      </w:r>
      <w:r>
        <w:rPr>
          <w:rStyle w:val="AttributeTok"/>
        </w:rPr>
        <w:t xml:space="preserve">imv =</w:t>
      </w:r>
      <w:r>
        <w:rPr>
          <w:rStyle w:val="NormalTok"/>
        </w:rPr>
        <w:t xml:space="preserve"> vent,</w:t>
      </w:r>
      <w:r>
        <w:br/>
      </w:r>
      <w:r>
        <w:rPr>
          <w:rStyle w:val="NormalTok"/>
        </w:rPr>
        <w:t xml:space="preserve">      </w:t>
      </w:r>
      <w:r>
        <w:rPr>
          <w:rStyle w:val="AttributeTok"/>
        </w:rPr>
        <w:t xml:space="preserve">other_respiratory_support =</w:t>
      </w:r>
      <w:r>
        <w:rPr>
          <w:rStyle w:val="NormalTok"/>
        </w:rPr>
        <w:t xml:space="preserve"> </w:t>
      </w:r>
      <w:r>
        <w:rPr>
          <w:rStyle w:val="FunctionTok"/>
        </w:rPr>
        <w:t xml:space="preserve">as.integer</w:t>
      </w:r>
      <w:r>
        <w:rPr>
          <w:rStyle w:val="NormalTok"/>
        </w:rPr>
        <w:t xml:space="preserve">(fio2 </w:t>
      </w:r>
      <w:r>
        <w:rPr>
          <w:rStyle w:val="SpecialCharTok"/>
        </w:rPr>
        <w:t xml:space="preserve">&gt;</w:t>
      </w:r>
      <w:r>
        <w:rPr>
          <w:rStyle w:val="NormalTok"/>
        </w:rPr>
        <w:t xml:space="preserve"> </w:t>
      </w:r>
      <w:r>
        <w:rPr>
          <w:rStyle w:val="FloatTok"/>
        </w:rPr>
        <w:t xml:space="preserve">0.21</w:t>
      </w:r>
      <w:r>
        <w:rPr>
          <w:rStyle w:val="NormalTok"/>
        </w:rPr>
        <w:t xml:space="preserve">),</w:t>
      </w:r>
      <w:r>
        <w:br/>
      </w:r>
      <w:r>
        <w:rPr>
          <w:rStyle w:val="NormalTok"/>
        </w:rPr>
        <w:t xml:space="preserve">    </w:t>
      </w:r>
      <w:r>
        <w:rPr>
          <w:rStyle w:val="CommentTok"/>
        </w:rPr>
        <w:t xml:space="preserve"># cardiovascular</w:t>
      </w:r>
      <w:r>
        <w:br/>
      </w:r>
      <w:r>
        <w:rPr>
          <w:rStyle w:val="NormalTok"/>
        </w:rPr>
        <w:t xml:space="preserve">      </w:t>
      </w:r>
      <w:r>
        <w:rPr>
          <w:rStyle w:val="AttributeTok"/>
        </w:rPr>
        <w:t xml:space="preserve">vasoactives =</w:t>
      </w:r>
      <w:r>
        <w:rPr>
          <w:rStyle w:val="NormalTok"/>
        </w:rPr>
        <w:t xml:space="preserve"> dobutamine </w:t>
      </w:r>
      <w:r>
        <w:rPr>
          <w:rStyle w:val="SpecialCharTok"/>
        </w:rPr>
        <w:t xml:space="preserve">+</w:t>
      </w:r>
      <w:r>
        <w:rPr>
          <w:rStyle w:val="NormalTok"/>
        </w:rPr>
        <w:t xml:space="preserve"> dopamine </w:t>
      </w:r>
      <w:r>
        <w:rPr>
          <w:rStyle w:val="SpecialCharTok"/>
        </w:rPr>
        <w:t xml:space="preserve">+</w:t>
      </w:r>
      <w:r>
        <w:rPr>
          <w:rStyle w:val="NormalTok"/>
        </w:rPr>
        <w:t xml:space="preserve"> epinephrine </w:t>
      </w:r>
      <w:r>
        <w:rPr>
          <w:rStyle w:val="SpecialCharTok"/>
        </w:rPr>
        <w:t xml:space="preserve">+</w:t>
      </w:r>
      <w:r>
        <w:br/>
      </w:r>
      <w:r>
        <w:rPr>
          <w:rStyle w:val="NormalTok"/>
        </w:rPr>
        <w:t xml:space="preserve">                    milrinone </w:t>
      </w:r>
      <w:r>
        <w:rPr>
          <w:rStyle w:val="SpecialCharTok"/>
        </w:rPr>
        <w:t xml:space="preserve">+</w:t>
      </w:r>
      <w:r>
        <w:rPr>
          <w:rStyle w:val="NormalTok"/>
        </w:rPr>
        <w:t xml:space="preserve"> norepinephrine </w:t>
      </w:r>
      <w:r>
        <w:rPr>
          <w:rStyle w:val="SpecialCharTok"/>
        </w:rPr>
        <w:t xml:space="preserve">+</w:t>
      </w:r>
      <w:r>
        <w:rPr>
          <w:rStyle w:val="NormalTok"/>
        </w:rPr>
        <w:t xml:space="preserve"> vasopressin,</w:t>
      </w:r>
      <w:r>
        <w:br/>
      </w:r>
      <w:r>
        <w:rPr>
          <w:rStyle w:val="NormalTok"/>
        </w:rPr>
        <w:t xml:space="preserve">      </w:t>
      </w:r>
      <w:r>
        <w:rPr>
          <w:rStyle w:val="AttributeTok"/>
        </w:rPr>
        <w:t xml:space="preserve">lactate =</w:t>
      </w:r>
      <w:r>
        <w:rPr>
          <w:rStyle w:val="NormalTok"/>
        </w:rPr>
        <w:t xml:space="preserve"> lactate,</w:t>
      </w:r>
      <w:r>
        <w:br/>
      </w:r>
      <w:r>
        <w:rPr>
          <w:rStyle w:val="NormalTok"/>
        </w:rPr>
        <w:t xml:space="preserve">      </w:t>
      </w:r>
      <w:r>
        <w:rPr>
          <w:rStyle w:val="AttributeTok"/>
        </w:rPr>
        <w:t xml:space="preserve">age =</w:t>
      </w:r>
      <w:r>
        <w:rPr>
          <w:rStyle w:val="NormalTok"/>
        </w:rPr>
        <w:t xml:space="preserve"> age,</w:t>
      </w:r>
      <w:r>
        <w:br/>
      </w:r>
      <w:r>
        <w:rPr>
          <w:rStyle w:val="NormalTok"/>
        </w:rPr>
        <w:t xml:space="preserve">      </w:t>
      </w:r>
      <w:r>
        <w:rPr>
          <w:rStyle w:val="AttributeTok"/>
        </w:rPr>
        <w:t xml:space="preserve">map =</w:t>
      </w:r>
      <w:r>
        <w:rPr>
          <w:rStyle w:val="NormalTok"/>
        </w:rPr>
        <w:t xml:space="preserve"> dbp </w:t>
      </w:r>
      <w:r>
        <w:rPr>
          <w:rStyle w:val="SpecialCharTok"/>
        </w:rPr>
        <w:t xml:space="preserve">+</w:t>
      </w:r>
      <w:r>
        <w:rPr>
          <w:rStyle w:val="NormalTok"/>
        </w:rPr>
        <w:t xml:space="preserve"> (sbp </w:t>
      </w:r>
      <w:r>
        <w:rPr>
          <w:rStyle w:val="SpecialCharTok"/>
        </w:rPr>
        <w:t xml:space="preserve">-</w:t>
      </w:r>
      <w:r>
        <w:rPr>
          <w:rStyle w:val="NormalTok"/>
        </w:rPr>
        <w:t xml:space="preserve"> dbp)</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coagulation</w:t>
      </w:r>
      <w:r>
        <w:br/>
      </w:r>
      <w:r>
        <w:rPr>
          <w:rStyle w:val="NormalTok"/>
        </w:rPr>
        <w:t xml:space="preserve">      </w:t>
      </w:r>
      <w:r>
        <w:rPr>
          <w:rStyle w:val="AttributeTok"/>
        </w:rPr>
        <w:t xml:space="preserve">platelets =</w:t>
      </w:r>
      <w:r>
        <w:rPr>
          <w:rStyle w:val="NormalTok"/>
        </w:rPr>
        <w:t xml:space="preserve"> platelets,</w:t>
      </w:r>
      <w:r>
        <w:br/>
      </w:r>
      <w:r>
        <w:rPr>
          <w:rStyle w:val="NormalTok"/>
        </w:rPr>
        <w:t xml:space="preserve">      </w:t>
      </w:r>
      <w:r>
        <w:rPr>
          <w:rStyle w:val="AttributeTok"/>
        </w:rPr>
        <w:t xml:space="preserve">inr =</w:t>
      </w:r>
      <w:r>
        <w:rPr>
          <w:rStyle w:val="NormalTok"/>
        </w:rPr>
        <w:t xml:space="preserve"> inr,</w:t>
      </w:r>
      <w:r>
        <w:br/>
      </w:r>
      <w:r>
        <w:rPr>
          <w:rStyle w:val="NormalTok"/>
        </w:rPr>
        <w:t xml:space="preserve">      </w:t>
      </w:r>
      <w:r>
        <w:rPr>
          <w:rStyle w:val="AttributeTok"/>
        </w:rPr>
        <w:t xml:space="preserve">d_dimer =</w:t>
      </w:r>
      <w:r>
        <w:rPr>
          <w:rStyle w:val="NormalTok"/>
        </w:rPr>
        <w:t xml:space="preserve"> d_dimer,</w:t>
      </w:r>
      <w:r>
        <w:br/>
      </w:r>
      <w:r>
        <w:rPr>
          <w:rStyle w:val="NormalTok"/>
        </w:rPr>
        <w:t xml:space="preserve">      </w:t>
      </w:r>
      <w:r>
        <w:rPr>
          <w:rStyle w:val="AttributeTok"/>
        </w:rPr>
        <w:t xml:space="preserve">fibrinogen =</w:t>
      </w:r>
      <w:r>
        <w:rPr>
          <w:rStyle w:val="NormalTok"/>
        </w:rPr>
        <w:t xml:space="preserve"> fibrinogen,</w:t>
      </w:r>
      <w:r>
        <w:br/>
      </w:r>
      <w:r>
        <w:rPr>
          <w:rStyle w:val="NormalTok"/>
        </w:rPr>
        <w:t xml:space="preserve">    </w:t>
      </w:r>
      <w:r>
        <w:rPr>
          <w:rStyle w:val="CommentTok"/>
        </w:rPr>
        <w:t xml:space="preserve"># neurologic</w:t>
      </w:r>
      <w:r>
        <w:br/>
      </w:r>
      <w:r>
        <w:rPr>
          <w:rStyle w:val="NormalTok"/>
        </w:rPr>
        <w:t xml:space="preserve">      </w:t>
      </w:r>
      <w:r>
        <w:rPr>
          <w:rStyle w:val="AttributeTok"/>
        </w:rPr>
        <w:t xml:space="preserve">gcs =</w:t>
      </w:r>
      <w:r>
        <w:rPr>
          <w:rStyle w:val="NormalTok"/>
        </w:rPr>
        <w:t xml:space="preserve"> gcs_total,</w:t>
      </w:r>
      <w:r>
        <w:br/>
      </w:r>
      <w:r>
        <w:rPr>
          <w:rStyle w:val="NormalTok"/>
        </w:rPr>
        <w:t xml:space="preserve">      </w:t>
      </w:r>
      <w:r>
        <w:rPr>
          <w:rStyle w:val="AttributeTok"/>
        </w:rPr>
        <w:t xml:space="preserve">fixed_pupils =</w:t>
      </w:r>
      <w:r>
        <w:rPr>
          <w:rStyle w:val="NormalTok"/>
        </w:rPr>
        <w:t xml:space="preserve"> </w:t>
      </w:r>
      <w:r>
        <w:rPr>
          <w:rStyle w:val="FunctionTok"/>
        </w:rPr>
        <w:t xml:space="preserve">as.integer</w:t>
      </w:r>
      <w:r>
        <w:rPr>
          <w:rStyle w:val="NormalTok"/>
        </w:rPr>
        <w:t xml:space="preserve">(pupil </w:t>
      </w:r>
      <w:r>
        <w:rPr>
          <w:rStyle w:val="SpecialCharTok"/>
        </w:rPr>
        <w:t xml:space="preserve">==</w:t>
      </w:r>
      <w:r>
        <w:rPr>
          <w:rStyle w:val="NormalTok"/>
        </w:rPr>
        <w:t xml:space="preserve"> </w:t>
      </w:r>
      <w:r>
        <w:rPr>
          <w:rStyle w:val="StringTok"/>
        </w:rPr>
        <w:t xml:space="preserve">"both-fixed"</w:t>
      </w:r>
      <w:r>
        <w:rPr>
          <w:rStyle w:val="NormalTok"/>
        </w:rPr>
        <w:t xml:space="preserve">),</w:t>
      </w:r>
      <w:r>
        <w:br/>
      </w:r>
      <w:r>
        <w:rPr>
          <w:rStyle w:val="NormalTok"/>
        </w:rPr>
        <w:t xml:space="preserve">    </w:t>
      </w:r>
      <w:r>
        <w:rPr>
          <w:rStyle w:val="AttributeTok"/>
        </w:rPr>
        <w:t xml:space="preserve">data =</w:t>
      </w:r>
      <w:r>
        <w:rPr>
          <w:rStyle w:val="NormalTok"/>
        </w:rPr>
        <w:t xml:space="preserve"> sepsis</w:t>
      </w:r>
      <w:r>
        <w:br/>
      </w:r>
      <w:r>
        <w:rPr>
          <w:rStyle w:val="NormalTok"/>
        </w:rPr>
        <w:t xml:space="preserve">  )</w:t>
      </w:r>
      <w:r>
        <w:br/>
      </w:r>
      <w:r>
        <w:rPr>
          <w:rStyle w:val="FunctionTok"/>
        </w:rPr>
        <w:t xml:space="preserve">str</w:t>
      </w:r>
      <w:r>
        <w:rPr>
          <w:rStyle w:val="NormalTok"/>
        </w:rPr>
        <w:t xml:space="preserve">(phoenix_scores)</w:t>
      </w:r>
      <w:r>
        <w:br/>
      </w:r>
      <w:r>
        <w:rPr>
          <w:rStyle w:val="DocumentationTok"/>
        </w:rPr>
        <w:t xml:space="preserve">## 'data.frame':    20 obs. of  7 variables:</w:t>
      </w:r>
      <w:r>
        <w:br/>
      </w:r>
      <w:r>
        <w:rPr>
          <w:rStyle w:val="DocumentationTok"/>
        </w:rPr>
        <w:t xml:space="preserve">##  $ phoenix_respiratory_score   : int  0 3 3 0 0 3 3 0 3 3 ...</w:t>
      </w:r>
      <w:r>
        <w:br/>
      </w:r>
      <w:r>
        <w:rPr>
          <w:rStyle w:val="DocumentationTok"/>
        </w:rPr>
        <w:t xml:space="preserve">##  $ phoenix_cardiovascular_score: int  2 2 1 0 0 1 4 0 3 0 ...</w:t>
      </w:r>
      <w:r>
        <w:br/>
      </w:r>
      <w:r>
        <w:rPr>
          <w:rStyle w:val="DocumentationTok"/>
        </w:rPr>
        <w:t xml:space="preserve">##  $ phoenix_coagulation_score   : int  1 1 2 1 0 2 2 1 1 0 ...</w:t>
      </w:r>
      <w:r>
        <w:br/>
      </w:r>
      <w:r>
        <w:rPr>
          <w:rStyle w:val="DocumentationTok"/>
        </w:rPr>
        <w:t xml:space="preserve">##  $ phoenix_neurologic_score    : int  0 1 0 0 0 1 0 0 1 1 ...</w:t>
      </w:r>
      <w:r>
        <w:br/>
      </w:r>
      <w:r>
        <w:rPr>
          <w:rStyle w:val="DocumentationTok"/>
        </w:rPr>
        <w:t xml:space="preserve">##  $ phoenix_sepsis_score        : int  3 7 6 1 0 7 9 1 8 4 ...</w:t>
      </w:r>
      <w:r>
        <w:br/>
      </w:r>
      <w:r>
        <w:rPr>
          <w:rStyle w:val="DocumentationTok"/>
        </w:rPr>
        <w:t xml:space="preserve">##  $ phoenix_sepsis              : int  1 1 1 0 0 1 1 0 1 1 ...</w:t>
      </w:r>
      <w:r>
        <w:br/>
      </w:r>
      <w:r>
        <w:rPr>
          <w:rStyle w:val="DocumentationTok"/>
        </w:rPr>
        <w:t xml:space="preserve">##  $ phoenix_septic_shock        : int  1 1 1 0 0 1 1 0 1 0 ...</w:t>
      </w:r>
    </w:p>
    <w:p>
      <w:pPr>
        <w:pStyle w:val="FirstParagraph"/>
      </w:pPr>
      <w:r>
        <w:t xml:space="preserve">Details on the expected units for inputs as denoted in</w:t>
      </w:r>
      <w:r>
        <w:t xml:space="preserve"> </w:t>
      </w:r>
      <w:hyperlink w:anchor="tbl-phoenix-rubric">
        <w:r>
          <w:rPr>
            <w:rStyle w:val="Hyperlink"/>
          </w:rPr>
          <w:t xml:space="preserve">Table 1</w:t>
        </w:r>
      </w:hyperlink>
      <w:r>
        <w:t xml:space="preserve"> </w:t>
      </w:r>
      <w:r>
        <w:t xml:space="preserve">are</w:t>
      </w:r>
      <w:r>
        <w:t xml:space="preserve"> </w:t>
      </w:r>
      <w:r>
        <w:t xml:space="preserve">also provided in the documentation for the R package</w:t>
      </w:r>
    </w:p>
    <w:p>
      <w:pPr>
        <w:pStyle w:val="SourceCode"/>
      </w:pPr>
      <w:r>
        <w:rPr>
          <w:rStyle w:val="NormalTok"/>
        </w:rPr>
        <w:t xml:space="preserve">?phoenix8</w:t>
      </w:r>
    </w:p>
    <w:p>
      <w:pPr>
        <w:pStyle w:val="FirstParagraph"/>
      </w:pPr>
      <w:r>
        <w:t xml:space="preserve">and Python module</w:t>
      </w:r>
    </w:p>
    <w:p>
      <w:pPr>
        <w:pStyle w:val="SourceCode"/>
      </w:pPr>
      <w:r>
        <w:rPr>
          <w:rStyle w:val="BuiltInTok"/>
        </w:rPr>
        <w:t xml:space="preserve">help</w:t>
      </w:r>
      <w:r>
        <w:rPr>
          <w:rStyle w:val="NormalTok"/>
        </w:rPr>
        <w:t xml:space="preserve">(phx.phoenix8)</w:t>
      </w:r>
    </w:p>
    <w:p>
      <w:pPr>
        <w:pStyle w:val="FirstParagraph"/>
      </w:pPr>
      <w:r>
        <w:t xml:space="preserve">Additional details and examples for each of the eight organ dysfunction scoring</w:t>
      </w:r>
      <w:r>
        <w:t xml:space="preserve"> </w:t>
      </w:r>
      <w:r>
        <w:t xml:space="preserve">functions,</w:t>
      </w:r>
      <w:r>
        <w:t xml:space="preserve"> </w:t>
      </w:r>
      <w:r>
        <w:rPr>
          <w:rStyle w:val="VerbatimChar"/>
        </w:rPr>
        <w:t xml:space="preserve">phoenix()</w:t>
      </w:r>
      <w:r>
        <w:t xml:space="preserve">, and</w:t>
      </w:r>
      <w:r>
        <w:t xml:space="preserve"> </w:t>
      </w:r>
      <w:r>
        <w:rPr>
          <w:rStyle w:val="VerbatimChar"/>
        </w:rPr>
        <w:t xml:space="preserve">phoenix8()</w:t>
      </w:r>
      <w:r>
        <w:t xml:space="preserve"> </w:t>
      </w:r>
      <w:r>
        <w:t xml:space="preserve">methods are in the</w:t>
      </w:r>
      <w:r>
        <w:t xml:space="preserve"> </w:t>
      </w:r>
      <w:r>
        <w:rPr>
          <w:bCs/>
          <w:b/>
        </w:rPr>
        <w:t xml:space="preserve">Supplemental</w:t>
      </w:r>
      <w:r>
        <w:rPr>
          <w:bCs/>
          <w:b/>
        </w:rPr>
        <w:t xml:space="preserve"> </w:t>
      </w:r>
      <w:r>
        <w:rPr>
          <w:bCs/>
          <w:b/>
        </w:rPr>
        <w:t xml:space="preserve">Examples</w:t>
      </w:r>
      <w:r>
        <w:t xml:space="preserve">. The supplement includes examples in R, Python, and SQLite.</w:t>
      </w:r>
    </w:p>
    <w:bookmarkEnd w:id="38"/>
    <w:bookmarkStart w:id="40" w:name="discussion"/>
    <w:p>
      <w:pPr>
        <w:pStyle w:val="Heading1"/>
      </w:pPr>
      <w:r>
        <w:t xml:space="preserve">Discussion</w:t>
      </w:r>
    </w:p>
    <w:p>
      <w:pPr>
        <w:pStyle w:val="FirstParagraph"/>
      </w:pPr>
      <w:r>
        <w:t xml:space="preserve">The transition to the Phoenix criteria marks a major change in the conceptual</w:t>
      </w:r>
      <w:r>
        <w:t xml:space="preserve"> </w:t>
      </w:r>
      <w:r>
        <w:t xml:space="preserve">definition of pediatric sepsis.</w:t>
      </w:r>
      <w:r>
        <w:t xml:space="preserve">[7]</w:t>
      </w:r>
      <w:r>
        <w:t xml:space="preserve"> </w:t>
      </w:r>
      <w:r>
        <w:t xml:space="preserve">Applicable across</w:t>
      </w:r>
      <w:r>
        <w:t xml:space="preserve"> </w:t>
      </w:r>
      <w:r>
        <w:t xml:space="preserve">differentially resourced settings, the Phoenix criteria should help improve</w:t>
      </w:r>
      <w:r>
        <w:t xml:space="preserve"> </w:t>
      </w:r>
      <w:r>
        <w:t xml:space="preserve">clinical care and research across the globe.</w:t>
      </w:r>
    </w:p>
    <w:p>
      <w:pPr>
        <w:pStyle w:val="BodyText"/>
      </w:pPr>
      <w:r>
        <w:t xml:space="preserve">Additionally, the eponymic R package and Python modules provide researchers a</w:t>
      </w:r>
      <w:r>
        <w:t xml:space="preserve"> </w:t>
      </w:r>
      <w:r>
        <w:t xml:space="preserve">simple to use tool for consistent and faithful application of the Phoenix</w:t>
      </w:r>
      <w:r>
        <w:t xml:space="preserve"> </w:t>
      </w:r>
      <w:r>
        <w:t xml:space="preserve">criteria to any applicable data set.</w:t>
      </w:r>
    </w:p>
    <w:p>
      <w:pPr>
        <w:pStyle w:val="BodyText"/>
      </w:pPr>
      <w:r>
        <w:t xml:space="preserve">Researchers are encouraged to carefully review the provided documentation for</w:t>
      </w:r>
      <w:r>
        <w:t xml:space="preserve"> </w:t>
      </w:r>
      <w:r>
        <w:t xml:space="preserve">the package. Some assumptions used by the package are easy to overlook. The</w:t>
      </w:r>
      <w:r>
        <w:t xml:space="preserve"> </w:t>
      </w:r>
      <w:r>
        <w:t xml:space="preserve">example for using</w:t>
      </w:r>
      <w:r>
        <w:t xml:space="preserve"> </w:t>
      </w:r>
      <w:r>
        <w:rPr>
          <w:rStyle w:val="VerbatimChar"/>
        </w:rPr>
        <w:t xml:space="preserve">phoenix()</w:t>
      </w:r>
      <w:r>
        <w:t xml:space="preserve"> </w:t>
      </w:r>
      <w:r>
        <w:t xml:space="preserve">on a</w:t>
      </w:r>
      <w:r>
        <w:t xml:space="preserve"> </w:t>
      </w:r>
      <w:r>
        <w:rPr>
          <w:rStyle w:val="VerbatimChar"/>
        </w:rPr>
        <w:t xml:space="preserve">data.frame</w:t>
      </w:r>
      <w:r>
        <w:t xml:space="preserve"> </w:t>
      </w:r>
      <w:r>
        <w:t xml:space="preserve">in R has expressions for the</w:t>
      </w:r>
      <w:r>
        <w:t xml:space="preserve"> </w:t>
      </w:r>
      <w:r>
        <w:t xml:space="preserve">PaO</w:t>
      </w:r>
      <w:r>
        <w:rPr>
          <w:vertAlign w:val="subscript"/>
        </w:rPr>
        <w:t xml:space="preserve">2</w:t>
      </w:r>
      <w:r>
        <w:t xml:space="preserve">:FiO</w:t>
      </w:r>
      <w:r>
        <w:rPr>
          <w:vertAlign w:val="subscript"/>
        </w:rPr>
        <w:t xml:space="preserve">2</w:t>
      </w:r>
      <w:r>
        <w:t xml:space="preserve"> </w:t>
      </w:r>
      <w:r>
        <w:t xml:space="preserve">ratio, SpO</w:t>
      </w:r>
      <w:r>
        <w:rPr>
          <w:vertAlign w:val="subscript"/>
        </w:rPr>
        <w:t xml:space="preserve">2</w:t>
      </w:r>
      <w:r>
        <w:t xml:space="preserve">:Fi</w:t>
      </w:r>
      <w:r>
        <w:rPr>
          <w:vertAlign w:val="subscript"/>
        </w:rPr>
        <w:t xml:space="preserve">2</w:t>
      </w:r>
      <w:r>
        <w:t xml:space="preserve"> </w:t>
      </w:r>
      <w:r>
        <w:t xml:space="preserve">ratio, respiratory support, vasoactives</w:t>
      </w:r>
      <w:r>
        <w:t xml:space="preserve"> </w:t>
      </w:r>
      <w:r>
        <w:t xml:space="preserve">medications, mean arterial pressure (MAP), and fixed pupils. This example is</w:t>
      </w:r>
      <w:r>
        <w:t xml:space="preserve"> </w:t>
      </w:r>
      <w:r>
        <w:t xml:space="preserve">provided to be explicit about data assumptions such as the SpO</w:t>
      </w:r>
      <w:r>
        <w:rPr>
          <w:vertAlign w:val="subscript"/>
        </w:rPr>
        <w:t xml:space="preserve">2</w:t>
      </w:r>
      <w:r>
        <w:t xml:space="preserve">:FiO</w:t>
      </w:r>
      <w:r>
        <w:rPr>
          <w:vertAlign w:val="subscript"/>
        </w:rPr>
        <w:t xml:space="preserve">2</w:t>
      </w:r>
      <w:r>
        <w:t xml:space="preserve"> </w:t>
      </w:r>
      <w:r>
        <w:t xml:space="preserve">ratio</w:t>
      </w:r>
      <w:r>
        <w:t xml:space="preserve"> </w:t>
      </w:r>
      <w:r>
        <w:t xml:space="preserve">only being valid for SpO</w:t>
      </w:r>
      <w:r>
        <w:rPr>
          <w:vertAlign w:val="subscript"/>
        </w:rPr>
        <w:t xml:space="preserve">2</w:t>
      </w:r>
      <w:r>
        <w:t xml:space="preserve"> </w:t>
      </w:r>
      <w:r>
        <w:t xml:space="preserve">values not exceeding 97.</w:t>
      </w:r>
    </w:p>
    <w:p>
      <w:pPr>
        <w:pStyle w:val="BodyText"/>
      </w:pPr>
      <w:r>
        <w:t xml:space="preserve">In practice, we suggest processing the data first such that only a variable name</w:t>
      </w:r>
      <w:r>
        <w:t xml:space="preserve"> </w:t>
      </w:r>
      <w:r>
        <w:t xml:space="preserve">need be passed as an argument. This could be particularly useful in the case of</w:t>
      </w:r>
      <w:r>
        <w:t xml:space="preserve"> </w:t>
      </w:r>
      <w:r>
        <w:t xml:space="preserve">MAP where a hierarchy of values could be used, i.e., invasive MAP readings are</w:t>
      </w:r>
      <w:r>
        <w:t xml:space="preserve"> </w:t>
      </w:r>
      <w:r>
        <w:t xml:space="preserve">preferable to calculated MAP based on invasive SBP and DBP, and invasive</w:t>
      </w:r>
      <w:r>
        <w:t xml:space="preserve"> </w:t>
      </w:r>
      <w:r>
        <w:t xml:space="preserve">measurements are preferable to non-invasive blood pressure cuff measurements.</w:t>
      </w:r>
    </w:p>
    <w:bookmarkStart w:id="39" w:name="conclusions"/>
    <w:p>
      <w:pPr>
        <w:pStyle w:val="Heading2"/>
      </w:pPr>
      <w:r>
        <w:t xml:space="preserve">Conclusions</w:t>
      </w:r>
    </w:p>
    <w:p>
      <w:pPr>
        <w:pStyle w:val="FirstParagraph"/>
      </w:pPr>
      <w:r>
        <w:t xml:space="preserve">The</w:t>
      </w:r>
      <w:r>
        <w:t xml:space="preserve"> </w:t>
      </w:r>
      <w:r>
        <w:rPr>
          <w:rStyle w:val="VerbatimChar"/>
        </w:rPr>
        <w:t xml:space="preserve">phoenix</w:t>
      </w:r>
      <w:r>
        <w:t xml:space="preserve"> </w:t>
      </w:r>
      <w:r>
        <w:t xml:space="preserve">R package and Python module, meets the objectives of the FAIR</w:t>
      </w:r>
      <w:r>
        <w:t xml:space="preserve"> </w:t>
      </w:r>
      <w:r>
        <w:t xml:space="preserve">Principles for Research Software (FAIR4RS Principles).</w:t>
      </w:r>
      <w:r>
        <w:t xml:space="preserve">[8]</w:t>
      </w:r>
      <w:r>
        <w:t xml:space="preserve"> </w:t>
      </w:r>
      <w:r>
        <w:t xml:space="preserve">The package and module are intuitive tools for consistently and accurately</w:t>
      </w:r>
      <w:r>
        <w:t xml:space="preserve"> </w:t>
      </w:r>
      <w:r>
        <w:t xml:space="preserve">applying the Phoenix pediatric sepsis criteria to clinical data sets.</w:t>
      </w:r>
    </w:p>
    <w:p>
      <w:r>
        <w:br w:type="page"/>
      </w:r>
    </w:p>
    <w:p>
      <w:pPr>
        <w:pStyle w:val="BodyText"/>
      </w:pPr>
      <w:r>
        <w:rPr>
          <w:bCs/>
          <w:b/>
          <w:u w:val="single"/>
        </w:rPr>
        <w:t xml:space="preserve">Funding Statement:</w:t>
      </w:r>
      <w:r>
        <w:t xml:space="preserve"> </w:t>
      </w:r>
      <w:r>
        <w:t xml:space="preserve">This work was supported by Eunice Kennedy Shriver National Institute of Child Health and Human Development grant R01HD105939 to TDB and LNSP.</w:t>
      </w:r>
    </w:p>
    <w:p>
      <w:pPr>
        <w:pStyle w:val="BodyText"/>
      </w:pPr>
      <w:r>
        <w:rPr>
          <w:bCs/>
          <w:b/>
          <w:u w:val="single"/>
        </w:rPr>
        <w:t xml:space="preserve">Competing Interests Statement:</w:t>
      </w:r>
      <w:r>
        <w:t xml:space="preserve"> </w:t>
      </w:r>
      <w:r>
        <w:t xml:space="preserve">None.</w:t>
      </w:r>
    </w:p>
    <w:p>
      <w:pPr>
        <w:pStyle w:val="BodyText"/>
      </w:pPr>
      <w:r>
        <w:rPr>
          <w:bCs/>
          <w:b/>
          <w:u w:val="single"/>
        </w:rPr>
        <w:t xml:space="preserve">Data Availability Statement:</w:t>
      </w:r>
      <w:r>
        <w:t xml:space="preserve"> </w:t>
      </w:r>
      <w:r>
        <w:t xml:space="preserve">The</w:t>
      </w:r>
      <w:r>
        <w:t xml:space="preserve"> </w:t>
      </w:r>
      <w:r>
        <w:rPr>
          <w:rStyle w:val="VerbatimChar"/>
        </w:rPr>
        <w:t xml:space="preserve">phoenix</w:t>
      </w:r>
      <w:r>
        <w:t xml:space="preserve"> </w:t>
      </w:r>
      <w:r>
        <w:t xml:space="preserve">R package is freely</w:t>
      </w:r>
      <w:r>
        <w:t xml:space="preserve"> </w:t>
      </w:r>
      <w:r>
        <w:t xml:space="preserve">available on CRAN at https://cran.r-project.org/package=phoenix. The</w:t>
      </w:r>
      <w:r>
        <w:t xml:space="preserve"> </w:t>
      </w:r>
      <w:r>
        <w:rPr>
          <w:rStyle w:val="VerbatimChar"/>
        </w:rPr>
        <w:t xml:space="preserve">phoenix</w:t>
      </w:r>
      <w:r>
        <w:t xml:space="preserve"> </w:t>
      </w:r>
      <w:r>
        <w:t xml:space="preserve">Python module is freely available from PyPi:</w:t>
      </w:r>
      <w:r>
        <w:t xml:space="preserve"> </w:t>
      </w:r>
      <w:r>
        <w:t xml:space="preserve">https://pypi.org/project/phoenix-sepsis/.</w:t>
      </w:r>
      <w:r>
        <w:t xml:space="preserve"> </w:t>
      </w:r>
      <w:r>
        <w:t xml:space="preserve">Extensive documentation and example SQLite queries are available online at</w:t>
      </w:r>
      <w:r>
        <w:t xml:space="preserve"> </w:t>
      </w:r>
      <w:r>
        <w:t xml:space="preserve">https://cu-dbmi-peds.github.io/phoenix/index.html.</w:t>
      </w:r>
      <w:r>
        <w:t xml:space="preserve"> </w:t>
      </w:r>
      <w:r>
        <w:t xml:space="preserve">This manuscript was written using Quarto version</w:t>
      </w:r>
      <w:r>
        <w:t xml:space="preserve"> </w:t>
      </w:r>
      <w:r>
        <w:t xml:space="preserve">1.4.553</w:t>
      </w:r>
      <w:r>
        <w:t xml:space="preserve"> </w:t>
      </w:r>
      <w:r>
        <w:t xml:space="preserve">(https://quarto.org/) and R version 4.4.0 (2024-04-24). All R code, materials,</w:t>
      </w:r>
      <w:r>
        <w:t xml:space="preserve"> </w:t>
      </w:r>
      <w:r>
        <w:t xml:space="preserve">and dependencies can be found at</w:t>
      </w:r>
      <w:r>
        <w:t xml:space="preserve"> </w:t>
      </w:r>
      <w:r>
        <w:t xml:space="preserve">https://github.com/cu-dbmi-peds/phoenix_application_note/.</w:t>
      </w:r>
    </w:p>
    <w:p>
      <w:pPr>
        <w:pStyle w:val="BodyText"/>
      </w:pPr>
      <w:r>
        <w:rPr>
          <w:bCs/>
          <w:b/>
          <w:u w:val="single"/>
        </w:rPr>
        <w:t xml:space="preserve">Contributorship Statement:</w:t>
      </w:r>
      <w:r>
        <w:t xml:space="preserve"> </w:t>
      </w:r>
      <w:r>
        <w:t xml:space="preserve">PED designed and developed the</w:t>
      </w:r>
      <w:r>
        <w:t xml:space="preserve"> </w:t>
      </w:r>
      <w:r>
        <w:rPr>
          <w:rStyle w:val="VerbatimChar"/>
        </w:rPr>
        <w:t xml:space="preserve">phoenix</w:t>
      </w:r>
      <w:r>
        <w:t xml:space="preserve"> </w:t>
      </w:r>
      <w:r>
        <w:t xml:space="preserve">R package, Python module, example SQL code, and drafted the</w:t>
      </w:r>
      <w:r>
        <w:t xml:space="preserve"> </w:t>
      </w:r>
      <w:r>
        <w:t xml:space="preserve">manuscript. SR provided critical code review and testing. SR, MR, LNSP, and TDB</w:t>
      </w:r>
      <w:r>
        <w:t xml:space="preserve"> </w:t>
      </w:r>
      <w:r>
        <w:t xml:space="preserve">all contributed to the conception, design, and interpretation and provided</w:t>
      </w:r>
      <w:r>
        <w:t xml:space="preserve"> </w:t>
      </w:r>
      <w:r>
        <w:t xml:space="preserve">important feedback. All authors critically reviewed the manuscript for important</w:t>
      </w:r>
      <w:r>
        <w:t xml:space="preserve"> </w:t>
      </w:r>
      <w:r>
        <w:t xml:space="preserve">intellectual content and approved of the final version of the manuscript.</w:t>
      </w:r>
    </w:p>
    <w:p>
      <w:r>
        <w:br w:type="page"/>
      </w:r>
    </w:p>
    <w:bookmarkEnd w:id="39"/>
    <w:bookmarkEnd w:id="40"/>
    <w:bookmarkStart w:id="52" w:name="references"/>
    <w:p>
      <w:pPr>
        <w:pStyle w:val="Heading1"/>
      </w:pPr>
      <w:r>
        <w:t xml:space="preserve">References</w:t>
      </w:r>
    </w:p>
    <w:bookmarkStart w:id="51" w:name="refs"/>
    <w:bookmarkStart w:id="41" w:name="ref-rudd_2020_global"/>
    <w:p>
      <w:pPr>
        <w:pStyle w:val="Bibliography"/>
      </w:pPr>
      <w:r>
        <w:t xml:space="preserve">1</w:t>
      </w:r>
      <w:r>
        <w:t xml:space="preserve"> </w:t>
      </w:r>
      <w:r>
        <w:t xml:space="preserve">	</w:t>
      </w:r>
      <w:r>
        <w:t xml:space="preserve">Rudd KE, Johnson SC, Agesa KM,</w:t>
      </w:r>
      <w:r>
        <w:t xml:space="preserve"> </w:t>
      </w:r>
      <w:r>
        <w:rPr>
          <w:iCs/>
          <w:i/>
        </w:rPr>
        <w:t xml:space="preserve">et al.</w:t>
      </w:r>
      <w:r>
        <w:t xml:space="preserve"> Global, regional, and national sepsis incidence and mortality, 1990–2017: Analysis for the global burden of disease study.</w:t>
      </w:r>
      <w:r>
        <w:t xml:space="preserve"> </w:t>
      </w:r>
      <w:r>
        <w:rPr>
          <w:iCs/>
          <w:i/>
        </w:rPr>
        <w:t xml:space="preserve">The Lancet</w:t>
      </w:r>
      <w:r>
        <w:t xml:space="preserve">. 2020;395:200–11.</w:t>
      </w:r>
    </w:p>
    <w:bookmarkEnd w:id="41"/>
    <w:bookmarkStart w:id="42" w:name="ref-goldstein_2005_international"/>
    <w:p>
      <w:pPr>
        <w:pStyle w:val="Bibliography"/>
      </w:pPr>
      <w:r>
        <w:t xml:space="preserve">2</w:t>
      </w:r>
      <w:r>
        <w:t xml:space="preserve"> </w:t>
      </w:r>
      <w:r>
        <w:t xml:space="preserve">	</w:t>
      </w:r>
      <w:r>
        <w:t xml:space="preserve">Goldstein B, Giroir B, Randolph A,</w:t>
      </w:r>
      <w:r>
        <w:t xml:space="preserve"> </w:t>
      </w:r>
      <w:r>
        <w:rPr>
          <w:iCs/>
          <w:i/>
        </w:rPr>
        <w:t xml:space="preserve">et al.</w:t>
      </w:r>
      <w:r>
        <w:t xml:space="preserve"> International pediatric sepsis consensus conference: Definitions for sepsis and organ dysfunction in pediatrics.</w:t>
      </w:r>
      <w:r>
        <w:t xml:space="preserve"> </w:t>
      </w:r>
      <w:r>
        <w:rPr>
          <w:iCs/>
          <w:i/>
        </w:rPr>
        <w:t xml:space="preserve">Pediatric critical care medicine</w:t>
      </w:r>
      <w:r>
        <w:t xml:space="preserve">. 2005;6:2–8.</w:t>
      </w:r>
    </w:p>
    <w:bookmarkEnd w:id="42"/>
    <w:bookmarkStart w:id="44" w:name="ref-schlapbach_2024_international"/>
    <w:p>
      <w:pPr>
        <w:pStyle w:val="Bibliography"/>
      </w:pPr>
      <w:r>
        <w:t xml:space="preserve">3</w:t>
      </w:r>
      <w:r>
        <w:t xml:space="preserve"> </w:t>
      </w:r>
      <w:r>
        <w:t xml:space="preserve">	</w:t>
      </w:r>
      <w:r>
        <w:t xml:space="preserve">Schlapbach LJ, Watson RS, Sorce LR,</w:t>
      </w:r>
      <w:r>
        <w:t xml:space="preserve"> </w:t>
      </w:r>
      <w:r>
        <w:rPr>
          <w:iCs/>
          <w:i/>
        </w:rPr>
        <w:t xml:space="preserve">et al.</w:t>
      </w:r>
      <w:r>
        <w:t xml:space="preserve"> </w:t>
      </w:r>
      <w:r>
        <w:t xml:space="preserve">International Consensus Criteria for Pediatric Sepsis and Septic Shock</w:t>
      </w:r>
      <w:r>
        <w:t xml:space="preserve">.</w:t>
      </w:r>
      <w:r>
        <w:t xml:space="preserve"> </w:t>
      </w:r>
      <w:r>
        <w:rPr>
          <w:iCs/>
          <w:i/>
        </w:rPr>
        <w:t xml:space="preserve">JAMA</w:t>
      </w:r>
      <w:r>
        <w:t xml:space="preserve">. 2024;331:665–74. doi:</w:t>
      </w:r>
      <w:r>
        <w:t xml:space="preserve"> </w:t>
      </w:r>
      <w:hyperlink r:id="rId43">
        <w:r>
          <w:rPr>
            <w:rStyle w:val="Hyperlink"/>
          </w:rPr>
          <w:t xml:space="preserve">10.1001/jama.2024.0179</w:t>
        </w:r>
      </w:hyperlink>
    </w:p>
    <w:bookmarkEnd w:id="44"/>
    <w:bookmarkStart w:id="46" w:name="ref-sanchezpinto_2024_development"/>
    <w:p>
      <w:pPr>
        <w:pStyle w:val="Bibliography"/>
      </w:pPr>
      <w:r>
        <w:t xml:space="preserve">4</w:t>
      </w:r>
      <w:r>
        <w:t xml:space="preserve"> </w:t>
      </w:r>
      <w:r>
        <w:t xml:space="preserve">	</w:t>
      </w:r>
      <w:r>
        <w:t xml:space="preserve">Sanchez-Pinto LN, Bennett TD, DeWitt PE,</w:t>
      </w:r>
      <w:r>
        <w:t xml:space="preserve"> </w:t>
      </w:r>
      <w:r>
        <w:rPr>
          <w:iCs/>
          <w:i/>
        </w:rPr>
        <w:t xml:space="preserve">et al.</w:t>
      </w:r>
      <w:r>
        <w:t xml:space="preserve"> </w:t>
      </w:r>
      <w:r>
        <w:t xml:space="preserve">Development and Validation of the Phoenix Criteria for Pediatric Sepsis and Septic Shock</w:t>
      </w:r>
      <w:r>
        <w:t xml:space="preserve">.</w:t>
      </w:r>
      <w:r>
        <w:t xml:space="preserve"> </w:t>
      </w:r>
      <w:r>
        <w:rPr>
          <w:iCs/>
          <w:i/>
        </w:rPr>
        <w:t xml:space="preserve">JAMA</w:t>
      </w:r>
      <w:r>
        <w:t xml:space="preserve">. 2024;331:675–86. doi:</w:t>
      </w:r>
      <w:r>
        <w:t xml:space="preserve"> </w:t>
      </w:r>
      <w:hyperlink r:id="rId45">
        <w:r>
          <w:rPr>
            <w:rStyle w:val="Hyperlink"/>
          </w:rPr>
          <w:t xml:space="preserve">10.1001/jama.2024.0196</w:t>
        </w:r>
      </w:hyperlink>
    </w:p>
    <w:bookmarkEnd w:id="46"/>
    <w:bookmarkStart w:id="47" w:name="ref-seymour2016assessment"/>
    <w:p>
      <w:pPr>
        <w:pStyle w:val="Bibliography"/>
      </w:pPr>
      <w:r>
        <w:t xml:space="preserve">5</w:t>
      </w:r>
      <w:r>
        <w:t xml:space="preserve"> </w:t>
      </w:r>
      <w:r>
        <w:t xml:space="preserve">	</w:t>
      </w:r>
      <w:r>
        <w:t xml:space="preserve">Seymour CW, Liu VX, Iwashyna TJ,</w:t>
      </w:r>
      <w:r>
        <w:t xml:space="preserve"> </w:t>
      </w:r>
      <w:r>
        <w:rPr>
          <w:iCs/>
          <w:i/>
        </w:rPr>
        <w:t xml:space="preserve">et al.</w:t>
      </w:r>
      <w:r>
        <w:t xml:space="preserve"> Assessment of clinical criteria for sepsis: For the third international consensus definitions for sepsis and septic shock (sepsis-3).</w:t>
      </w:r>
      <w:r>
        <w:t xml:space="preserve"> </w:t>
      </w:r>
      <w:r>
        <w:rPr>
          <w:iCs/>
          <w:i/>
        </w:rPr>
        <w:t xml:space="preserve">Jama</w:t>
      </w:r>
      <w:r>
        <w:t xml:space="preserve">. 2016;315:762–74.</w:t>
      </w:r>
    </w:p>
    <w:bookmarkEnd w:id="47"/>
    <w:bookmarkStart w:id="48" w:name="ref-singer2016third"/>
    <w:p>
      <w:pPr>
        <w:pStyle w:val="Bibliography"/>
      </w:pPr>
      <w:r>
        <w:t xml:space="preserve">6</w:t>
      </w:r>
      <w:r>
        <w:t xml:space="preserve"> </w:t>
      </w:r>
      <w:r>
        <w:t xml:space="preserve">	</w:t>
      </w:r>
      <w:r>
        <w:t xml:space="preserve">Singer M, Deutschman CS, Seymour CW,</w:t>
      </w:r>
      <w:r>
        <w:t xml:space="preserve"> </w:t>
      </w:r>
      <w:r>
        <w:rPr>
          <w:iCs/>
          <w:i/>
        </w:rPr>
        <w:t xml:space="preserve">et al.</w:t>
      </w:r>
      <w:r>
        <w:t xml:space="preserve"> The third international consensus definitions for sepsis and septic shock (sepsis-3).</w:t>
      </w:r>
      <w:r>
        <w:t xml:space="preserve"> </w:t>
      </w:r>
      <w:r>
        <w:rPr>
          <w:iCs/>
          <w:i/>
        </w:rPr>
        <w:t xml:space="preserve">Jama</w:t>
      </w:r>
      <w:r>
        <w:t xml:space="preserve">. 2016;315:801–10.</w:t>
      </w:r>
    </w:p>
    <w:bookmarkEnd w:id="48"/>
    <w:bookmarkStart w:id="49" w:name="ref-jabornisky2024transitioning"/>
    <w:p>
      <w:pPr>
        <w:pStyle w:val="Bibliography"/>
      </w:pPr>
      <w:r>
        <w:t xml:space="preserve">7</w:t>
      </w:r>
      <w:r>
        <w:t xml:space="preserve"> </w:t>
      </w:r>
      <w:r>
        <w:t xml:space="preserve">	</w:t>
      </w:r>
      <w:r>
        <w:t xml:space="preserve">Jabornisky R, Kuppermann N, González-Dambrauskas S. Transitioning from SIRS to phoenix with the updated pediatric sepsis criteria: The difficult task of simplifying the complex.</w:t>
      </w:r>
      <w:r>
        <w:t xml:space="preserve"> </w:t>
      </w:r>
      <w:r>
        <w:rPr>
          <w:iCs/>
          <w:i/>
        </w:rPr>
        <w:t xml:space="preserve">JAMA</w:t>
      </w:r>
      <w:r>
        <w:t xml:space="preserve">. 2024.</w:t>
      </w:r>
    </w:p>
    <w:bookmarkEnd w:id="49"/>
    <w:bookmarkStart w:id="50" w:name="ref-barker_2022_introducing"/>
    <w:p>
      <w:pPr>
        <w:pStyle w:val="Bibliography"/>
      </w:pPr>
      <w:r>
        <w:t xml:space="preserve">8</w:t>
      </w:r>
      <w:r>
        <w:t xml:space="preserve"> </w:t>
      </w:r>
      <w:r>
        <w:t xml:space="preserve">	</w:t>
      </w:r>
      <w:r>
        <w:t xml:space="preserve">Barker M, Chue Hong NP, Katz DS,</w:t>
      </w:r>
      <w:r>
        <w:t xml:space="preserve"> </w:t>
      </w:r>
      <w:r>
        <w:rPr>
          <w:iCs/>
          <w:i/>
        </w:rPr>
        <w:t xml:space="preserve">et al.</w:t>
      </w:r>
      <w:r>
        <w:t xml:space="preserve"> Introducing the FAIR principles for research software.</w:t>
      </w:r>
      <w:r>
        <w:t xml:space="preserve"> </w:t>
      </w:r>
      <w:r>
        <w:rPr>
          <w:iCs/>
          <w:i/>
        </w:rPr>
        <w:t xml:space="preserve">Scientific Data</w:t>
      </w:r>
      <w:r>
        <w:t xml:space="preserve">. 2022;9:622.</w:t>
      </w:r>
    </w:p>
    <w:bookmarkEnd w:id="50"/>
    <w:bookmarkEnd w:id="51"/>
    <w:bookmarkEnd w:id="52"/>
    <w:sectPr w:rsidR="0083186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Abbreviations:</w:t>
      </w:r>
      <w:r>
        <w:t xml:space="preserve"> </w:t>
      </w:r>
      <w:r>
        <w:t xml:space="preserve">ALC: Absolute lymphocyte count;</w:t>
      </w:r>
      <w:r>
        <w:t xml:space="preserve"> </w:t>
      </w:r>
      <w:r>
        <w:t xml:space="preserve">ALT: alanine aminotransferase;</w:t>
      </w:r>
      <w:r>
        <w:t xml:space="preserve"> </w:t>
      </w:r>
      <w:r>
        <w:t xml:space="preserve">ANC: Absolute neutrophil count;</w:t>
      </w:r>
      <w:r>
        <w:t xml:space="preserve"> </w:t>
      </w:r>
      <w:r>
        <w:t xml:space="preserve">FEU: fibrinogen equivalent units;</w:t>
      </w:r>
      <w:r>
        <w:t xml:space="preserve"> </w:t>
      </w:r>
      <w:r>
        <w:t xml:space="preserve">FiO</w:t>
      </w:r>
      <w:r>
        <w:rPr>
          <w:vertAlign w:val="subscript"/>
        </w:rPr>
        <w:t xml:space="preserve">2</w:t>
      </w:r>
      <w:r>
        <w:t xml:space="preserve">: fraction of inspired oxygen;</w:t>
      </w:r>
      <w:r>
        <w:t xml:space="preserve"> </w:t>
      </w:r>
      <w:r>
        <w:t xml:space="preserve">GCS: Glasgow Coma Score;</w:t>
      </w:r>
      <w:r>
        <w:t xml:space="preserve"> </w:t>
      </w:r>
      <w:r>
        <w:t xml:space="preserve">IMV: invasive mechanical ventilation;</w:t>
      </w:r>
      <w:r>
        <w:t xml:space="preserve"> </w:t>
      </w:r>
      <w:r>
        <w:t xml:space="preserve">INR: International normalized ratio;</w:t>
      </w:r>
      <w:r>
        <w:t xml:space="preserve"> </w:t>
      </w:r>
      <w:r>
        <w:t xml:space="preserve">MAP: mean arterial pressure;</w:t>
      </w:r>
      <w:r>
        <w:t xml:space="preserve"> </w:t>
      </w:r>
      <w:r>
        <w:t xml:space="preserve">PaO</w:t>
      </w:r>
      <w:r>
        <w:rPr>
          <w:vertAlign w:val="subscript"/>
        </w:rPr>
        <w:t xml:space="preserve">2</w:t>
      </w:r>
      <w:r>
        <w:t xml:space="preserve">: arterial oxygen pressure;</w:t>
      </w:r>
      <w:r>
        <w:t xml:space="preserve"> </w:t>
      </w:r>
      <w:r>
        <w:t xml:space="preserve">SpO</w:t>
      </w:r>
      <w:r>
        <w:rPr>
          <w:vertAlign w:val="subscript"/>
        </w:rPr>
        <w:t xml:space="preserve">2</w:t>
      </w:r>
      <w:r>
        <w:t xml:space="preserve">: pulse oximetry oxygen saturation;</w:t>
      </w:r>
    </w:p>
  </w:footnote>
  <w:footnote w:id="25">
    <w:p>
      <w:pPr>
        <w:pStyle w:val="FootnoteText"/>
      </w:pPr>
      <w:r>
        <w:rPr>
          <w:rStyle w:val="FootnoteReference"/>
        </w:rPr>
        <w:footnoteRef/>
      </w:r>
      <w:r>
        <w:t xml:space="preserve"> </w:t>
      </w:r>
      <w:r>
        <w:t xml:space="preserve">SpO</w:t>
      </w:r>
      <w:r>
        <w:rPr>
          <w:vertAlign w:val="subscript"/>
        </w:rPr>
        <w:t xml:space="preserve">2</w:t>
      </w:r>
      <w:r>
        <w:t xml:space="preserve">:FiO</w:t>
      </w:r>
      <w:r>
        <w:rPr>
          <w:vertAlign w:val="subscript"/>
        </w:rPr>
        <w:t xml:space="preserve">2</w:t>
      </w:r>
      <w:r>
        <w:t xml:space="preserve"> </w:t>
      </w:r>
      <w:r>
        <w:t xml:space="preserve">is only valid when SpO</w:t>
      </w:r>
      <w:r>
        <w:rPr>
          <w:vertAlign w:val="subscript"/>
        </w:rPr>
        <w:t xml:space="preserve">2</w:t>
      </w:r>
      <w:r>
        <w:t xml:space="preserve"> </w:t>
      </w:r>
      <w:r>
        <w:t xml:space="preserve">≤ 97.</w:t>
      </w:r>
    </w:p>
  </w:footnote>
  <w:footnote w:id="26">
    <w:p>
      <w:pPr>
        <w:pStyle w:val="FootnoteText"/>
      </w:pPr>
      <w:r>
        <w:rPr>
          <w:rStyle w:val="FootnoteReference"/>
        </w:rPr>
        <w:footnoteRef/>
      </w:r>
      <w:r>
        <w:t xml:space="preserve"> </w:t>
      </w:r>
      <w:r>
        <w:t xml:space="preserve">Vasoactive medications: any systemic dose of dobutamine, dopamine, epinephrine, milrinone, norepinephrine, and/or vasopressin.</w:t>
      </w:r>
    </w:p>
  </w:footnote>
  <w:footnote w:id="27">
    <w:p>
      <w:pPr>
        <w:pStyle w:val="FootnoteText"/>
      </w:pPr>
      <w:r>
        <w:rPr>
          <w:rStyle w:val="FootnoteReference"/>
        </w:rPr>
        <w:footnoteRef/>
      </w:r>
      <w:r>
        <w:t xml:space="preserve"> </w:t>
      </w:r>
      <w:r>
        <w:t xml:space="preserve">Lactate can be arterial or venous. Reference range 0.5 - 2.2 mmol/L</w:t>
      </w:r>
    </w:p>
  </w:footnote>
  <w:footnote w:id="28">
    <w:p>
      <w:pPr>
        <w:pStyle w:val="FootnoteText"/>
      </w:pPr>
      <w:r>
        <w:rPr>
          <w:rStyle w:val="FootnoteReference"/>
        </w:rPr>
        <w:footnoteRef/>
      </w:r>
      <w:r>
        <w:t xml:space="preserve"> </w:t>
      </w:r>
      <w:r>
        <w:t xml:space="preserve">The verbosity of this table is greater than in the tables in the original source publications.</w:t>
      </w:r>
      <w:r>
        <w:t xml:space="preserve">[3,4]</w:t>
      </w:r>
      <w:r>
        <w:t xml:space="preserve"> </w:t>
      </w:r>
      <w:r>
        <w:t xml:space="preserve">The inequalities reported in this table, and the specific values reported in this table, reflect how the criteria is implemented in software whereas the source publications reported tables consistent with clinical practice. A couple notable differences. 1 cardiovascular point is reached for a lactate value of</w:t>
      </w:r>
      <w:r>
        <w:t xml:space="preserve"> </w:t>
      </w:r>
      <w:r>
        <w:t xml:space="preserve">“</w:t>
      </w:r>
      <w:r>
        <w:t xml:space="preserve">5-10.9 mmol/L</w:t>
      </w:r>
      <w:r>
        <w:t xml:space="preserve">”</w:t>
      </w:r>
      <w:r>
        <w:t xml:space="preserve"> </w:t>
      </w:r>
      <w:r>
        <w:t xml:space="preserve">and 2 points for lactate ≥ 11 mmol/L.</w:t>
      </w:r>
      <w:r>
        <w:t xml:space="preserve">[3,4]</w:t>
      </w:r>
      <w:r>
        <w:t xml:space="preserve"> </w:t>
      </w:r>
      <w:r>
        <w:t xml:space="preserve">There is an implication of rounding lactate to one decimal place and assessing the criteria. The software simplifies the work by considering lactate values to be a floating point value that could take on any real value and thus the logic of</w:t>
      </w:r>
      <w:r>
        <w:t xml:space="preserve"> </w:t>
      </w:r>
      <w:r>
        <w:t xml:space="preserve">“</w:t>
      </w:r>
      <w:r>
        <w:t xml:space="preserve">5 ≤ lactate &lt; 11</w:t>
      </w:r>
      <w:r>
        <w:t xml:space="preserve">”</w:t>
      </w:r>
      <w:r>
        <w:t xml:space="preserve"> </w:t>
      </w:r>
      <w:r>
        <w:t xml:space="preserve">for 1 point. Additionally, for MAP, the criteria listed in this table is consistent with common clinical practice of interpreting MAP as integer values. The criteria listed in this table is used with the assumption that MAP values are floating point values.</w:t>
      </w:r>
    </w:p>
  </w:footnote>
  <w:footnote w:id="29">
    <w:p>
      <w:pPr>
        <w:pStyle w:val="FootnoteText"/>
      </w:pPr>
      <w:r>
        <w:rPr>
          <w:rStyle w:val="FootnoteReference"/>
        </w:rPr>
        <w:footnoteRef/>
      </w:r>
      <w:r>
        <w:t xml:space="preserve"> </w:t>
      </w:r>
      <w:r>
        <w:t xml:space="preserve">Age: measured in months and is not adjusted for prematurity.</w:t>
      </w:r>
    </w:p>
  </w:footnote>
  <w:footnote w:id="30">
    <w:p>
      <w:pPr>
        <w:pStyle w:val="FootnoteText"/>
      </w:pPr>
      <w:r>
        <w:rPr>
          <w:rStyle w:val="FootnoteReference"/>
        </w:rPr>
        <w:footnoteRef/>
      </w:r>
      <w:r>
        <w:t xml:space="preserve"> </w:t>
      </w:r>
      <w:r>
        <w:t xml:space="preserve">MAP - Use measured mean arterial pressure preferentially (invasive arterial if available, or non-invasive oscillometric), alternatively use the calculation diastolic + (systolic - diastolic) / 3</w:t>
      </w:r>
    </w:p>
  </w:footnote>
  <w:footnote w:id="31">
    <w:p>
      <w:pPr>
        <w:pStyle w:val="FootnoteText"/>
      </w:pPr>
      <w:r>
        <w:rPr>
          <w:rStyle w:val="FootnoteReference"/>
        </w:rPr>
        <w:footnoteRef/>
      </w:r>
      <w:r>
        <w:t xml:space="preserve"> </w:t>
      </w:r>
      <w:r>
        <w:t xml:space="preserve">Coagulation variable reference ranges: platelets, 150-450 103/μL; D-dimer, &lt; 0.5 mg/L FEU; fibrinogen, 180-410 mg/dL. International normalized ratio reference range is based on local reference prothrombin time.</w:t>
      </w:r>
    </w:p>
  </w:footnote>
  <w:footnote w:id="32">
    <w:p>
      <w:pPr>
        <w:pStyle w:val="FootnoteText"/>
      </w:pPr>
      <w:r>
        <w:rPr>
          <w:rStyle w:val="FootnoteReference"/>
        </w:rPr>
        <w:footnoteRef/>
      </w:r>
      <w:r>
        <w:t xml:space="preserve"> </w:t>
      </w:r>
      <w:r>
        <w:t xml:space="preserve">Neurologic dysfunction scoring was pragmatically validated in both sedated and on sedated patients and those with and without IMV.</w:t>
      </w:r>
    </w:p>
  </w:footnote>
  <w:footnote w:id="33">
    <w:p>
      <w:pPr>
        <w:pStyle w:val="FootnoteText"/>
      </w:pPr>
      <w:r>
        <w:rPr>
          <w:rStyle w:val="FootnoteReference"/>
        </w:rPr>
        <w:footnoteRef/>
      </w:r>
      <w:r>
        <w:t xml:space="preserve"> </w:t>
      </w:r>
      <w:r>
        <w:t xml:space="preserve">GCS measures level of consciousness based on verbal, eye, and motor response. Values are integers from 3 to 15 with higher scores indicating better neurologic function.</w:t>
      </w:r>
    </w:p>
  </w:footnote>
  <w:footnote w:id="34">
    <w:p>
      <w:pPr>
        <w:pStyle w:val="FootnoteText"/>
      </w:pPr>
      <w:r>
        <w:rPr>
          <w:rStyle w:val="FootnoteReference"/>
        </w:rPr>
        <w:footnoteRef/>
      </w:r>
      <w:r>
        <w:t xml:space="preserve"> </w:t>
      </w:r>
      <w:r>
        <w:t xml:space="preserve">Age: measured in months and is not adjusted for prematurity.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2228F2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82423327" w:numId="1">
    <w:abstractNumId w:val="0"/>
  </w:num>
  <w:num w16cid:durableId="60449052"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322F5D"/>
    <w:pPr>
      <w:spacing w:after="180" w:before="180"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rsid w:val="00EC0F94"/>
    <w:pPr>
      <w:spacing w:after="36" w:before="36" w:line="240" w:lineRule="auto"/>
    </w:pPr>
    <w:rPr>
      <w:sz w:val="20"/>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31417"/>
    <w:rPr>
      <w:sz w:val="20"/>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01/jama.2024.0179" TargetMode="External" /><Relationship Type="http://schemas.openxmlformats.org/officeDocument/2006/relationships/hyperlink" Id="rId45" Target="https://doi.org/10.1001/jama.2024.0196" TargetMode="External" /><Relationship Type="http://schemas.openxmlformats.org/officeDocument/2006/relationships/hyperlink" Id="rId20" Target="mailto:peter.dewitt@cuanschutz.edu"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2024.0179" TargetMode="External" /><Relationship Type="http://schemas.openxmlformats.org/officeDocument/2006/relationships/hyperlink" Id="rId45" Target="https://doi.org/10.1001/jama.2024.0196" TargetMode="External" /><Relationship Type="http://schemas.openxmlformats.org/officeDocument/2006/relationships/hyperlink" Id="rId20" Target="mailto:peter.dewitt@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An R package and Python module for calculating the Phoenix Pediatric Sepsis Score and Criteria</dc:title>
  <dc:creator/>
  <cp:keywords/>
  <dcterms:created xsi:type="dcterms:W3CDTF">2024-06-21T14:12:58Z</dcterms:created>
  <dcterms:modified xsi:type="dcterms:W3CDTF">2024-06-21T14:12:58Z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fig-cap-location">
    <vt:lpwstr>top</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