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A4EEC" w14:textId="77777777" w:rsidR="00831864" w:rsidRDefault="00000000">
      <w:pPr>
        <w:pStyle w:val="Title"/>
      </w:pPr>
      <w:r>
        <w:t>phoenix: R package and Python module for calculating the Phoenix Pediatric Sepsis Score and Criteria</w:t>
      </w:r>
    </w:p>
    <w:p w14:paraId="5B22BDC0" w14:textId="77777777" w:rsidR="00831864" w:rsidRDefault="00000000">
      <w:pPr>
        <w:pStyle w:val="FirstParagraph"/>
      </w:pPr>
      <w:r>
        <w:rPr>
          <w:b/>
          <w:bCs/>
        </w:rPr>
        <w:t>Authors</w:t>
      </w:r>
      <w:r>
        <w:t>: Peter E. DeWitt</w:t>
      </w:r>
      <w:r>
        <w:rPr>
          <w:vertAlign w:val="superscript"/>
        </w:rPr>
        <w:t>1</w:t>
      </w:r>
      <w:r>
        <w:t>, PhD; Seth Russell</w:t>
      </w:r>
      <w:r>
        <w:rPr>
          <w:vertAlign w:val="superscript"/>
        </w:rPr>
        <w:t>1</w:t>
      </w:r>
      <w:r>
        <w:t>, MS; Margaret N. Rebull</w:t>
      </w:r>
      <w:r>
        <w:rPr>
          <w:vertAlign w:val="superscript"/>
        </w:rPr>
        <w:t>1</w:t>
      </w:r>
      <w:r>
        <w:t>, MA; L. Nelson Sanchez-Pinto</w:t>
      </w:r>
      <w:r>
        <w:rPr>
          <w:vertAlign w:val="superscript"/>
        </w:rPr>
        <w:t>2</w:t>
      </w:r>
      <w:r>
        <w:t>, MD, MBI; Tellen D. Bennett</w:t>
      </w:r>
      <w:r>
        <w:rPr>
          <w:vertAlign w:val="superscript"/>
        </w:rPr>
        <w:t>1,3</w:t>
      </w:r>
      <w:r>
        <w:t>, MD, MS</w:t>
      </w:r>
    </w:p>
    <w:p w14:paraId="375BD10E" w14:textId="77777777" w:rsidR="00831864" w:rsidRDefault="00000000">
      <w:pPr>
        <w:pStyle w:val="Heading1"/>
      </w:pPr>
      <w:bookmarkStart w:id="0" w:name="abstract"/>
      <w:r>
        <w:t>Abstract</w:t>
      </w:r>
    </w:p>
    <w:p w14:paraId="586FE28C" w14:textId="77777777" w:rsidR="00831864" w:rsidRDefault="00000000">
      <w:pPr>
        <w:pStyle w:val="FirstParagraph"/>
      </w:pPr>
      <w:r>
        <w:t>words: 145/150 words</w:t>
      </w:r>
    </w:p>
    <w:p w14:paraId="5752F43E" w14:textId="77777777" w:rsidR="00831864" w:rsidRDefault="00000000">
      <w:pPr>
        <w:pStyle w:val="BodyText"/>
      </w:pPr>
      <w:r>
        <w:rPr>
          <w:b/>
          <w:bCs/>
        </w:rPr>
        <w:t>Objectives</w:t>
      </w:r>
    </w:p>
    <w:p w14:paraId="2470D122" w14:textId="77777777" w:rsidR="00831864" w:rsidRDefault="00000000">
      <w:pPr>
        <w:pStyle w:val="BodyText"/>
      </w:pPr>
      <w:r>
        <w:t>The publication of the Phoenix criteria for pediatric sepsis and septic shock initiates a new era in clinical care and research of pediatric sepsis. Tools to consistently and accurately apply the Phoenix criteria to electronic health records (EHRs) is one part of building a robust and internally consistent body of research across multiple research groups and data sets.</w:t>
      </w:r>
    </w:p>
    <w:p w14:paraId="1713BA54" w14:textId="77777777" w:rsidR="00831864" w:rsidRDefault="00000000">
      <w:pPr>
        <w:pStyle w:val="BodyText"/>
      </w:pPr>
      <w:r>
        <w:rPr>
          <w:b/>
          <w:bCs/>
        </w:rPr>
        <w:t>Materials and Methods</w:t>
      </w:r>
    </w:p>
    <w:p w14:paraId="6ADFEC19" w14:textId="77777777" w:rsidR="00831864" w:rsidRDefault="00000000">
      <w:pPr>
        <w:pStyle w:val="BodyText"/>
      </w:pPr>
      <w:r>
        <w:t xml:space="preserve">We developed the </w:t>
      </w:r>
      <w:r>
        <w:rPr>
          <w:rStyle w:val="VerbatimChar"/>
        </w:rPr>
        <w:t>phoenix</w:t>
      </w:r>
      <w:r>
        <w:t xml:space="preserve"> R package and Python module to provide researchers with intuitive and simple functions to apply the Phoenix criteria to EHR data.</w:t>
      </w:r>
    </w:p>
    <w:p w14:paraId="2B717524" w14:textId="77777777" w:rsidR="00831864" w:rsidRDefault="00000000">
      <w:pPr>
        <w:pStyle w:val="BodyText"/>
      </w:pPr>
      <w:r>
        <w:rPr>
          <w:b/>
          <w:bCs/>
        </w:rPr>
        <w:t>Results</w:t>
      </w:r>
    </w:p>
    <w:p w14:paraId="3AA7BBDF" w14:textId="77777777" w:rsidR="00831864" w:rsidRDefault="00000000">
      <w:pPr>
        <w:pStyle w:val="BodyText"/>
      </w:pPr>
      <w:r>
        <w:t xml:space="preserve">The </w:t>
      </w:r>
      <w:r>
        <w:rPr>
          <w:rStyle w:val="VerbatimChar"/>
        </w:rPr>
        <w:t>phoenix</w:t>
      </w:r>
      <w:r>
        <w:t xml:space="preserve"> R package and Python module enable researchers to apply the Phoenix criteria to EHR datasets and derive the relevant indicators, total scores, and sub-scores.</w:t>
      </w:r>
    </w:p>
    <w:p w14:paraId="4FDF3307" w14:textId="77777777" w:rsidR="00831864" w:rsidRDefault="00000000">
      <w:pPr>
        <w:pStyle w:val="BodyText"/>
      </w:pPr>
      <w:r>
        <w:rPr>
          <w:b/>
          <w:bCs/>
        </w:rPr>
        <w:t>Conclusions</w:t>
      </w:r>
    </w:p>
    <w:p w14:paraId="40B5654A" w14:textId="77777777" w:rsidR="00831864" w:rsidRDefault="00000000">
      <w:pPr>
        <w:pStyle w:val="BodyText"/>
      </w:pPr>
      <w:r>
        <w:lastRenderedPageBreak/>
        <w:t xml:space="preserve">The </w:t>
      </w:r>
      <w:r>
        <w:rPr>
          <w:rStyle w:val="VerbatimChar"/>
        </w:rPr>
        <w:t>phoenix</w:t>
      </w:r>
      <w:r>
        <w:t xml:space="preserve"> R package and Python model are freely available on CRAN and PyPi, respectively. These tools enable the consistent and accurate application of the Phoenix criteria to EHR datasets.</w:t>
      </w:r>
    </w:p>
    <w:p w14:paraId="60378F8D" w14:textId="087A0C19" w:rsidR="00831864" w:rsidRDefault="00831864">
      <w:pPr>
        <w:pStyle w:val="BodyText"/>
      </w:pPr>
      <w:bookmarkStart w:id="1" w:name="materials-and-methods"/>
      <w:bookmarkEnd w:id="0"/>
    </w:p>
    <w:tbl>
      <w:tblPr>
        <w:tblStyle w:val="Table"/>
        <w:tblW w:w="5000" w:type="pct"/>
        <w:tblLayout w:type="fixed"/>
        <w:tblLook w:val="0000" w:firstRow="0" w:lastRow="0" w:firstColumn="0" w:lastColumn="0" w:noHBand="0" w:noVBand="0"/>
      </w:tblPr>
      <w:tblGrid>
        <w:gridCol w:w="9576"/>
      </w:tblGrid>
      <w:tr w:rsidR="00831864" w14:paraId="662AD903" w14:textId="77777777">
        <w:tc>
          <w:tcPr>
            <w:tcW w:w="7920" w:type="dxa"/>
          </w:tcPr>
          <w:p w14:paraId="4E8AF0D5" w14:textId="77777777" w:rsidR="00831864" w:rsidRDefault="00000000">
            <w:pPr>
              <w:pStyle w:val="ImageCaption"/>
              <w:spacing w:before="200"/>
            </w:pPr>
            <w:bookmarkStart w:id="2" w:name="tbl-phoenix-rubric"/>
            <w:r>
              <w:t>Table 1: The Organ Dysfunction Scoring for the Phoenix Criteria. The Phoenix sepsis criteria are based on the Phoenix Sepsis Score, which includes respiratory, cardiovascular, coagulation, and neurologic dysfunction; Phoenix-8 is based on those four organ systems plus endocrine, immunologic, renal, and hepatic dysfunction. Sepsis is defined as a Phoenix Sepsis Score ≥ 2. Septic Shock is defined as sepsis with at least one cardiovascular point. The limits reported in this table reflect the implementation of the criteria in software, whereas the comparable published tables report the criteria from a clinical perspective.[3,4] The two representations of the criteria are consistent in practice.</w:t>
            </w:r>
          </w:p>
          <w:tbl>
            <w:tblPr>
              <w:tblStyle w:val="Table"/>
              <w:tblW w:w="5000" w:type="pct"/>
              <w:tblLayout w:type="fixed"/>
              <w:tblLook w:val="0020" w:firstRow="1" w:lastRow="0" w:firstColumn="0" w:lastColumn="0" w:noHBand="0" w:noVBand="0"/>
            </w:tblPr>
            <w:tblGrid>
              <w:gridCol w:w="3448"/>
              <w:gridCol w:w="1478"/>
              <w:gridCol w:w="1478"/>
              <w:gridCol w:w="1478"/>
              <w:gridCol w:w="1478"/>
            </w:tblGrid>
            <w:tr w:rsidR="00831864" w14:paraId="5F677769" w14:textId="77777777" w:rsidTr="00831864">
              <w:trPr>
                <w:cnfStyle w:val="100000000000" w:firstRow="1" w:lastRow="0" w:firstColumn="0" w:lastColumn="0" w:oddVBand="0" w:evenVBand="0" w:oddHBand="0" w:evenHBand="0" w:firstRowFirstColumn="0" w:firstRowLastColumn="0" w:lastRowFirstColumn="0" w:lastRowLastColumn="0"/>
                <w:tblHeader/>
              </w:trPr>
              <w:tc>
                <w:tcPr>
                  <w:tcW w:w="2917" w:type="dxa"/>
                </w:tcPr>
                <w:p w14:paraId="434608B3" w14:textId="77777777" w:rsidR="00831864" w:rsidRDefault="00000000">
                  <w:pPr>
                    <w:pStyle w:val="Compact"/>
                    <w:jc w:val="center"/>
                  </w:pPr>
                  <w:r>
                    <w:t>Organ System</w:t>
                  </w:r>
                </w:p>
              </w:tc>
              <w:tc>
                <w:tcPr>
                  <w:tcW w:w="1250" w:type="dxa"/>
                </w:tcPr>
                <w:p w14:paraId="70C89563" w14:textId="77777777" w:rsidR="00831864" w:rsidRDefault="00000000">
                  <w:pPr>
                    <w:pStyle w:val="Compact"/>
                    <w:jc w:val="center"/>
                  </w:pPr>
                  <w:r>
                    <w:t>0 Points</w:t>
                  </w:r>
                </w:p>
              </w:tc>
              <w:tc>
                <w:tcPr>
                  <w:tcW w:w="1250" w:type="dxa"/>
                </w:tcPr>
                <w:p w14:paraId="5A17F96A" w14:textId="77777777" w:rsidR="00831864" w:rsidRDefault="00000000">
                  <w:pPr>
                    <w:pStyle w:val="Compact"/>
                    <w:jc w:val="center"/>
                  </w:pPr>
                  <w:r>
                    <w:t>1 Point</w:t>
                  </w:r>
                </w:p>
              </w:tc>
              <w:tc>
                <w:tcPr>
                  <w:tcW w:w="1250" w:type="dxa"/>
                </w:tcPr>
                <w:p w14:paraId="64C83A7C" w14:textId="77777777" w:rsidR="00831864" w:rsidRDefault="00000000">
                  <w:pPr>
                    <w:pStyle w:val="Compact"/>
                    <w:jc w:val="center"/>
                  </w:pPr>
                  <w:r>
                    <w:t>2 Points</w:t>
                  </w:r>
                </w:p>
              </w:tc>
              <w:tc>
                <w:tcPr>
                  <w:tcW w:w="1250" w:type="dxa"/>
                </w:tcPr>
                <w:p w14:paraId="7078A539" w14:textId="77777777" w:rsidR="00831864" w:rsidRDefault="00000000">
                  <w:pPr>
                    <w:pStyle w:val="Compact"/>
                    <w:jc w:val="center"/>
                  </w:pPr>
                  <w:r>
                    <w:t>3 Points</w:t>
                  </w:r>
                </w:p>
              </w:tc>
            </w:tr>
            <w:tr w:rsidR="00831864" w14:paraId="0D31ABA4" w14:textId="77777777">
              <w:tc>
                <w:tcPr>
                  <w:tcW w:w="2917" w:type="dxa"/>
                </w:tcPr>
                <w:p w14:paraId="1F5CF327" w14:textId="77777777" w:rsidR="00831864" w:rsidRDefault="00000000">
                  <w:pPr>
                    <w:pStyle w:val="Compact"/>
                    <w:jc w:val="center"/>
                  </w:pPr>
                  <w:r>
                    <w:rPr>
                      <w:b/>
                      <w:bCs/>
                    </w:rPr>
                    <w:t>Respiratory</w:t>
                  </w:r>
                  <w:r>
                    <w:t xml:space="preserve"> (0-3 points)</w:t>
                  </w:r>
                </w:p>
              </w:tc>
              <w:tc>
                <w:tcPr>
                  <w:tcW w:w="1250" w:type="dxa"/>
                </w:tcPr>
                <w:p w14:paraId="4BE8EA3F" w14:textId="77777777" w:rsidR="00831864" w:rsidRDefault="00831864">
                  <w:pPr>
                    <w:pStyle w:val="Compact"/>
                  </w:pPr>
                </w:p>
              </w:tc>
              <w:tc>
                <w:tcPr>
                  <w:tcW w:w="1250" w:type="dxa"/>
                </w:tcPr>
                <w:p w14:paraId="416F4CE0" w14:textId="77777777" w:rsidR="00831864" w:rsidRDefault="00831864">
                  <w:pPr>
                    <w:pStyle w:val="Compact"/>
                  </w:pPr>
                </w:p>
              </w:tc>
              <w:tc>
                <w:tcPr>
                  <w:tcW w:w="1250" w:type="dxa"/>
                </w:tcPr>
                <w:p w14:paraId="65E50CFB" w14:textId="77777777" w:rsidR="00831864" w:rsidRDefault="00831864">
                  <w:pPr>
                    <w:pStyle w:val="Compact"/>
                  </w:pPr>
                </w:p>
              </w:tc>
              <w:tc>
                <w:tcPr>
                  <w:tcW w:w="1250" w:type="dxa"/>
                </w:tcPr>
                <w:p w14:paraId="1F2FF0B2" w14:textId="77777777" w:rsidR="00831864" w:rsidRDefault="00831864">
                  <w:pPr>
                    <w:pStyle w:val="Compact"/>
                  </w:pPr>
                </w:p>
              </w:tc>
            </w:tr>
            <w:tr w:rsidR="00831864" w14:paraId="403AD472" w14:textId="77777777">
              <w:tc>
                <w:tcPr>
                  <w:tcW w:w="2917" w:type="dxa"/>
                </w:tcPr>
                <w:p w14:paraId="4592774A" w14:textId="77777777" w:rsidR="00831864" w:rsidRDefault="00831864">
                  <w:pPr>
                    <w:pStyle w:val="Compact"/>
                  </w:pPr>
                </w:p>
              </w:tc>
              <w:tc>
                <w:tcPr>
                  <w:tcW w:w="1250" w:type="dxa"/>
                </w:tcPr>
                <w:p w14:paraId="1EF71B04" w14:textId="77777777" w:rsidR="00831864" w:rsidRDefault="00831864">
                  <w:pPr>
                    <w:pStyle w:val="Compact"/>
                  </w:pPr>
                </w:p>
              </w:tc>
              <w:tc>
                <w:tcPr>
                  <w:tcW w:w="1250" w:type="dxa"/>
                </w:tcPr>
                <w:p w14:paraId="08D426B9" w14:textId="77777777" w:rsidR="00831864" w:rsidRDefault="00000000">
                  <w:pPr>
                    <w:pStyle w:val="Compact"/>
                    <w:jc w:val="center"/>
                  </w:pPr>
                  <w:r>
                    <w:t>Any respiratory support</w:t>
                  </w:r>
                </w:p>
              </w:tc>
              <w:tc>
                <w:tcPr>
                  <w:tcW w:w="1250" w:type="dxa"/>
                </w:tcPr>
                <w:p w14:paraId="4DDE3882" w14:textId="77777777" w:rsidR="00831864" w:rsidRDefault="00000000">
                  <w:pPr>
                    <w:pStyle w:val="Compact"/>
                    <w:jc w:val="center"/>
                  </w:pPr>
                  <w:r>
                    <w:t>IMV</w:t>
                  </w:r>
                  <w:r>
                    <w:rPr>
                      <w:rStyle w:val="FootnoteReference"/>
                    </w:rPr>
                    <w:footnoteReference w:id="1"/>
                  </w:r>
                </w:p>
              </w:tc>
              <w:tc>
                <w:tcPr>
                  <w:tcW w:w="1250" w:type="dxa"/>
                </w:tcPr>
                <w:p w14:paraId="612AC0FF" w14:textId="77777777" w:rsidR="00831864" w:rsidRDefault="00000000">
                  <w:pPr>
                    <w:pStyle w:val="Compact"/>
                    <w:jc w:val="center"/>
                  </w:pPr>
                  <w:r>
                    <w:t>IMV</w:t>
                  </w:r>
                </w:p>
              </w:tc>
            </w:tr>
            <w:tr w:rsidR="00831864" w14:paraId="2BE8B63D" w14:textId="77777777">
              <w:tc>
                <w:tcPr>
                  <w:tcW w:w="2917" w:type="dxa"/>
                </w:tcPr>
                <w:p w14:paraId="2BF50324" w14:textId="77777777" w:rsidR="00831864" w:rsidRDefault="00000000">
                  <w:pPr>
                    <w:pStyle w:val="Compact"/>
                    <w:jc w:val="center"/>
                  </w:pPr>
                  <w:r>
                    <w:t>PaO</w:t>
                  </w:r>
                  <w:r>
                    <w:rPr>
                      <w:vertAlign w:val="subscript"/>
                    </w:rPr>
                    <w:t>2</w:t>
                  </w:r>
                  <w:r>
                    <w:t>:FiO</w:t>
                  </w:r>
                  <w:r>
                    <w:rPr>
                      <w:vertAlign w:val="subscript"/>
                    </w:rPr>
                    <w:t>2</w:t>
                  </w:r>
                </w:p>
              </w:tc>
              <w:tc>
                <w:tcPr>
                  <w:tcW w:w="1250" w:type="dxa"/>
                </w:tcPr>
                <w:p w14:paraId="71863ADE" w14:textId="77777777" w:rsidR="00831864" w:rsidRDefault="00000000">
                  <w:pPr>
                    <w:pStyle w:val="Compact"/>
                    <w:jc w:val="center"/>
                  </w:pPr>
                  <w:r>
                    <w:t>≥ 400</w:t>
                  </w:r>
                </w:p>
              </w:tc>
              <w:tc>
                <w:tcPr>
                  <w:tcW w:w="1250" w:type="dxa"/>
                </w:tcPr>
                <w:p w14:paraId="458D38BB" w14:textId="77777777" w:rsidR="00831864" w:rsidRDefault="00000000">
                  <w:pPr>
                    <w:pStyle w:val="Compact"/>
                    <w:jc w:val="center"/>
                  </w:pPr>
                  <w:r>
                    <w:t>&lt; 400</w:t>
                  </w:r>
                </w:p>
              </w:tc>
              <w:tc>
                <w:tcPr>
                  <w:tcW w:w="1250" w:type="dxa"/>
                </w:tcPr>
                <w:p w14:paraId="55C62EEE" w14:textId="77777777" w:rsidR="00831864" w:rsidRDefault="00000000">
                  <w:pPr>
                    <w:pStyle w:val="Compact"/>
                    <w:jc w:val="center"/>
                  </w:pPr>
                  <w:r>
                    <w:t>&lt; 200</w:t>
                  </w:r>
                </w:p>
              </w:tc>
              <w:tc>
                <w:tcPr>
                  <w:tcW w:w="1250" w:type="dxa"/>
                </w:tcPr>
                <w:p w14:paraId="2F0347DD" w14:textId="77777777" w:rsidR="00831864" w:rsidRDefault="00000000">
                  <w:pPr>
                    <w:pStyle w:val="Compact"/>
                    <w:jc w:val="center"/>
                  </w:pPr>
                  <w:r>
                    <w:t>&lt; 100</w:t>
                  </w:r>
                </w:p>
              </w:tc>
            </w:tr>
            <w:tr w:rsidR="00831864" w14:paraId="41C6FBCE" w14:textId="77777777">
              <w:tc>
                <w:tcPr>
                  <w:tcW w:w="2917" w:type="dxa"/>
                </w:tcPr>
                <w:p w14:paraId="19A40A8B" w14:textId="77777777" w:rsidR="00831864" w:rsidRDefault="00000000">
                  <w:pPr>
                    <w:pStyle w:val="Compact"/>
                    <w:jc w:val="center"/>
                  </w:pPr>
                  <w:r>
                    <w:t>SpO</w:t>
                  </w:r>
                  <w:r>
                    <w:rPr>
                      <w:vertAlign w:val="subscript"/>
                    </w:rPr>
                    <w:t>2</w:t>
                  </w:r>
                  <w:r>
                    <w:t>:FiO</w:t>
                  </w:r>
                  <w:r>
                    <w:rPr>
                      <w:vertAlign w:val="subscript"/>
                    </w:rPr>
                    <w:t>2</w:t>
                  </w:r>
                  <w:r>
                    <w:rPr>
                      <w:rStyle w:val="FootnoteReference"/>
                    </w:rPr>
                    <w:footnoteReference w:id="2"/>
                  </w:r>
                </w:p>
              </w:tc>
              <w:tc>
                <w:tcPr>
                  <w:tcW w:w="1250" w:type="dxa"/>
                </w:tcPr>
                <w:p w14:paraId="45353BCE" w14:textId="77777777" w:rsidR="00831864" w:rsidRDefault="00000000">
                  <w:pPr>
                    <w:pStyle w:val="Compact"/>
                    <w:jc w:val="center"/>
                  </w:pPr>
                  <w:r>
                    <w:t>≥ 292</w:t>
                  </w:r>
                </w:p>
              </w:tc>
              <w:tc>
                <w:tcPr>
                  <w:tcW w:w="1250" w:type="dxa"/>
                </w:tcPr>
                <w:p w14:paraId="2644285A" w14:textId="77777777" w:rsidR="00831864" w:rsidRDefault="00000000">
                  <w:pPr>
                    <w:pStyle w:val="Compact"/>
                    <w:jc w:val="center"/>
                  </w:pPr>
                  <w:r>
                    <w:t>&lt; 292</w:t>
                  </w:r>
                </w:p>
              </w:tc>
              <w:tc>
                <w:tcPr>
                  <w:tcW w:w="1250" w:type="dxa"/>
                </w:tcPr>
                <w:p w14:paraId="1FCCC85C" w14:textId="77777777" w:rsidR="00831864" w:rsidRDefault="00000000">
                  <w:pPr>
                    <w:pStyle w:val="Compact"/>
                    <w:jc w:val="center"/>
                  </w:pPr>
                  <w:r>
                    <w:t>&lt; 220</w:t>
                  </w:r>
                </w:p>
              </w:tc>
              <w:tc>
                <w:tcPr>
                  <w:tcW w:w="1250" w:type="dxa"/>
                </w:tcPr>
                <w:p w14:paraId="0E2F25BA" w14:textId="77777777" w:rsidR="00831864" w:rsidRDefault="00000000">
                  <w:pPr>
                    <w:pStyle w:val="Compact"/>
                    <w:jc w:val="center"/>
                  </w:pPr>
                  <w:r>
                    <w:t>&lt; 148</w:t>
                  </w:r>
                </w:p>
              </w:tc>
            </w:tr>
            <w:tr w:rsidR="00831864" w14:paraId="12DD9C6E" w14:textId="77777777">
              <w:tc>
                <w:tcPr>
                  <w:tcW w:w="2917" w:type="dxa"/>
                </w:tcPr>
                <w:p w14:paraId="09B6E043" w14:textId="77777777" w:rsidR="00831864" w:rsidRDefault="00000000">
                  <w:pPr>
                    <w:pStyle w:val="Compact"/>
                    <w:jc w:val="center"/>
                  </w:pPr>
                  <w:r>
                    <w:rPr>
                      <w:b/>
                      <w:bCs/>
                    </w:rPr>
                    <w:t>Cardiovascular</w:t>
                  </w:r>
                  <w:r>
                    <w:t xml:space="preserve"> (0-6 points; sum of medications, Lactate, and MAP)</w:t>
                  </w:r>
                </w:p>
              </w:tc>
              <w:tc>
                <w:tcPr>
                  <w:tcW w:w="1250" w:type="dxa"/>
                </w:tcPr>
                <w:p w14:paraId="47C61653" w14:textId="77777777" w:rsidR="00831864" w:rsidRDefault="00831864">
                  <w:pPr>
                    <w:pStyle w:val="Compact"/>
                  </w:pPr>
                </w:p>
              </w:tc>
              <w:tc>
                <w:tcPr>
                  <w:tcW w:w="1250" w:type="dxa"/>
                </w:tcPr>
                <w:p w14:paraId="15533988" w14:textId="77777777" w:rsidR="00831864" w:rsidRDefault="00831864">
                  <w:pPr>
                    <w:pStyle w:val="Compact"/>
                  </w:pPr>
                </w:p>
              </w:tc>
              <w:tc>
                <w:tcPr>
                  <w:tcW w:w="1250" w:type="dxa"/>
                </w:tcPr>
                <w:p w14:paraId="34D2E5E8" w14:textId="77777777" w:rsidR="00831864" w:rsidRDefault="00831864">
                  <w:pPr>
                    <w:pStyle w:val="Compact"/>
                  </w:pPr>
                </w:p>
              </w:tc>
              <w:tc>
                <w:tcPr>
                  <w:tcW w:w="1250" w:type="dxa"/>
                </w:tcPr>
                <w:p w14:paraId="19CAC468" w14:textId="77777777" w:rsidR="00831864" w:rsidRDefault="00831864">
                  <w:pPr>
                    <w:pStyle w:val="Compact"/>
                  </w:pPr>
                </w:p>
              </w:tc>
            </w:tr>
            <w:tr w:rsidR="00831864" w14:paraId="263F03D1" w14:textId="77777777">
              <w:tc>
                <w:tcPr>
                  <w:tcW w:w="2917" w:type="dxa"/>
                </w:tcPr>
                <w:p w14:paraId="5AC6E8D9" w14:textId="77777777" w:rsidR="00831864" w:rsidRDefault="00000000">
                  <w:pPr>
                    <w:pStyle w:val="Compact"/>
                    <w:jc w:val="center"/>
                  </w:pPr>
                  <w:r>
                    <w:t>System Vasoactive Medications</w:t>
                  </w:r>
                  <w:r>
                    <w:rPr>
                      <w:rStyle w:val="FootnoteReference"/>
                    </w:rPr>
                    <w:footnoteReference w:id="3"/>
                  </w:r>
                </w:p>
              </w:tc>
              <w:tc>
                <w:tcPr>
                  <w:tcW w:w="1250" w:type="dxa"/>
                </w:tcPr>
                <w:p w14:paraId="1BDFB236" w14:textId="77777777" w:rsidR="00831864" w:rsidRDefault="00000000">
                  <w:pPr>
                    <w:pStyle w:val="Compact"/>
                    <w:jc w:val="center"/>
                  </w:pPr>
                  <w:r>
                    <w:t>No medications</w:t>
                  </w:r>
                </w:p>
              </w:tc>
              <w:tc>
                <w:tcPr>
                  <w:tcW w:w="1250" w:type="dxa"/>
                </w:tcPr>
                <w:p w14:paraId="6FC4923D" w14:textId="77777777" w:rsidR="00831864" w:rsidRDefault="00000000">
                  <w:pPr>
                    <w:pStyle w:val="Compact"/>
                    <w:jc w:val="center"/>
                  </w:pPr>
                  <w:r>
                    <w:t>1 medication</w:t>
                  </w:r>
                </w:p>
              </w:tc>
              <w:tc>
                <w:tcPr>
                  <w:tcW w:w="1250" w:type="dxa"/>
                </w:tcPr>
                <w:p w14:paraId="632B1915" w14:textId="77777777" w:rsidR="00831864" w:rsidRDefault="00000000">
                  <w:pPr>
                    <w:pStyle w:val="Compact"/>
                    <w:jc w:val="center"/>
                  </w:pPr>
                  <w:r>
                    <w:t>2 or more medications</w:t>
                  </w:r>
                </w:p>
              </w:tc>
              <w:tc>
                <w:tcPr>
                  <w:tcW w:w="1250" w:type="dxa"/>
                </w:tcPr>
                <w:p w14:paraId="076E1C44" w14:textId="77777777" w:rsidR="00831864" w:rsidRDefault="00831864">
                  <w:pPr>
                    <w:pStyle w:val="Compact"/>
                  </w:pPr>
                </w:p>
              </w:tc>
            </w:tr>
            <w:tr w:rsidR="00831864" w14:paraId="60A72340" w14:textId="77777777">
              <w:tc>
                <w:tcPr>
                  <w:tcW w:w="2917" w:type="dxa"/>
                </w:tcPr>
                <w:p w14:paraId="5A823BB8" w14:textId="77777777" w:rsidR="00831864" w:rsidRDefault="00000000">
                  <w:pPr>
                    <w:pStyle w:val="Compact"/>
                    <w:jc w:val="center"/>
                  </w:pPr>
                  <w:r>
                    <w:t>Lactate</w:t>
                  </w:r>
                  <w:r>
                    <w:rPr>
                      <w:rStyle w:val="FootnoteReference"/>
                    </w:rPr>
                    <w:footnoteReference w:id="4"/>
                  </w:r>
                  <w:r>
                    <w:t xml:space="preserve"> (mmol/L)</w:t>
                  </w:r>
                </w:p>
              </w:tc>
              <w:tc>
                <w:tcPr>
                  <w:tcW w:w="1250" w:type="dxa"/>
                </w:tcPr>
                <w:p w14:paraId="5139F708" w14:textId="77777777" w:rsidR="00831864" w:rsidRDefault="00000000">
                  <w:pPr>
                    <w:pStyle w:val="Compact"/>
                    <w:jc w:val="center"/>
                  </w:pPr>
                  <w:r>
                    <w:t>&lt; 5</w:t>
                  </w:r>
                </w:p>
              </w:tc>
              <w:tc>
                <w:tcPr>
                  <w:tcW w:w="1250" w:type="dxa"/>
                </w:tcPr>
                <w:p w14:paraId="37C6CB0B" w14:textId="77777777" w:rsidR="00831864" w:rsidRDefault="00000000">
                  <w:pPr>
                    <w:pStyle w:val="Compact"/>
                    <w:jc w:val="center"/>
                  </w:pPr>
                  <w:r>
                    <w:t>5 ≤ Lactate</w:t>
                  </w:r>
                  <w:r>
                    <w:rPr>
                      <w:rStyle w:val="FootnoteReference"/>
                    </w:rPr>
                    <w:footnoteReference w:id="5"/>
                  </w:r>
                  <w:r>
                    <w:t xml:space="preserve"> &lt; 11</w:t>
                  </w:r>
                </w:p>
              </w:tc>
              <w:tc>
                <w:tcPr>
                  <w:tcW w:w="1250" w:type="dxa"/>
                </w:tcPr>
                <w:p w14:paraId="6068365E" w14:textId="77777777" w:rsidR="00831864" w:rsidRDefault="00000000">
                  <w:pPr>
                    <w:pStyle w:val="Compact"/>
                    <w:jc w:val="center"/>
                  </w:pPr>
                  <w:r>
                    <w:t>≥ 11</w:t>
                  </w:r>
                </w:p>
              </w:tc>
              <w:tc>
                <w:tcPr>
                  <w:tcW w:w="1250" w:type="dxa"/>
                </w:tcPr>
                <w:p w14:paraId="18FA9808" w14:textId="77777777" w:rsidR="00831864" w:rsidRDefault="00831864">
                  <w:pPr>
                    <w:pStyle w:val="Compact"/>
                  </w:pPr>
                </w:p>
              </w:tc>
            </w:tr>
            <w:tr w:rsidR="00831864" w14:paraId="060369DC" w14:textId="77777777">
              <w:tc>
                <w:tcPr>
                  <w:tcW w:w="2917" w:type="dxa"/>
                </w:tcPr>
                <w:p w14:paraId="07003EDF" w14:textId="77777777" w:rsidR="00831864" w:rsidRDefault="00000000">
                  <w:pPr>
                    <w:pStyle w:val="Compact"/>
                    <w:jc w:val="center"/>
                  </w:pPr>
                  <w:r>
                    <w:lastRenderedPageBreak/>
                    <w:t>Age</w:t>
                  </w:r>
                  <w:r>
                    <w:rPr>
                      <w:rStyle w:val="FootnoteReference"/>
                    </w:rPr>
                    <w:footnoteReference w:id="6"/>
                  </w:r>
                  <w:r>
                    <w:t xml:space="preserve"> (months) adjusted MAP</w:t>
                  </w:r>
                  <w:r>
                    <w:rPr>
                      <w:rStyle w:val="FootnoteReference"/>
                    </w:rPr>
                    <w:footnoteReference w:id="7"/>
                  </w:r>
                  <w:r>
                    <w:t xml:space="preserve"> (mmHg)</w:t>
                  </w:r>
                </w:p>
              </w:tc>
              <w:tc>
                <w:tcPr>
                  <w:tcW w:w="1250" w:type="dxa"/>
                </w:tcPr>
                <w:p w14:paraId="2F78A4B7" w14:textId="77777777" w:rsidR="00831864" w:rsidRDefault="00831864">
                  <w:pPr>
                    <w:pStyle w:val="Compact"/>
                  </w:pPr>
                </w:p>
              </w:tc>
              <w:tc>
                <w:tcPr>
                  <w:tcW w:w="1250" w:type="dxa"/>
                </w:tcPr>
                <w:p w14:paraId="4253C0B2" w14:textId="77777777" w:rsidR="00831864" w:rsidRDefault="00831864">
                  <w:pPr>
                    <w:pStyle w:val="Compact"/>
                  </w:pPr>
                </w:p>
              </w:tc>
              <w:tc>
                <w:tcPr>
                  <w:tcW w:w="1250" w:type="dxa"/>
                </w:tcPr>
                <w:p w14:paraId="221439B1" w14:textId="77777777" w:rsidR="00831864" w:rsidRDefault="00831864">
                  <w:pPr>
                    <w:pStyle w:val="Compact"/>
                  </w:pPr>
                </w:p>
              </w:tc>
              <w:tc>
                <w:tcPr>
                  <w:tcW w:w="1250" w:type="dxa"/>
                </w:tcPr>
                <w:p w14:paraId="7CF60AA5" w14:textId="77777777" w:rsidR="00831864" w:rsidRDefault="00831864">
                  <w:pPr>
                    <w:pStyle w:val="Compact"/>
                  </w:pPr>
                </w:p>
              </w:tc>
            </w:tr>
            <w:tr w:rsidR="00831864" w14:paraId="64DFF9EF" w14:textId="77777777">
              <w:tc>
                <w:tcPr>
                  <w:tcW w:w="2917" w:type="dxa"/>
                </w:tcPr>
                <w:p w14:paraId="4C00D199" w14:textId="77777777" w:rsidR="00831864" w:rsidRDefault="00000000">
                  <w:pPr>
                    <w:pStyle w:val="Compact"/>
                    <w:jc w:val="center"/>
                  </w:pPr>
                  <w:r>
                    <w:t>0 ≤ Age &lt; 1</w:t>
                  </w:r>
                </w:p>
              </w:tc>
              <w:tc>
                <w:tcPr>
                  <w:tcW w:w="1250" w:type="dxa"/>
                </w:tcPr>
                <w:p w14:paraId="5675A8A8" w14:textId="77777777" w:rsidR="00831864" w:rsidRDefault="00000000">
                  <w:pPr>
                    <w:pStyle w:val="Compact"/>
                    <w:jc w:val="center"/>
                  </w:pPr>
                  <w:r>
                    <w:t>≥ 31</w:t>
                  </w:r>
                </w:p>
              </w:tc>
              <w:tc>
                <w:tcPr>
                  <w:tcW w:w="1250" w:type="dxa"/>
                </w:tcPr>
                <w:p w14:paraId="7AD41935" w14:textId="77777777" w:rsidR="00831864" w:rsidRDefault="00000000">
                  <w:pPr>
                    <w:pStyle w:val="Compact"/>
                    <w:jc w:val="center"/>
                  </w:pPr>
                  <w:r>
                    <w:t>17 ≤ MAP &lt; 31</w:t>
                  </w:r>
                </w:p>
              </w:tc>
              <w:tc>
                <w:tcPr>
                  <w:tcW w:w="1250" w:type="dxa"/>
                </w:tcPr>
                <w:p w14:paraId="35D800D6" w14:textId="77777777" w:rsidR="00831864" w:rsidRDefault="00000000">
                  <w:pPr>
                    <w:pStyle w:val="Compact"/>
                    <w:jc w:val="center"/>
                  </w:pPr>
                  <w:r>
                    <w:t>&lt; 17</w:t>
                  </w:r>
                </w:p>
              </w:tc>
              <w:tc>
                <w:tcPr>
                  <w:tcW w:w="1250" w:type="dxa"/>
                </w:tcPr>
                <w:p w14:paraId="3AA4F1E0" w14:textId="77777777" w:rsidR="00831864" w:rsidRDefault="00831864">
                  <w:pPr>
                    <w:pStyle w:val="Compact"/>
                  </w:pPr>
                </w:p>
              </w:tc>
            </w:tr>
            <w:tr w:rsidR="00831864" w14:paraId="56CF393E" w14:textId="77777777">
              <w:tc>
                <w:tcPr>
                  <w:tcW w:w="2917" w:type="dxa"/>
                </w:tcPr>
                <w:p w14:paraId="7F8444AD" w14:textId="77777777" w:rsidR="00831864" w:rsidRDefault="00000000">
                  <w:pPr>
                    <w:pStyle w:val="Compact"/>
                    <w:jc w:val="center"/>
                  </w:pPr>
                  <w:r>
                    <w:t>1 ≤ Age &lt; 12</w:t>
                  </w:r>
                </w:p>
              </w:tc>
              <w:tc>
                <w:tcPr>
                  <w:tcW w:w="1250" w:type="dxa"/>
                </w:tcPr>
                <w:p w14:paraId="104B8E8C" w14:textId="77777777" w:rsidR="00831864" w:rsidRDefault="00000000">
                  <w:pPr>
                    <w:pStyle w:val="Compact"/>
                    <w:jc w:val="center"/>
                  </w:pPr>
                  <w:r>
                    <w:t>≥ 39</w:t>
                  </w:r>
                </w:p>
              </w:tc>
              <w:tc>
                <w:tcPr>
                  <w:tcW w:w="1250" w:type="dxa"/>
                </w:tcPr>
                <w:p w14:paraId="3DA84157" w14:textId="77777777" w:rsidR="00831864" w:rsidRDefault="00000000">
                  <w:pPr>
                    <w:pStyle w:val="Compact"/>
                    <w:jc w:val="center"/>
                  </w:pPr>
                  <w:r>
                    <w:t>25 ≤ MAP &lt; 39</w:t>
                  </w:r>
                </w:p>
              </w:tc>
              <w:tc>
                <w:tcPr>
                  <w:tcW w:w="1250" w:type="dxa"/>
                </w:tcPr>
                <w:p w14:paraId="7ADF6E15" w14:textId="77777777" w:rsidR="00831864" w:rsidRDefault="00000000">
                  <w:pPr>
                    <w:pStyle w:val="Compact"/>
                    <w:jc w:val="center"/>
                  </w:pPr>
                  <w:r>
                    <w:t>&lt; 25</w:t>
                  </w:r>
                </w:p>
              </w:tc>
              <w:tc>
                <w:tcPr>
                  <w:tcW w:w="1250" w:type="dxa"/>
                </w:tcPr>
                <w:p w14:paraId="688F26C5" w14:textId="77777777" w:rsidR="00831864" w:rsidRDefault="00831864">
                  <w:pPr>
                    <w:pStyle w:val="Compact"/>
                  </w:pPr>
                </w:p>
              </w:tc>
            </w:tr>
            <w:tr w:rsidR="00831864" w14:paraId="45566396" w14:textId="77777777">
              <w:tc>
                <w:tcPr>
                  <w:tcW w:w="2917" w:type="dxa"/>
                </w:tcPr>
                <w:p w14:paraId="66D3EC04" w14:textId="77777777" w:rsidR="00831864" w:rsidRDefault="00000000">
                  <w:pPr>
                    <w:pStyle w:val="Compact"/>
                    <w:jc w:val="center"/>
                  </w:pPr>
                  <w:r>
                    <w:t>12 ≤ Age &lt; 24</w:t>
                  </w:r>
                </w:p>
              </w:tc>
              <w:tc>
                <w:tcPr>
                  <w:tcW w:w="1250" w:type="dxa"/>
                </w:tcPr>
                <w:p w14:paraId="6B125641" w14:textId="77777777" w:rsidR="00831864" w:rsidRDefault="00000000">
                  <w:pPr>
                    <w:pStyle w:val="Compact"/>
                    <w:jc w:val="center"/>
                  </w:pPr>
                  <w:r>
                    <w:t>≥ 44</w:t>
                  </w:r>
                </w:p>
              </w:tc>
              <w:tc>
                <w:tcPr>
                  <w:tcW w:w="1250" w:type="dxa"/>
                </w:tcPr>
                <w:p w14:paraId="3983DEAB" w14:textId="77777777" w:rsidR="00831864" w:rsidRDefault="00000000">
                  <w:pPr>
                    <w:pStyle w:val="Compact"/>
                    <w:jc w:val="center"/>
                  </w:pPr>
                  <w:r>
                    <w:t>31 ≤ MAP &lt; 44</w:t>
                  </w:r>
                </w:p>
              </w:tc>
              <w:tc>
                <w:tcPr>
                  <w:tcW w:w="1250" w:type="dxa"/>
                </w:tcPr>
                <w:p w14:paraId="1302250F" w14:textId="77777777" w:rsidR="00831864" w:rsidRDefault="00000000">
                  <w:pPr>
                    <w:pStyle w:val="Compact"/>
                    <w:jc w:val="center"/>
                  </w:pPr>
                  <w:r>
                    <w:t>&lt; 31</w:t>
                  </w:r>
                </w:p>
              </w:tc>
              <w:tc>
                <w:tcPr>
                  <w:tcW w:w="1250" w:type="dxa"/>
                </w:tcPr>
                <w:p w14:paraId="5454693E" w14:textId="77777777" w:rsidR="00831864" w:rsidRDefault="00831864">
                  <w:pPr>
                    <w:pStyle w:val="Compact"/>
                  </w:pPr>
                </w:p>
              </w:tc>
            </w:tr>
            <w:tr w:rsidR="00831864" w14:paraId="0C8E5843" w14:textId="77777777">
              <w:tc>
                <w:tcPr>
                  <w:tcW w:w="2917" w:type="dxa"/>
                </w:tcPr>
                <w:p w14:paraId="1E375932" w14:textId="77777777" w:rsidR="00831864" w:rsidRDefault="00000000">
                  <w:pPr>
                    <w:pStyle w:val="Compact"/>
                    <w:jc w:val="center"/>
                  </w:pPr>
                  <w:r>
                    <w:t>24 ≤ Age &lt; 60</w:t>
                  </w:r>
                </w:p>
              </w:tc>
              <w:tc>
                <w:tcPr>
                  <w:tcW w:w="1250" w:type="dxa"/>
                </w:tcPr>
                <w:p w14:paraId="4C6595A0" w14:textId="77777777" w:rsidR="00831864" w:rsidRDefault="00000000">
                  <w:pPr>
                    <w:pStyle w:val="Compact"/>
                    <w:jc w:val="center"/>
                  </w:pPr>
                  <w:r>
                    <w:t>≥ 45</w:t>
                  </w:r>
                </w:p>
              </w:tc>
              <w:tc>
                <w:tcPr>
                  <w:tcW w:w="1250" w:type="dxa"/>
                </w:tcPr>
                <w:p w14:paraId="7029F962" w14:textId="77777777" w:rsidR="00831864" w:rsidRDefault="00000000">
                  <w:pPr>
                    <w:pStyle w:val="Compact"/>
                    <w:jc w:val="center"/>
                  </w:pPr>
                  <w:r>
                    <w:t>32 ≤ MAP &lt; 45</w:t>
                  </w:r>
                </w:p>
              </w:tc>
              <w:tc>
                <w:tcPr>
                  <w:tcW w:w="1250" w:type="dxa"/>
                </w:tcPr>
                <w:p w14:paraId="155111C6" w14:textId="77777777" w:rsidR="00831864" w:rsidRDefault="00000000">
                  <w:pPr>
                    <w:pStyle w:val="Compact"/>
                    <w:jc w:val="center"/>
                  </w:pPr>
                  <w:r>
                    <w:t>&lt; 32</w:t>
                  </w:r>
                </w:p>
              </w:tc>
              <w:tc>
                <w:tcPr>
                  <w:tcW w:w="1250" w:type="dxa"/>
                </w:tcPr>
                <w:p w14:paraId="6223A56E" w14:textId="77777777" w:rsidR="00831864" w:rsidRDefault="00831864">
                  <w:pPr>
                    <w:pStyle w:val="Compact"/>
                  </w:pPr>
                </w:p>
              </w:tc>
            </w:tr>
            <w:tr w:rsidR="00831864" w14:paraId="17E8D026" w14:textId="77777777">
              <w:tc>
                <w:tcPr>
                  <w:tcW w:w="2917" w:type="dxa"/>
                </w:tcPr>
                <w:p w14:paraId="4BDCBA03" w14:textId="77777777" w:rsidR="00831864" w:rsidRDefault="00000000">
                  <w:pPr>
                    <w:pStyle w:val="Compact"/>
                    <w:jc w:val="center"/>
                  </w:pPr>
                  <w:r>
                    <w:t>60 ≤ Age &lt; 144</w:t>
                  </w:r>
                </w:p>
              </w:tc>
              <w:tc>
                <w:tcPr>
                  <w:tcW w:w="1250" w:type="dxa"/>
                </w:tcPr>
                <w:p w14:paraId="6DD8DD5A" w14:textId="77777777" w:rsidR="00831864" w:rsidRDefault="00000000">
                  <w:pPr>
                    <w:pStyle w:val="Compact"/>
                    <w:jc w:val="center"/>
                  </w:pPr>
                  <w:r>
                    <w:t>≥ 49</w:t>
                  </w:r>
                </w:p>
              </w:tc>
              <w:tc>
                <w:tcPr>
                  <w:tcW w:w="1250" w:type="dxa"/>
                </w:tcPr>
                <w:p w14:paraId="33B0C4DA" w14:textId="77777777" w:rsidR="00831864" w:rsidRDefault="00000000">
                  <w:pPr>
                    <w:pStyle w:val="Compact"/>
                    <w:jc w:val="center"/>
                  </w:pPr>
                  <w:r>
                    <w:t>36 ≤ MAP &lt; 49</w:t>
                  </w:r>
                </w:p>
              </w:tc>
              <w:tc>
                <w:tcPr>
                  <w:tcW w:w="1250" w:type="dxa"/>
                </w:tcPr>
                <w:p w14:paraId="1F7C9C1D" w14:textId="77777777" w:rsidR="00831864" w:rsidRDefault="00000000">
                  <w:pPr>
                    <w:pStyle w:val="Compact"/>
                    <w:jc w:val="center"/>
                  </w:pPr>
                  <w:r>
                    <w:t>&lt; 36</w:t>
                  </w:r>
                </w:p>
              </w:tc>
              <w:tc>
                <w:tcPr>
                  <w:tcW w:w="1250" w:type="dxa"/>
                </w:tcPr>
                <w:p w14:paraId="0A7DD1DD" w14:textId="77777777" w:rsidR="00831864" w:rsidRDefault="00831864">
                  <w:pPr>
                    <w:pStyle w:val="Compact"/>
                  </w:pPr>
                </w:p>
              </w:tc>
            </w:tr>
            <w:tr w:rsidR="00831864" w14:paraId="2A1BB56C" w14:textId="77777777">
              <w:tc>
                <w:tcPr>
                  <w:tcW w:w="2917" w:type="dxa"/>
                </w:tcPr>
                <w:p w14:paraId="5985F282" w14:textId="77777777" w:rsidR="00831864" w:rsidRDefault="00000000">
                  <w:pPr>
                    <w:pStyle w:val="Compact"/>
                    <w:jc w:val="center"/>
                  </w:pPr>
                  <w:r>
                    <w:t>144 ≤ Age &lt; 216</w:t>
                  </w:r>
                </w:p>
              </w:tc>
              <w:tc>
                <w:tcPr>
                  <w:tcW w:w="1250" w:type="dxa"/>
                </w:tcPr>
                <w:p w14:paraId="02B5419E" w14:textId="77777777" w:rsidR="00831864" w:rsidRDefault="00000000">
                  <w:pPr>
                    <w:pStyle w:val="Compact"/>
                    <w:jc w:val="center"/>
                  </w:pPr>
                  <w:r>
                    <w:t>≥ 52</w:t>
                  </w:r>
                </w:p>
              </w:tc>
              <w:tc>
                <w:tcPr>
                  <w:tcW w:w="1250" w:type="dxa"/>
                </w:tcPr>
                <w:p w14:paraId="7EA2FC72" w14:textId="77777777" w:rsidR="00831864" w:rsidRDefault="00000000">
                  <w:pPr>
                    <w:pStyle w:val="Compact"/>
                    <w:jc w:val="center"/>
                  </w:pPr>
                  <w:r>
                    <w:t>38 ≤ MAP &lt; 52</w:t>
                  </w:r>
                </w:p>
              </w:tc>
              <w:tc>
                <w:tcPr>
                  <w:tcW w:w="1250" w:type="dxa"/>
                </w:tcPr>
                <w:p w14:paraId="4DBBAE82" w14:textId="77777777" w:rsidR="00831864" w:rsidRDefault="00000000">
                  <w:pPr>
                    <w:pStyle w:val="Compact"/>
                    <w:jc w:val="center"/>
                  </w:pPr>
                  <w:r>
                    <w:t>&lt; 38</w:t>
                  </w:r>
                </w:p>
              </w:tc>
              <w:tc>
                <w:tcPr>
                  <w:tcW w:w="1250" w:type="dxa"/>
                </w:tcPr>
                <w:p w14:paraId="34227CD5" w14:textId="77777777" w:rsidR="00831864" w:rsidRDefault="00831864">
                  <w:pPr>
                    <w:pStyle w:val="Compact"/>
                  </w:pPr>
                </w:p>
              </w:tc>
            </w:tr>
            <w:tr w:rsidR="00831864" w14:paraId="558D7D69" w14:textId="77777777">
              <w:tc>
                <w:tcPr>
                  <w:tcW w:w="2917" w:type="dxa"/>
                </w:tcPr>
                <w:p w14:paraId="040BB300" w14:textId="77777777" w:rsidR="00831864" w:rsidRDefault="00000000">
                  <w:pPr>
                    <w:pStyle w:val="Compact"/>
                    <w:jc w:val="center"/>
                  </w:pPr>
                  <w:r>
                    <w:rPr>
                      <w:b/>
                      <w:bCs/>
                    </w:rPr>
                    <w:t>Coagulation</w:t>
                  </w:r>
                  <w:r>
                    <w:rPr>
                      <w:rStyle w:val="FootnoteReference"/>
                    </w:rPr>
                    <w:footnoteReference w:id="8"/>
                  </w:r>
                  <w:r>
                    <w:t xml:space="preserve"> (0-2 points; 1 for each lab; max of 2 points)</w:t>
                  </w:r>
                </w:p>
              </w:tc>
              <w:tc>
                <w:tcPr>
                  <w:tcW w:w="1250" w:type="dxa"/>
                </w:tcPr>
                <w:p w14:paraId="4FDEB468" w14:textId="77777777" w:rsidR="00831864" w:rsidRDefault="00831864">
                  <w:pPr>
                    <w:pStyle w:val="Compact"/>
                  </w:pPr>
                </w:p>
              </w:tc>
              <w:tc>
                <w:tcPr>
                  <w:tcW w:w="1250" w:type="dxa"/>
                </w:tcPr>
                <w:p w14:paraId="2DBBD678" w14:textId="77777777" w:rsidR="00831864" w:rsidRDefault="00831864">
                  <w:pPr>
                    <w:pStyle w:val="Compact"/>
                  </w:pPr>
                </w:p>
              </w:tc>
              <w:tc>
                <w:tcPr>
                  <w:tcW w:w="1250" w:type="dxa"/>
                </w:tcPr>
                <w:p w14:paraId="1A1F8786" w14:textId="77777777" w:rsidR="00831864" w:rsidRDefault="00831864">
                  <w:pPr>
                    <w:pStyle w:val="Compact"/>
                  </w:pPr>
                </w:p>
              </w:tc>
              <w:tc>
                <w:tcPr>
                  <w:tcW w:w="1250" w:type="dxa"/>
                </w:tcPr>
                <w:p w14:paraId="469ECF8F" w14:textId="77777777" w:rsidR="00831864" w:rsidRDefault="00831864">
                  <w:pPr>
                    <w:pStyle w:val="Compact"/>
                  </w:pPr>
                </w:p>
              </w:tc>
            </w:tr>
            <w:tr w:rsidR="00831864" w14:paraId="11306B75" w14:textId="77777777">
              <w:tc>
                <w:tcPr>
                  <w:tcW w:w="2917" w:type="dxa"/>
                </w:tcPr>
                <w:p w14:paraId="30110488" w14:textId="77777777" w:rsidR="00831864" w:rsidRDefault="00000000">
                  <w:pPr>
                    <w:pStyle w:val="Compact"/>
                    <w:jc w:val="center"/>
                  </w:pPr>
                  <w:r>
                    <w:t>Platelets (1000/μL)</w:t>
                  </w:r>
                </w:p>
              </w:tc>
              <w:tc>
                <w:tcPr>
                  <w:tcW w:w="1250" w:type="dxa"/>
                </w:tcPr>
                <w:p w14:paraId="17E791A7" w14:textId="77777777" w:rsidR="00831864" w:rsidRDefault="00000000">
                  <w:pPr>
                    <w:pStyle w:val="Compact"/>
                    <w:jc w:val="center"/>
                  </w:pPr>
                  <w:r>
                    <w:t>≥ 100</w:t>
                  </w:r>
                </w:p>
              </w:tc>
              <w:tc>
                <w:tcPr>
                  <w:tcW w:w="1250" w:type="dxa"/>
                </w:tcPr>
                <w:p w14:paraId="29CB68A5" w14:textId="77777777" w:rsidR="00831864" w:rsidRDefault="00000000">
                  <w:pPr>
                    <w:pStyle w:val="Compact"/>
                    <w:jc w:val="center"/>
                  </w:pPr>
                  <w:r>
                    <w:t>&lt; 100</w:t>
                  </w:r>
                </w:p>
              </w:tc>
              <w:tc>
                <w:tcPr>
                  <w:tcW w:w="1250" w:type="dxa"/>
                </w:tcPr>
                <w:p w14:paraId="7B7A4586" w14:textId="77777777" w:rsidR="00831864" w:rsidRDefault="00831864">
                  <w:pPr>
                    <w:pStyle w:val="Compact"/>
                  </w:pPr>
                </w:p>
              </w:tc>
              <w:tc>
                <w:tcPr>
                  <w:tcW w:w="1250" w:type="dxa"/>
                </w:tcPr>
                <w:p w14:paraId="1CCA1FBE" w14:textId="77777777" w:rsidR="00831864" w:rsidRDefault="00831864">
                  <w:pPr>
                    <w:pStyle w:val="Compact"/>
                  </w:pPr>
                </w:p>
              </w:tc>
            </w:tr>
            <w:tr w:rsidR="00831864" w14:paraId="2B456368" w14:textId="77777777">
              <w:tc>
                <w:tcPr>
                  <w:tcW w:w="2917" w:type="dxa"/>
                </w:tcPr>
                <w:p w14:paraId="09971A29" w14:textId="77777777" w:rsidR="00831864" w:rsidRDefault="00000000">
                  <w:pPr>
                    <w:pStyle w:val="Compact"/>
                    <w:jc w:val="center"/>
                  </w:pPr>
                  <w:r>
                    <w:t>INR</w:t>
                  </w:r>
                </w:p>
              </w:tc>
              <w:tc>
                <w:tcPr>
                  <w:tcW w:w="1250" w:type="dxa"/>
                </w:tcPr>
                <w:p w14:paraId="04D34248" w14:textId="77777777" w:rsidR="00831864" w:rsidRDefault="00000000">
                  <w:pPr>
                    <w:pStyle w:val="Compact"/>
                    <w:jc w:val="center"/>
                  </w:pPr>
                  <w:r>
                    <w:t>≤ 1.3</w:t>
                  </w:r>
                </w:p>
              </w:tc>
              <w:tc>
                <w:tcPr>
                  <w:tcW w:w="1250" w:type="dxa"/>
                </w:tcPr>
                <w:p w14:paraId="37A27E27" w14:textId="77777777" w:rsidR="00831864" w:rsidRDefault="00000000">
                  <w:pPr>
                    <w:pStyle w:val="Compact"/>
                    <w:jc w:val="center"/>
                  </w:pPr>
                  <w:r>
                    <w:t>&gt; 1.3</w:t>
                  </w:r>
                </w:p>
              </w:tc>
              <w:tc>
                <w:tcPr>
                  <w:tcW w:w="1250" w:type="dxa"/>
                </w:tcPr>
                <w:p w14:paraId="6FCE6845" w14:textId="77777777" w:rsidR="00831864" w:rsidRDefault="00831864">
                  <w:pPr>
                    <w:pStyle w:val="Compact"/>
                  </w:pPr>
                </w:p>
              </w:tc>
              <w:tc>
                <w:tcPr>
                  <w:tcW w:w="1250" w:type="dxa"/>
                </w:tcPr>
                <w:p w14:paraId="5C83118E" w14:textId="77777777" w:rsidR="00831864" w:rsidRDefault="00831864">
                  <w:pPr>
                    <w:pStyle w:val="Compact"/>
                  </w:pPr>
                </w:p>
              </w:tc>
            </w:tr>
            <w:tr w:rsidR="00831864" w14:paraId="6EA36C23" w14:textId="77777777">
              <w:tc>
                <w:tcPr>
                  <w:tcW w:w="2917" w:type="dxa"/>
                </w:tcPr>
                <w:p w14:paraId="2003590F" w14:textId="77777777" w:rsidR="00831864" w:rsidRDefault="00000000">
                  <w:pPr>
                    <w:pStyle w:val="Compact"/>
                    <w:jc w:val="center"/>
                  </w:pPr>
                  <w:r>
                    <w:t>D-Dimer (mg/L FEU)</w:t>
                  </w:r>
                </w:p>
              </w:tc>
              <w:tc>
                <w:tcPr>
                  <w:tcW w:w="1250" w:type="dxa"/>
                </w:tcPr>
                <w:p w14:paraId="3B7C6AD8" w14:textId="77777777" w:rsidR="00831864" w:rsidRDefault="00000000">
                  <w:pPr>
                    <w:pStyle w:val="Compact"/>
                    <w:jc w:val="center"/>
                  </w:pPr>
                  <w:r>
                    <w:t>≤ 2</w:t>
                  </w:r>
                </w:p>
              </w:tc>
              <w:tc>
                <w:tcPr>
                  <w:tcW w:w="1250" w:type="dxa"/>
                </w:tcPr>
                <w:p w14:paraId="2F1BA481" w14:textId="77777777" w:rsidR="00831864" w:rsidRDefault="00000000">
                  <w:pPr>
                    <w:pStyle w:val="Compact"/>
                    <w:jc w:val="center"/>
                  </w:pPr>
                  <w:r>
                    <w:t>&gt; 2</w:t>
                  </w:r>
                </w:p>
              </w:tc>
              <w:tc>
                <w:tcPr>
                  <w:tcW w:w="1250" w:type="dxa"/>
                </w:tcPr>
                <w:p w14:paraId="5282C001" w14:textId="77777777" w:rsidR="00831864" w:rsidRDefault="00831864">
                  <w:pPr>
                    <w:pStyle w:val="Compact"/>
                  </w:pPr>
                </w:p>
              </w:tc>
              <w:tc>
                <w:tcPr>
                  <w:tcW w:w="1250" w:type="dxa"/>
                </w:tcPr>
                <w:p w14:paraId="7D0CC9B7" w14:textId="77777777" w:rsidR="00831864" w:rsidRDefault="00831864">
                  <w:pPr>
                    <w:pStyle w:val="Compact"/>
                  </w:pPr>
                </w:p>
              </w:tc>
            </w:tr>
            <w:tr w:rsidR="00831864" w14:paraId="0519E12F" w14:textId="77777777">
              <w:tc>
                <w:tcPr>
                  <w:tcW w:w="2917" w:type="dxa"/>
                </w:tcPr>
                <w:p w14:paraId="0E7861E5" w14:textId="77777777" w:rsidR="00831864" w:rsidRDefault="00000000">
                  <w:pPr>
                    <w:pStyle w:val="Compact"/>
                    <w:jc w:val="center"/>
                  </w:pPr>
                  <w:r>
                    <w:t>Fibrinogen (mg/dL)</w:t>
                  </w:r>
                </w:p>
              </w:tc>
              <w:tc>
                <w:tcPr>
                  <w:tcW w:w="1250" w:type="dxa"/>
                </w:tcPr>
                <w:p w14:paraId="3B504650" w14:textId="77777777" w:rsidR="00831864" w:rsidRDefault="00000000">
                  <w:pPr>
                    <w:pStyle w:val="Compact"/>
                    <w:jc w:val="center"/>
                  </w:pPr>
                  <w:r>
                    <w:t>≥ 100</w:t>
                  </w:r>
                </w:p>
              </w:tc>
              <w:tc>
                <w:tcPr>
                  <w:tcW w:w="1250" w:type="dxa"/>
                </w:tcPr>
                <w:p w14:paraId="11A646C7" w14:textId="77777777" w:rsidR="00831864" w:rsidRDefault="00000000">
                  <w:pPr>
                    <w:pStyle w:val="Compact"/>
                    <w:jc w:val="center"/>
                  </w:pPr>
                  <w:r>
                    <w:t>&lt; 100</w:t>
                  </w:r>
                </w:p>
              </w:tc>
              <w:tc>
                <w:tcPr>
                  <w:tcW w:w="1250" w:type="dxa"/>
                </w:tcPr>
                <w:p w14:paraId="32F6005C" w14:textId="77777777" w:rsidR="00831864" w:rsidRDefault="00831864">
                  <w:pPr>
                    <w:pStyle w:val="Compact"/>
                  </w:pPr>
                </w:p>
              </w:tc>
              <w:tc>
                <w:tcPr>
                  <w:tcW w:w="1250" w:type="dxa"/>
                </w:tcPr>
                <w:p w14:paraId="22788883" w14:textId="77777777" w:rsidR="00831864" w:rsidRDefault="00831864">
                  <w:pPr>
                    <w:pStyle w:val="Compact"/>
                  </w:pPr>
                </w:p>
              </w:tc>
            </w:tr>
            <w:tr w:rsidR="00831864" w14:paraId="17DB195B" w14:textId="77777777">
              <w:tc>
                <w:tcPr>
                  <w:tcW w:w="2917" w:type="dxa"/>
                </w:tcPr>
                <w:p w14:paraId="4CE08883" w14:textId="77777777" w:rsidR="00831864" w:rsidRDefault="00000000">
                  <w:pPr>
                    <w:pStyle w:val="Compact"/>
                    <w:jc w:val="center"/>
                  </w:pPr>
                  <w:r>
                    <w:rPr>
                      <w:b/>
                      <w:bCs/>
                    </w:rPr>
                    <w:t>Neurologic</w:t>
                  </w:r>
                  <w:r>
                    <w:rPr>
                      <w:rStyle w:val="FootnoteReference"/>
                    </w:rPr>
                    <w:footnoteReference w:id="9"/>
                  </w:r>
                  <w:r>
                    <w:t xml:space="preserve"> (0-2 points)</w:t>
                  </w:r>
                </w:p>
              </w:tc>
              <w:tc>
                <w:tcPr>
                  <w:tcW w:w="1250" w:type="dxa"/>
                </w:tcPr>
                <w:p w14:paraId="5CE1EB85" w14:textId="77777777" w:rsidR="00831864" w:rsidRDefault="00831864">
                  <w:pPr>
                    <w:pStyle w:val="Compact"/>
                  </w:pPr>
                </w:p>
              </w:tc>
              <w:tc>
                <w:tcPr>
                  <w:tcW w:w="1250" w:type="dxa"/>
                </w:tcPr>
                <w:p w14:paraId="621536AA" w14:textId="77777777" w:rsidR="00831864" w:rsidRDefault="00831864">
                  <w:pPr>
                    <w:pStyle w:val="Compact"/>
                  </w:pPr>
                </w:p>
              </w:tc>
              <w:tc>
                <w:tcPr>
                  <w:tcW w:w="1250" w:type="dxa"/>
                </w:tcPr>
                <w:p w14:paraId="62DF006E" w14:textId="77777777" w:rsidR="00831864" w:rsidRDefault="00831864">
                  <w:pPr>
                    <w:pStyle w:val="Compact"/>
                  </w:pPr>
                </w:p>
              </w:tc>
              <w:tc>
                <w:tcPr>
                  <w:tcW w:w="1250" w:type="dxa"/>
                </w:tcPr>
                <w:p w14:paraId="202072A6" w14:textId="77777777" w:rsidR="00831864" w:rsidRDefault="00831864">
                  <w:pPr>
                    <w:pStyle w:val="Compact"/>
                  </w:pPr>
                </w:p>
              </w:tc>
            </w:tr>
            <w:tr w:rsidR="00831864" w14:paraId="1524899F" w14:textId="77777777">
              <w:tc>
                <w:tcPr>
                  <w:tcW w:w="2917" w:type="dxa"/>
                </w:tcPr>
                <w:p w14:paraId="4B6883BC" w14:textId="77777777" w:rsidR="00831864" w:rsidRDefault="00831864">
                  <w:pPr>
                    <w:pStyle w:val="Compact"/>
                  </w:pPr>
                </w:p>
              </w:tc>
              <w:tc>
                <w:tcPr>
                  <w:tcW w:w="1250" w:type="dxa"/>
                </w:tcPr>
                <w:p w14:paraId="0392AEAC" w14:textId="77777777" w:rsidR="00831864" w:rsidRDefault="00000000">
                  <w:pPr>
                    <w:pStyle w:val="Compact"/>
                    <w:jc w:val="center"/>
                  </w:pPr>
                  <w:r>
                    <w:t>GCS</w:t>
                  </w:r>
                  <w:r>
                    <w:rPr>
                      <w:rStyle w:val="FootnoteReference"/>
                    </w:rPr>
                    <w:footnoteReference w:id="10"/>
                  </w:r>
                  <w:r>
                    <w:t xml:space="preserve"> ≥ 11</w:t>
                  </w:r>
                </w:p>
              </w:tc>
              <w:tc>
                <w:tcPr>
                  <w:tcW w:w="1250" w:type="dxa"/>
                </w:tcPr>
                <w:p w14:paraId="2D43BB20" w14:textId="77777777" w:rsidR="00831864" w:rsidRDefault="00000000">
                  <w:pPr>
                    <w:pStyle w:val="Compact"/>
                    <w:jc w:val="center"/>
                  </w:pPr>
                  <w:r>
                    <w:t>GCS ≤ 10</w:t>
                  </w:r>
                </w:p>
              </w:tc>
              <w:tc>
                <w:tcPr>
                  <w:tcW w:w="1250" w:type="dxa"/>
                </w:tcPr>
                <w:p w14:paraId="1A6E8EC6" w14:textId="77777777" w:rsidR="00831864" w:rsidRDefault="00000000">
                  <w:pPr>
                    <w:pStyle w:val="Compact"/>
                    <w:jc w:val="center"/>
                  </w:pPr>
                  <w:r>
                    <w:t>Bilaterally fixed pupils</w:t>
                  </w:r>
                </w:p>
              </w:tc>
              <w:tc>
                <w:tcPr>
                  <w:tcW w:w="1250" w:type="dxa"/>
                </w:tcPr>
                <w:p w14:paraId="1E67F4BC" w14:textId="77777777" w:rsidR="00831864" w:rsidRDefault="00831864">
                  <w:pPr>
                    <w:pStyle w:val="Compact"/>
                  </w:pPr>
                </w:p>
              </w:tc>
            </w:tr>
            <w:tr w:rsidR="00831864" w14:paraId="25A552A2" w14:textId="77777777">
              <w:tc>
                <w:tcPr>
                  <w:tcW w:w="2917" w:type="dxa"/>
                </w:tcPr>
                <w:p w14:paraId="35C04A84" w14:textId="77777777" w:rsidR="00831864" w:rsidRDefault="00000000">
                  <w:pPr>
                    <w:pStyle w:val="Compact"/>
                    <w:jc w:val="center"/>
                  </w:pPr>
                  <w:r>
                    <w:rPr>
                      <w:b/>
                      <w:bCs/>
                    </w:rPr>
                    <w:t>Endocrine</w:t>
                  </w:r>
                  <w:r>
                    <w:t xml:space="preserve"> (0-1 point)</w:t>
                  </w:r>
                </w:p>
              </w:tc>
              <w:tc>
                <w:tcPr>
                  <w:tcW w:w="1250" w:type="dxa"/>
                </w:tcPr>
                <w:p w14:paraId="2CF774CF" w14:textId="77777777" w:rsidR="00831864" w:rsidRDefault="00831864">
                  <w:pPr>
                    <w:pStyle w:val="Compact"/>
                  </w:pPr>
                </w:p>
              </w:tc>
              <w:tc>
                <w:tcPr>
                  <w:tcW w:w="1250" w:type="dxa"/>
                </w:tcPr>
                <w:p w14:paraId="2C48EE49" w14:textId="77777777" w:rsidR="00831864" w:rsidRDefault="00831864">
                  <w:pPr>
                    <w:pStyle w:val="Compact"/>
                  </w:pPr>
                </w:p>
              </w:tc>
              <w:tc>
                <w:tcPr>
                  <w:tcW w:w="1250" w:type="dxa"/>
                </w:tcPr>
                <w:p w14:paraId="04EA2C22" w14:textId="77777777" w:rsidR="00831864" w:rsidRDefault="00831864">
                  <w:pPr>
                    <w:pStyle w:val="Compact"/>
                  </w:pPr>
                </w:p>
              </w:tc>
              <w:tc>
                <w:tcPr>
                  <w:tcW w:w="1250" w:type="dxa"/>
                </w:tcPr>
                <w:p w14:paraId="26ABBE03" w14:textId="77777777" w:rsidR="00831864" w:rsidRDefault="00831864">
                  <w:pPr>
                    <w:pStyle w:val="Compact"/>
                  </w:pPr>
                </w:p>
              </w:tc>
            </w:tr>
            <w:tr w:rsidR="00831864" w14:paraId="7DAC8104" w14:textId="77777777">
              <w:tc>
                <w:tcPr>
                  <w:tcW w:w="2917" w:type="dxa"/>
                </w:tcPr>
                <w:p w14:paraId="525FC6A6" w14:textId="77777777" w:rsidR="00831864" w:rsidRDefault="00000000">
                  <w:pPr>
                    <w:pStyle w:val="Compact"/>
                    <w:jc w:val="center"/>
                  </w:pPr>
                  <w:r>
                    <w:t>Blood Glucose (mg/dL)</w:t>
                  </w:r>
                </w:p>
              </w:tc>
              <w:tc>
                <w:tcPr>
                  <w:tcW w:w="1250" w:type="dxa"/>
                </w:tcPr>
                <w:p w14:paraId="3F54B82E" w14:textId="77777777" w:rsidR="00831864" w:rsidRDefault="00000000">
                  <w:pPr>
                    <w:pStyle w:val="Compact"/>
                    <w:jc w:val="center"/>
                  </w:pPr>
                  <w:r>
                    <w:t>50 ≤ Blood Glucose ≤ 150</w:t>
                  </w:r>
                </w:p>
              </w:tc>
              <w:tc>
                <w:tcPr>
                  <w:tcW w:w="1250" w:type="dxa"/>
                </w:tcPr>
                <w:p w14:paraId="302A8970" w14:textId="77777777" w:rsidR="00831864" w:rsidRDefault="00000000">
                  <w:pPr>
                    <w:pStyle w:val="Compact"/>
                    <w:jc w:val="center"/>
                  </w:pPr>
                  <w:r>
                    <w:t>&lt; 50; or &gt; 150</w:t>
                  </w:r>
                </w:p>
              </w:tc>
              <w:tc>
                <w:tcPr>
                  <w:tcW w:w="1250" w:type="dxa"/>
                </w:tcPr>
                <w:p w14:paraId="6AE76786" w14:textId="77777777" w:rsidR="00831864" w:rsidRDefault="00831864">
                  <w:pPr>
                    <w:pStyle w:val="Compact"/>
                  </w:pPr>
                </w:p>
              </w:tc>
              <w:tc>
                <w:tcPr>
                  <w:tcW w:w="1250" w:type="dxa"/>
                </w:tcPr>
                <w:p w14:paraId="4A7B77B7" w14:textId="77777777" w:rsidR="00831864" w:rsidRDefault="00831864">
                  <w:pPr>
                    <w:pStyle w:val="Compact"/>
                  </w:pPr>
                </w:p>
              </w:tc>
            </w:tr>
            <w:tr w:rsidR="00831864" w14:paraId="4349D73F" w14:textId="77777777">
              <w:tc>
                <w:tcPr>
                  <w:tcW w:w="2917" w:type="dxa"/>
                </w:tcPr>
                <w:p w14:paraId="5DDE78FA" w14:textId="77777777" w:rsidR="00831864" w:rsidRDefault="00000000">
                  <w:pPr>
                    <w:pStyle w:val="Compact"/>
                    <w:jc w:val="center"/>
                  </w:pPr>
                  <w:r>
                    <w:rPr>
                      <w:b/>
                      <w:bCs/>
                    </w:rPr>
                    <w:t>Immunologic</w:t>
                  </w:r>
                  <w:r>
                    <w:t xml:space="preserve"> (0-1 point; point from ANC and/or ALC)</w:t>
                  </w:r>
                </w:p>
              </w:tc>
              <w:tc>
                <w:tcPr>
                  <w:tcW w:w="1250" w:type="dxa"/>
                </w:tcPr>
                <w:p w14:paraId="3AD3F8D8" w14:textId="77777777" w:rsidR="00831864" w:rsidRDefault="00831864">
                  <w:pPr>
                    <w:pStyle w:val="Compact"/>
                  </w:pPr>
                </w:p>
              </w:tc>
              <w:tc>
                <w:tcPr>
                  <w:tcW w:w="1250" w:type="dxa"/>
                </w:tcPr>
                <w:p w14:paraId="70FE5121" w14:textId="77777777" w:rsidR="00831864" w:rsidRDefault="00831864">
                  <w:pPr>
                    <w:pStyle w:val="Compact"/>
                  </w:pPr>
                </w:p>
              </w:tc>
              <w:tc>
                <w:tcPr>
                  <w:tcW w:w="1250" w:type="dxa"/>
                </w:tcPr>
                <w:p w14:paraId="677B56F2" w14:textId="77777777" w:rsidR="00831864" w:rsidRDefault="00831864">
                  <w:pPr>
                    <w:pStyle w:val="Compact"/>
                  </w:pPr>
                </w:p>
              </w:tc>
              <w:tc>
                <w:tcPr>
                  <w:tcW w:w="1250" w:type="dxa"/>
                </w:tcPr>
                <w:p w14:paraId="01C37AC7" w14:textId="77777777" w:rsidR="00831864" w:rsidRDefault="00831864">
                  <w:pPr>
                    <w:pStyle w:val="Compact"/>
                  </w:pPr>
                </w:p>
              </w:tc>
            </w:tr>
            <w:tr w:rsidR="00831864" w14:paraId="1E44AA66" w14:textId="77777777">
              <w:tc>
                <w:tcPr>
                  <w:tcW w:w="2917" w:type="dxa"/>
                </w:tcPr>
                <w:p w14:paraId="02D35326" w14:textId="77777777" w:rsidR="00831864" w:rsidRDefault="00000000">
                  <w:pPr>
                    <w:pStyle w:val="Compact"/>
                    <w:jc w:val="center"/>
                  </w:pPr>
                  <w:r>
                    <w:t>ANC (cells/mm[^3])</w:t>
                  </w:r>
                </w:p>
              </w:tc>
              <w:tc>
                <w:tcPr>
                  <w:tcW w:w="1250" w:type="dxa"/>
                </w:tcPr>
                <w:p w14:paraId="00299952" w14:textId="77777777" w:rsidR="00831864" w:rsidRDefault="00000000">
                  <w:pPr>
                    <w:pStyle w:val="Compact"/>
                    <w:jc w:val="center"/>
                  </w:pPr>
                  <w:r>
                    <w:t>≥ 500</w:t>
                  </w:r>
                </w:p>
              </w:tc>
              <w:tc>
                <w:tcPr>
                  <w:tcW w:w="1250" w:type="dxa"/>
                </w:tcPr>
                <w:p w14:paraId="56EBA154" w14:textId="77777777" w:rsidR="00831864" w:rsidRDefault="00000000">
                  <w:pPr>
                    <w:pStyle w:val="Compact"/>
                    <w:jc w:val="center"/>
                  </w:pPr>
                  <w:r>
                    <w:t>&lt; 500</w:t>
                  </w:r>
                </w:p>
              </w:tc>
              <w:tc>
                <w:tcPr>
                  <w:tcW w:w="1250" w:type="dxa"/>
                </w:tcPr>
                <w:p w14:paraId="2898E961" w14:textId="77777777" w:rsidR="00831864" w:rsidRDefault="00831864">
                  <w:pPr>
                    <w:pStyle w:val="Compact"/>
                  </w:pPr>
                </w:p>
              </w:tc>
              <w:tc>
                <w:tcPr>
                  <w:tcW w:w="1250" w:type="dxa"/>
                </w:tcPr>
                <w:p w14:paraId="0D3DFDF7" w14:textId="77777777" w:rsidR="00831864" w:rsidRDefault="00831864">
                  <w:pPr>
                    <w:pStyle w:val="Compact"/>
                  </w:pPr>
                </w:p>
              </w:tc>
            </w:tr>
            <w:tr w:rsidR="00831864" w14:paraId="3D40D26E" w14:textId="77777777">
              <w:tc>
                <w:tcPr>
                  <w:tcW w:w="2917" w:type="dxa"/>
                </w:tcPr>
                <w:p w14:paraId="4B49D156" w14:textId="77777777" w:rsidR="00831864" w:rsidRDefault="00000000">
                  <w:pPr>
                    <w:pStyle w:val="Compact"/>
                    <w:jc w:val="center"/>
                  </w:pPr>
                  <w:r>
                    <w:t>ALC (cells/mm[^3])</w:t>
                  </w:r>
                </w:p>
              </w:tc>
              <w:tc>
                <w:tcPr>
                  <w:tcW w:w="1250" w:type="dxa"/>
                </w:tcPr>
                <w:p w14:paraId="69F0B89D" w14:textId="77777777" w:rsidR="00831864" w:rsidRDefault="00000000">
                  <w:pPr>
                    <w:pStyle w:val="Compact"/>
                    <w:jc w:val="center"/>
                  </w:pPr>
                  <w:r>
                    <w:t>≥ 1000</w:t>
                  </w:r>
                </w:p>
              </w:tc>
              <w:tc>
                <w:tcPr>
                  <w:tcW w:w="1250" w:type="dxa"/>
                </w:tcPr>
                <w:p w14:paraId="52E76036" w14:textId="77777777" w:rsidR="00831864" w:rsidRDefault="00000000">
                  <w:pPr>
                    <w:pStyle w:val="Compact"/>
                    <w:jc w:val="center"/>
                  </w:pPr>
                  <w:r>
                    <w:t>&lt; 1000</w:t>
                  </w:r>
                </w:p>
              </w:tc>
              <w:tc>
                <w:tcPr>
                  <w:tcW w:w="1250" w:type="dxa"/>
                </w:tcPr>
                <w:p w14:paraId="1162D727" w14:textId="77777777" w:rsidR="00831864" w:rsidRDefault="00831864">
                  <w:pPr>
                    <w:pStyle w:val="Compact"/>
                  </w:pPr>
                </w:p>
              </w:tc>
              <w:tc>
                <w:tcPr>
                  <w:tcW w:w="1250" w:type="dxa"/>
                </w:tcPr>
                <w:p w14:paraId="17E4BD5A" w14:textId="77777777" w:rsidR="00831864" w:rsidRDefault="00831864">
                  <w:pPr>
                    <w:pStyle w:val="Compact"/>
                  </w:pPr>
                </w:p>
              </w:tc>
            </w:tr>
            <w:tr w:rsidR="00831864" w14:paraId="67BF29BC" w14:textId="77777777">
              <w:tc>
                <w:tcPr>
                  <w:tcW w:w="2917" w:type="dxa"/>
                </w:tcPr>
                <w:p w14:paraId="7AD58A4B" w14:textId="77777777" w:rsidR="00831864" w:rsidRDefault="00000000">
                  <w:pPr>
                    <w:pStyle w:val="Compact"/>
                    <w:jc w:val="center"/>
                  </w:pPr>
                  <w:r>
                    <w:rPr>
                      <w:b/>
                      <w:bCs/>
                    </w:rPr>
                    <w:t>Renal</w:t>
                  </w:r>
                  <w:r>
                    <w:t xml:space="preserve"> (0-1 point)</w:t>
                  </w:r>
                </w:p>
              </w:tc>
              <w:tc>
                <w:tcPr>
                  <w:tcW w:w="1250" w:type="dxa"/>
                </w:tcPr>
                <w:p w14:paraId="6D275242" w14:textId="77777777" w:rsidR="00831864" w:rsidRDefault="00831864">
                  <w:pPr>
                    <w:pStyle w:val="Compact"/>
                  </w:pPr>
                </w:p>
              </w:tc>
              <w:tc>
                <w:tcPr>
                  <w:tcW w:w="1250" w:type="dxa"/>
                </w:tcPr>
                <w:p w14:paraId="188BA74A" w14:textId="77777777" w:rsidR="00831864" w:rsidRDefault="00831864">
                  <w:pPr>
                    <w:pStyle w:val="Compact"/>
                  </w:pPr>
                </w:p>
              </w:tc>
              <w:tc>
                <w:tcPr>
                  <w:tcW w:w="1250" w:type="dxa"/>
                </w:tcPr>
                <w:p w14:paraId="409D785B" w14:textId="77777777" w:rsidR="00831864" w:rsidRDefault="00831864">
                  <w:pPr>
                    <w:pStyle w:val="Compact"/>
                  </w:pPr>
                </w:p>
              </w:tc>
              <w:tc>
                <w:tcPr>
                  <w:tcW w:w="1250" w:type="dxa"/>
                </w:tcPr>
                <w:p w14:paraId="741F16EB" w14:textId="77777777" w:rsidR="00831864" w:rsidRDefault="00831864">
                  <w:pPr>
                    <w:pStyle w:val="Compact"/>
                  </w:pPr>
                </w:p>
              </w:tc>
            </w:tr>
            <w:tr w:rsidR="00831864" w14:paraId="73FD5E2D" w14:textId="77777777">
              <w:tc>
                <w:tcPr>
                  <w:tcW w:w="2917" w:type="dxa"/>
                </w:tcPr>
                <w:p w14:paraId="2BB0EE96" w14:textId="77777777" w:rsidR="00831864" w:rsidRDefault="00000000">
                  <w:pPr>
                    <w:pStyle w:val="Compact"/>
                    <w:jc w:val="center"/>
                  </w:pPr>
                  <w:r>
                    <w:t>Age</w:t>
                  </w:r>
                  <w:r>
                    <w:rPr>
                      <w:rStyle w:val="FootnoteReference"/>
                    </w:rPr>
                    <w:footnoteReference w:id="11"/>
                  </w:r>
                  <w:r>
                    <w:t xml:space="preserve"> (months) adjusted Creatinine (mg/dL)</w:t>
                  </w:r>
                </w:p>
              </w:tc>
              <w:tc>
                <w:tcPr>
                  <w:tcW w:w="1250" w:type="dxa"/>
                </w:tcPr>
                <w:p w14:paraId="3DBDA970" w14:textId="77777777" w:rsidR="00831864" w:rsidRDefault="00831864">
                  <w:pPr>
                    <w:pStyle w:val="Compact"/>
                  </w:pPr>
                </w:p>
              </w:tc>
              <w:tc>
                <w:tcPr>
                  <w:tcW w:w="1250" w:type="dxa"/>
                </w:tcPr>
                <w:p w14:paraId="301A0953" w14:textId="77777777" w:rsidR="00831864" w:rsidRDefault="00831864">
                  <w:pPr>
                    <w:pStyle w:val="Compact"/>
                  </w:pPr>
                </w:p>
              </w:tc>
              <w:tc>
                <w:tcPr>
                  <w:tcW w:w="1250" w:type="dxa"/>
                </w:tcPr>
                <w:p w14:paraId="71E4949C" w14:textId="77777777" w:rsidR="00831864" w:rsidRDefault="00831864">
                  <w:pPr>
                    <w:pStyle w:val="Compact"/>
                  </w:pPr>
                </w:p>
              </w:tc>
              <w:tc>
                <w:tcPr>
                  <w:tcW w:w="1250" w:type="dxa"/>
                </w:tcPr>
                <w:p w14:paraId="69260E3E" w14:textId="77777777" w:rsidR="00831864" w:rsidRDefault="00831864">
                  <w:pPr>
                    <w:pStyle w:val="Compact"/>
                  </w:pPr>
                </w:p>
              </w:tc>
            </w:tr>
            <w:tr w:rsidR="00831864" w14:paraId="7E091528" w14:textId="77777777">
              <w:tc>
                <w:tcPr>
                  <w:tcW w:w="2917" w:type="dxa"/>
                </w:tcPr>
                <w:p w14:paraId="5A12D5A3" w14:textId="77777777" w:rsidR="00831864" w:rsidRDefault="00000000">
                  <w:pPr>
                    <w:pStyle w:val="Compact"/>
                    <w:jc w:val="center"/>
                  </w:pPr>
                  <w:r>
                    <w:lastRenderedPageBreak/>
                    <w:t>0 ≤ Age &lt; 1</w:t>
                  </w:r>
                </w:p>
              </w:tc>
              <w:tc>
                <w:tcPr>
                  <w:tcW w:w="1250" w:type="dxa"/>
                </w:tcPr>
                <w:p w14:paraId="1F9AC0A2" w14:textId="77777777" w:rsidR="00831864" w:rsidRDefault="00000000">
                  <w:pPr>
                    <w:pStyle w:val="Compact"/>
                    <w:jc w:val="center"/>
                  </w:pPr>
                  <w:r>
                    <w:t>&lt; 0.8</w:t>
                  </w:r>
                </w:p>
              </w:tc>
              <w:tc>
                <w:tcPr>
                  <w:tcW w:w="1250" w:type="dxa"/>
                </w:tcPr>
                <w:p w14:paraId="0EDCC858" w14:textId="77777777" w:rsidR="00831864" w:rsidRDefault="00000000">
                  <w:pPr>
                    <w:pStyle w:val="Compact"/>
                    <w:jc w:val="center"/>
                  </w:pPr>
                  <w:r>
                    <w:t>≥ 0.8</w:t>
                  </w:r>
                </w:p>
              </w:tc>
              <w:tc>
                <w:tcPr>
                  <w:tcW w:w="1250" w:type="dxa"/>
                </w:tcPr>
                <w:p w14:paraId="46FE8201" w14:textId="77777777" w:rsidR="00831864" w:rsidRDefault="00831864">
                  <w:pPr>
                    <w:pStyle w:val="Compact"/>
                  </w:pPr>
                </w:p>
              </w:tc>
              <w:tc>
                <w:tcPr>
                  <w:tcW w:w="1250" w:type="dxa"/>
                </w:tcPr>
                <w:p w14:paraId="2CCE3662" w14:textId="77777777" w:rsidR="00831864" w:rsidRDefault="00831864">
                  <w:pPr>
                    <w:pStyle w:val="Compact"/>
                  </w:pPr>
                </w:p>
              </w:tc>
            </w:tr>
            <w:tr w:rsidR="00831864" w14:paraId="31F33B55" w14:textId="77777777">
              <w:tc>
                <w:tcPr>
                  <w:tcW w:w="2917" w:type="dxa"/>
                </w:tcPr>
                <w:p w14:paraId="3D7D8B47" w14:textId="77777777" w:rsidR="00831864" w:rsidRDefault="00000000">
                  <w:pPr>
                    <w:pStyle w:val="Compact"/>
                    <w:jc w:val="center"/>
                  </w:pPr>
                  <w:r>
                    <w:t>1 ≤ Age &lt; 12</w:t>
                  </w:r>
                </w:p>
              </w:tc>
              <w:tc>
                <w:tcPr>
                  <w:tcW w:w="1250" w:type="dxa"/>
                </w:tcPr>
                <w:p w14:paraId="1455046D" w14:textId="77777777" w:rsidR="00831864" w:rsidRDefault="00000000">
                  <w:pPr>
                    <w:pStyle w:val="Compact"/>
                    <w:jc w:val="center"/>
                  </w:pPr>
                  <w:r>
                    <w:t>&lt; 0.3</w:t>
                  </w:r>
                </w:p>
              </w:tc>
              <w:tc>
                <w:tcPr>
                  <w:tcW w:w="1250" w:type="dxa"/>
                </w:tcPr>
                <w:p w14:paraId="1C979713" w14:textId="77777777" w:rsidR="00831864" w:rsidRDefault="00000000">
                  <w:pPr>
                    <w:pStyle w:val="Compact"/>
                    <w:jc w:val="center"/>
                  </w:pPr>
                  <w:r>
                    <w:t>≥ 0.3</w:t>
                  </w:r>
                </w:p>
              </w:tc>
              <w:tc>
                <w:tcPr>
                  <w:tcW w:w="1250" w:type="dxa"/>
                </w:tcPr>
                <w:p w14:paraId="7E8B86B2" w14:textId="77777777" w:rsidR="00831864" w:rsidRDefault="00831864">
                  <w:pPr>
                    <w:pStyle w:val="Compact"/>
                  </w:pPr>
                </w:p>
              </w:tc>
              <w:tc>
                <w:tcPr>
                  <w:tcW w:w="1250" w:type="dxa"/>
                </w:tcPr>
                <w:p w14:paraId="49BB4FDA" w14:textId="77777777" w:rsidR="00831864" w:rsidRDefault="00831864">
                  <w:pPr>
                    <w:pStyle w:val="Compact"/>
                  </w:pPr>
                </w:p>
              </w:tc>
            </w:tr>
            <w:tr w:rsidR="00831864" w14:paraId="1A58E64F" w14:textId="77777777">
              <w:tc>
                <w:tcPr>
                  <w:tcW w:w="2917" w:type="dxa"/>
                </w:tcPr>
                <w:p w14:paraId="5B37FD40" w14:textId="77777777" w:rsidR="00831864" w:rsidRDefault="00000000">
                  <w:pPr>
                    <w:pStyle w:val="Compact"/>
                    <w:jc w:val="center"/>
                  </w:pPr>
                  <w:r>
                    <w:t>12 ≤ Age &lt; 24</w:t>
                  </w:r>
                </w:p>
              </w:tc>
              <w:tc>
                <w:tcPr>
                  <w:tcW w:w="1250" w:type="dxa"/>
                </w:tcPr>
                <w:p w14:paraId="0DFB6422" w14:textId="77777777" w:rsidR="00831864" w:rsidRDefault="00000000">
                  <w:pPr>
                    <w:pStyle w:val="Compact"/>
                    <w:jc w:val="center"/>
                  </w:pPr>
                  <w:r>
                    <w:t>&lt; 0.4</w:t>
                  </w:r>
                </w:p>
              </w:tc>
              <w:tc>
                <w:tcPr>
                  <w:tcW w:w="1250" w:type="dxa"/>
                </w:tcPr>
                <w:p w14:paraId="003D24B4" w14:textId="77777777" w:rsidR="00831864" w:rsidRDefault="00000000">
                  <w:pPr>
                    <w:pStyle w:val="Compact"/>
                    <w:jc w:val="center"/>
                  </w:pPr>
                  <w:r>
                    <w:t>≥ 0.4</w:t>
                  </w:r>
                </w:p>
              </w:tc>
              <w:tc>
                <w:tcPr>
                  <w:tcW w:w="1250" w:type="dxa"/>
                </w:tcPr>
                <w:p w14:paraId="44B5B148" w14:textId="77777777" w:rsidR="00831864" w:rsidRDefault="00831864">
                  <w:pPr>
                    <w:pStyle w:val="Compact"/>
                  </w:pPr>
                </w:p>
              </w:tc>
              <w:tc>
                <w:tcPr>
                  <w:tcW w:w="1250" w:type="dxa"/>
                </w:tcPr>
                <w:p w14:paraId="095EF13A" w14:textId="77777777" w:rsidR="00831864" w:rsidRDefault="00831864">
                  <w:pPr>
                    <w:pStyle w:val="Compact"/>
                  </w:pPr>
                </w:p>
              </w:tc>
            </w:tr>
            <w:tr w:rsidR="00831864" w14:paraId="7257C7BF" w14:textId="77777777">
              <w:tc>
                <w:tcPr>
                  <w:tcW w:w="2917" w:type="dxa"/>
                </w:tcPr>
                <w:p w14:paraId="5F882CEE" w14:textId="77777777" w:rsidR="00831864" w:rsidRDefault="00000000">
                  <w:pPr>
                    <w:pStyle w:val="Compact"/>
                    <w:jc w:val="center"/>
                  </w:pPr>
                  <w:r>
                    <w:t>24 ≤ Age &lt; 60</w:t>
                  </w:r>
                </w:p>
              </w:tc>
              <w:tc>
                <w:tcPr>
                  <w:tcW w:w="1250" w:type="dxa"/>
                </w:tcPr>
                <w:p w14:paraId="06308433" w14:textId="77777777" w:rsidR="00831864" w:rsidRDefault="00000000">
                  <w:pPr>
                    <w:pStyle w:val="Compact"/>
                    <w:jc w:val="center"/>
                  </w:pPr>
                  <w:r>
                    <w:t>&lt; 0.6</w:t>
                  </w:r>
                </w:p>
              </w:tc>
              <w:tc>
                <w:tcPr>
                  <w:tcW w:w="1250" w:type="dxa"/>
                </w:tcPr>
                <w:p w14:paraId="0E4C54EC" w14:textId="77777777" w:rsidR="00831864" w:rsidRDefault="00000000">
                  <w:pPr>
                    <w:pStyle w:val="Compact"/>
                    <w:jc w:val="center"/>
                  </w:pPr>
                  <w:r>
                    <w:t>≥ 0.6</w:t>
                  </w:r>
                </w:p>
              </w:tc>
              <w:tc>
                <w:tcPr>
                  <w:tcW w:w="1250" w:type="dxa"/>
                </w:tcPr>
                <w:p w14:paraId="2162A4A6" w14:textId="77777777" w:rsidR="00831864" w:rsidRDefault="00831864">
                  <w:pPr>
                    <w:pStyle w:val="Compact"/>
                  </w:pPr>
                </w:p>
              </w:tc>
              <w:tc>
                <w:tcPr>
                  <w:tcW w:w="1250" w:type="dxa"/>
                </w:tcPr>
                <w:p w14:paraId="60532FA5" w14:textId="77777777" w:rsidR="00831864" w:rsidRDefault="00831864">
                  <w:pPr>
                    <w:pStyle w:val="Compact"/>
                  </w:pPr>
                </w:p>
              </w:tc>
            </w:tr>
            <w:tr w:rsidR="00831864" w14:paraId="2CB8C47A" w14:textId="77777777">
              <w:tc>
                <w:tcPr>
                  <w:tcW w:w="2917" w:type="dxa"/>
                </w:tcPr>
                <w:p w14:paraId="2C96DF6D" w14:textId="77777777" w:rsidR="00831864" w:rsidRDefault="00000000">
                  <w:pPr>
                    <w:pStyle w:val="Compact"/>
                    <w:jc w:val="center"/>
                  </w:pPr>
                  <w:r>
                    <w:t>60 ≤ Age &lt; 144</w:t>
                  </w:r>
                </w:p>
              </w:tc>
              <w:tc>
                <w:tcPr>
                  <w:tcW w:w="1250" w:type="dxa"/>
                </w:tcPr>
                <w:p w14:paraId="330627F3" w14:textId="77777777" w:rsidR="00831864" w:rsidRDefault="00000000">
                  <w:pPr>
                    <w:pStyle w:val="Compact"/>
                    <w:jc w:val="center"/>
                  </w:pPr>
                  <w:r>
                    <w:t>&lt; 0.7</w:t>
                  </w:r>
                </w:p>
              </w:tc>
              <w:tc>
                <w:tcPr>
                  <w:tcW w:w="1250" w:type="dxa"/>
                </w:tcPr>
                <w:p w14:paraId="0E375678" w14:textId="77777777" w:rsidR="00831864" w:rsidRDefault="00000000">
                  <w:pPr>
                    <w:pStyle w:val="Compact"/>
                    <w:jc w:val="center"/>
                  </w:pPr>
                  <w:r>
                    <w:t>≥ 0.7</w:t>
                  </w:r>
                </w:p>
              </w:tc>
              <w:tc>
                <w:tcPr>
                  <w:tcW w:w="1250" w:type="dxa"/>
                </w:tcPr>
                <w:p w14:paraId="7BFCEE1D" w14:textId="77777777" w:rsidR="00831864" w:rsidRDefault="00831864">
                  <w:pPr>
                    <w:pStyle w:val="Compact"/>
                  </w:pPr>
                </w:p>
              </w:tc>
              <w:tc>
                <w:tcPr>
                  <w:tcW w:w="1250" w:type="dxa"/>
                </w:tcPr>
                <w:p w14:paraId="3147DB67" w14:textId="77777777" w:rsidR="00831864" w:rsidRDefault="00831864">
                  <w:pPr>
                    <w:pStyle w:val="Compact"/>
                  </w:pPr>
                </w:p>
              </w:tc>
            </w:tr>
            <w:tr w:rsidR="00831864" w14:paraId="3E799DEA" w14:textId="77777777">
              <w:tc>
                <w:tcPr>
                  <w:tcW w:w="2917" w:type="dxa"/>
                </w:tcPr>
                <w:p w14:paraId="47564FCA" w14:textId="77777777" w:rsidR="00831864" w:rsidRDefault="00000000">
                  <w:pPr>
                    <w:pStyle w:val="Compact"/>
                    <w:jc w:val="center"/>
                  </w:pPr>
                  <w:r>
                    <w:t>144 ≤ Age &lt; 216</w:t>
                  </w:r>
                </w:p>
              </w:tc>
              <w:tc>
                <w:tcPr>
                  <w:tcW w:w="1250" w:type="dxa"/>
                </w:tcPr>
                <w:p w14:paraId="553FDF8F" w14:textId="77777777" w:rsidR="00831864" w:rsidRDefault="00000000">
                  <w:pPr>
                    <w:pStyle w:val="Compact"/>
                    <w:jc w:val="center"/>
                  </w:pPr>
                  <w:r>
                    <w:t>&lt; 1.0</w:t>
                  </w:r>
                </w:p>
              </w:tc>
              <w:tc>
                <w:tcPr>
                  <w:tcW w:w="1250" w:type="dxa"/>
                </w:tcPr>
                <w:p w14:paraId="0E704F5D" w14:textId="77777777" w:rsidR="00831864" w:rsidRDefault="00000000">
                  <w:pPr>
                    <w:pStyle w:val="Compact"/>
                    <w:jc w:val="center"/>
                  </w:pPr>
                  <w:r>
                    <w:t>≥ 1.0</w:t>
                  </w:r>
                </w:p>
              </w:tc>
              <w:tc>
                <w:tcPr>
                  <w:tcW w:w="1250" w:type="dxa"/>
                </w:tcPr>
                <w:p w14:paraId="05A1512B" w14:textId="77777777" w:rsidR="00831864" w:rsidRDefault="00831864">
                  <w:pPr>
                    <w:pStyle w:val="Compact"/>
                  </w:pPr>
                </w:p>
              </w:tc>
              <w:tc>
                <w:tcPr>
                  <w:tcW w:w="1250" w:type="dxa"/>
                </w:tcPr>
                <w:p w14:paraId="18B3A2CF" w14:textId="77777777" w:rsidR="00831864" w:rsidRDefault="00831864">
                  <w:pPr>
                    <w:pStyle w:val="Compact"/>
                  </w:pPr>
                </w:p>
              </w:tc>
            </w:tr>
            <w:tr w:rsidR="00831864" w14:paraId="3AEB622E" w14:textId="77777777">
              <w:tc>
                <w:tcPr>
                  <w:tcW w:w="2917" w:type="dxa"/>
                </w:tcPr>
                <w:p w14:paraId="5AABF51F" w14:textId="77777777" w:rsidR="00831864" w:rsidRDefault="00000000">
                  <w:pPr>
                    <w:pStyle w:val="Compact"/>
                    <w:jc w:val="center"/>
                  </w:pPr>
                  <w:r>
                    <w:rPr>
                      <w:b/>
                      <w:bCs/>
                    </w:rPr>
                    <w:t>Hepatic</w:t>
                  </w:r>
                  <w:r>
                    <w:t xml:space="preserve"> (0-1 point; point from total bilirubin and/or ALT)</w:t>
                  </w:r>
                </w:p>
              </w:tc>
              <w:tc>
                <w:tcPr>
                  <w:tcW w:w="1250" w:type="dxa"/>
                </w:tcPr>
                <w:p w14:paraId="11E77B4F" w14:textId="77777777" w:rsidR="00831864" w:rsidRDefault="00831864">
                  <w:pPr>
                    <w:pStyle w:val="Compact"/>
                  </w:pPr>
                </w:p>
              </w:tc>
              <w:tc>
                <w:tcPr>
                  <w:tcW w:w="1250" w:type="dxa"/>
                </w:tcPr>
                <w:p w14:paraId="78723F64" w14:textId="77777777" w:rsidR="00831864" w:rsidRDefault="00831864">
                  <w:pPr>
                    <w:pStyle w:val="Compact"/>
                  </w:pPr>
                </w:p>
              </w:tc>
              <w:tc>
                <w:tcPr>
                  <w:tcW w:w="1250" w:type="dxa"/>
                </w:tcPr>
                <w:p w14:paraId="51F6DA49" w14:textId="77777777" w:rsidR="00831864" w:rsidRDefault="00831864">
                  <w:pPr>
                    <w:pStyle w:val="Compact"/>
                  </w:pPr>
                </w:p>
              </w:tc>
              <w:tc>
                <w:tcPr>
                  <w:tcW w:w="1250" w:type="dxa"/>
                </w:tcPr>
                <w:p w14:paraId="0620FF36" w14:textId="77777777" w:rsidR="00831864" w:rsidRDefault="00831864">
                  <w:pPr>
                    <w:pStyle w:val="Compact"/>
                  </w:pPr>
                </w:p>
              </w:tc>
            </w:tr>
            <w:tr w:rsidR="00831864" w14:paraId="1D719070" w14:textId="77777777">
              <w:tc>
                <w:tcPr>
                  <w:tcW w:w="2917" w:type="dxa"/>
                </w:tcPr>
                <w:p w14:paraId="732254F3" w14:textId="77777777" w:rsidR="00831864" w:rsidRDefault="00000000">
                  <w:pPr>
                    <w:pStyle w:val="Compact"/>
                    <w:jc w:val="center"/>
                  </w:pPr>
                  <w:r>
                    <w:t>Total Bilirubin (mg/dL)</w:t>
                  </w:r>
                </w:p>
              </w:tc>
              <w:tc>
                <w:tcPr>
                  <w:tcW w:w="1250" w:type="dxa"/>
                </w:tcPr>
                <w:p w14:paraId="0721F11B" w14:textId="77777777" w:rsidR="00831864" w:rsidRDefault="00000000">
                  <w:pPr>
                    <w:pStyle w:val="Compact"/>
                    <w:jc w:val="center"/>
                  </w:pPr>
                  <w:r>
                    <w:t>&lt; 4</w:t>
                  </w:r>
                </w:p>
              </w:tc>
              <w:tc>
                <w:tcPr>
                  <w:tcW w:w="1250" w:type="dxa"/>
                </w:tcPr>
                <w:p w14:paraId="3C2B51FB" w14:textId="77777777" w:rsidR="00831864" w:rsidRDefault="00000000">
                  <w:pPr>
                    <w:pStyle w:val="Compact"/>
                    <w:jc w:val="center"/>
                  </w:pPr>
                  <w:r>
                    <w:t>≥ 4</w:t>
                  </w:r>
                </w:p>
              </w:tc>
              <w:tc>
                <w:tcPr>
                  <w:tcW w:w="1250" w:type="dxa"/>
                </w:tcPr>
                <w:p w14:paraId="64F4D45C" w14:textId="77777777" w:rsidR="00831864" w:rsidRDefault="00831864">
                  <w:pPr>
                    <w:pStyle w:val="Compact"/>
                  </w:pPr>
                </w:p>
              </w:tc>
              <w:tc>
                <w:tcPr>
                  <w:tcW w:w="1250" w:type="dxa"/>
                </w:tcPr>
                <w:p w14:paraId="1F83C6E2" w14:textId="77777777" w:rsidR="00831864" w:rsidRDefault="00831864">
                  <w:pPr>
                    <w:pStyle w:val="Compact"/>
                  </w:pPr>
                </w:p>
              </w:tc>
            </w:tr>
            <w:tr w:rsidR="00831864" w14:paraId="28B1A074" w14:textId="77777777">
              <w:tc>
                <w:tcPr>
                  <w:tcW w:w="2917" w:type="dxa"/>
                </w:tcPr>
                <w:p w14:paraId="28BEE557" w14:textId="77777777" w:rsidR="00831864" w:rsidRDefault="00000000">
                  <w:pPr>
                    <w:pStyle w:val="Compact"/>
                    <w:jc w:val="center"/>
                  </w:pPr>
                  <w:r>
                    <w:t>ALT (IU/L)</w:t>
                  </w:r>
                </w:p>
              </w:tc>
              <w:tc>
                <w:tcPr>
                  <w:tcW w:w="1250" w:type="dxa"/>
                </w:tcPr>
                <w:p w14:paraId="3E710D7A" w14:textId="77777777" w:rsidR="00831864" w:rsidRDefault="00000000">
                  <w:pPr>
                    <w:pStyle w:val="Compact"/>
                    <w:jc w:val="center"/>
                  </w:pPr>
                  <w:r>
                    <w:t>≤ 102</w:t>
                  </w:r>
                </w:p>
              </w:tc>
              <w:tc>
                <w:tcPr>
                  <w:tcW w:w="1250" w:type="dxa"/>
                </w:tcPr>
                <w:p w14:paraId="121ED71E" w14:textId="77777777" w:rsidR="00831864" w:rsidRDefault="00000000">
                  <w:pPr>
                    <w:pStyle w:val="Compact"/>
                    <w:jc w:val="center"/>
                  </w:pPr>
                  <w:r>
                    <w:t>&gt; 102</w:t>
                  </w:r>
                </w:p>
              </w:tc>
              <w:tc>
                <w:tcPr>
                  <w:tcW w:w="1250" w:type="dxa"/>
                </w:tcPr>
                <w:p w14:paraId="442F4C8D" w14:textId="77777777" w:rsidR="00831864" w:rsidRDefault="00831864">
                  <w:pPr>
                    <w:pStyle w:val="Compact"/>
                  </w:pPr>
                </w:p>
              </w:tc>
              <w:tc>
                <w:tcPr>
                  <w:tcW w:w="1250" w:type="dxa"/>
                </w:tcPr>
                <w:p w14:paraId="65988EF8" w14:textId="77777777" w:rsidR="00831864" w:rsidRDefault="00831864">
                  <w:pPr>
                    <w:pStyle w:val="Compact"/>
                  </w:pPr>
                </w:p>
              </w:tc>
            </w:tr>
            <w:bookmarkEnd w:id="2"/>
          </w:tbl>
          <w:p w14:paraId="41654C3F" w14:textId="77777777" w:rsidR="00831864" w:rsidRDefault="00831864"/>
        </w:tc>
      </w:tr>
    </w:tbl>
    <w:p w14:paraId="70393AAE" w14:textId="41D5E7DD" w:rsidR="00831864" w:rsidRDefault="00000000" w:rsidP="00482725">
      <w:pPr>
        <w:pStyle w:val="SourceCode"/>
      </w:pPr>
      <w:bookmarkStart w:id="3" w:name="sec-results"/>
      <w:bookmarkEnd w:id="1"/>
      <w:r>
        <w:rPr>
          <w:rStyle w:val="FunctionTok"/>
        </w:rPr>
        <w:lastRenderedPageBreak/>
        <w:t>library</w:t>
      </w:r>
      <w:r>
        <w:rPr>
          <w:rStyle w:val="NormalTok"/>
        </w:rPr>
        <w:t>(phoenix)</w:t>
      </w:r>
      <w:r>
        <w:br/>
      </w:r>
      <w:r>
        <w:rPr>
          <w:rStyle w:val="FunctionTok"/>
        </w:rPr>
        <w:t>dim</w:t>
      </w:r>
      <w:r>
        <w:rPr>
          <w:rStyle w:val="NormalTok"/>
        </w:rPr>
        <w:t>(sepsis)</w:t>
      </w:r>
      <w:r>
        <w:br/>
      </w:r>
      <w:r>
        <w:rPr>
          <w:rStyle w:val="DocumentationTok"/>
        </w:rPr>
        <w:t>## [1] 20 27</w:t>
      </w:r>
      <w:r>
        <w:br/>
      </w:r>
      <w:r>
        <w:rPr>
          <w:rStyle w:val="FunctionTok"/>
        </w:rPr>
        <w:t>names</w:t>
      </w:r>
      <w:r>
        <w:rPr>
          <w:rStyle w:val="NormalTok"/>
        </w:rPr>
        <w:t>(sepsis)</w:t>
      </w:r>
      <w:r>
        <w:br/>
      </w:r>
      <w:r>
        <w:rPr>
          <w:rStyle w:val="DocumentationTok"/>
        </w:rPr>
        <w:t xml:space="preserve">##  [1] "pid"            "age"            "fio2"           "pao2"          </w:t>
      </w:r>
      <w:r>
        <w:br/>
      </w:r>
      <w:r>
        <w:rPr>
          <w:rStyle w:val="DocumentationTok"/>
        </w:rPr>
        <w:t xml:space="preserve">##  [5] "spo2"           "vent"           "gcs_total"      "pupil"         </w:t>
      </w:r>
      <w:r>
        <w:br/>
      </w:r>
      <w:r>
        <w:rPr>
          <w:rStyle w:val="DocumentationTok"/>
        </w:rPr>
        <w:t xml:space="preserve">##  [9] "platelets"      "inr"            "d_dimer"        "fibrinogen"    </w:t>
      </w:r>
      <w:r>
        <w:br/>
      </w:r>
      <w:r>
        <w:rPr>
          <w:rStyle w:val="DocumentationTok"/>
        </w:rPr>
        <w:t xml:space="preserve">## [13] "dbp"            "sbp"            "lactate"        "dobutamine"    </w:t>
      </w:r>
      <w:r>
        <w:br/>
      </w:r>
      <w:r>
        <w:rPr>
          <w:rStyle w:val="DocumentationTok"/>
        </w:rPr>
        <w:t>## [17] "dopamine"       "epinephrine"    "milrinone"      "norepinephrine"</w:t>
      </w:r>
      <w:r>
        <w:br/>
      </w:r>
      <w:r>
        <w:rPr>
          <w:rStyle w:val="DocumentationTok"/>
        </w:rPr>
        <w:t xml:space="preserve">## [21] "vasopressin"    "glucose"        "anc"            "alc"           </w:t>
      </w:r>
      <w:r>
        <w:br/>
      </w:r>
      <w:r>
        <w:rPr>
          <w:rStyle w:val="DocumentationTok"/>
        </w:rPr>
        <w:t>## [25] "creatinine"     "bilirubin"      "alt"</w:t>
      </w:r>
      <w:bookmarkStart w:id="4" w:name="discussion"/>
      <w:bookmarkStart w:id="5" w:name="conclusions"/>
      <w:bookmarkEnd w:id="3"/>
    </w:p>
    <w:p w14:paraId="5E8D0C03" w14:textId="77777777" w:rsidR="00831864" w:rsidRDefault="00000000">
      <w:pPr>
        <w:pStyle w:val="Heading1"/>
      </w:pPr>
      <w:bookmarkStart w:id="6" w:name="references"/>
      <w:bookmarkEnd w:id="4"/>
      <w:bookmarkEnd w:id="5"/>
      <w:r>
        <w:t>References</w:t>
      </w:r>
    </w:p>
    <w:p w14:paraId="6412B105" w14:textId="77777777" w:rsidR="00831864" w:rsidRDefault="00000000">
      <w:pPr>
        <w:pStyle w:val="Bibliography"/>
      </w:pPr>
      <w:bookmarkStart w:id="7" w:name="ref-rudd_2020_global"/>
      <w:bookmarkStart w:id="8" w:name="refs"/>
      <w:r>
        <w:t xml:space="preserve">1 </w:t>
      </w:r>
      <w:r>
        <w:tab/>
        <w:t xml:space="preserve">Rudd KE, Johnson SC, Agesa KM, </w:t>
      </w:r>
      <w:r>
        <w:rPr>
          <w:i/>
          <w:iCs/>
        </w:rPr>
        <w:t>et al.</w:t>
      </w:r>
      <w:r>
        <w:t xml:space="preserve"> Global, regional, and national sepsis incidence and mortality, 1990–2017: Analysis for the global burden of disease study. </w:t>
      </w:r>
      <w:r>
        <w:rPr>
          <w:i/>
          <w:iCs/>
        </w:rPr>
        <w:t>The Lancet</w:t>
      </w:r>
      <w:r>
        <w:t>. 2020;395:200–11.</w:t>
      </w:r>
    </w:p>
    <w:p w14:paraId="3C1DF62B" w14:textId="77777777" w:rsidR="00831864" w:rsidRDefault="00000000">
      <w:pPr>
        <w:pStyle w:val="Bibliography"/>
      </w:pPr>
      <w:bookmarkStart w:id="9" w:name="ref-goldstein_2005_international"/>
      <w:bookmarkEnd w:id="7"/>
      <w:r>
        <w:t xml:space="preserve">2 </w:t>
      </w:r>
      <w:r>
        <w:tab/>
        <w:t xml:space="preserve">Goldstein B, Giroir B, Randolph A, </w:t>
      </w:r>
      <w:r>
        <w:rPr>
          <w:i/>
          <w:iCs/>
        </w:rPr>
        <w:t>et al.</w:t>
      </w:r>
      <w:r>
        <w:t xml:space="preserve"> International pediatric sepsis consensus conference: Definitions for sepsis and organ dysfunction in pediatrics. </w:t>
      </w:r>
      <w:r>
        <w:rPr>
          <w:i/>
          <w:iCs/>
        </w:rPr>
        <w:t>Pediatric critical care medicine</w:t>
      </w:r>
      <w:r>
        <w:t>. 2005;6:2–8.</w:t>
      </w:r>
    </w:p>
    <w:p w14:paraId="647991EE" w14:textId="77777777" w:rsidR="00831864" w:rsidRDefault="00000000">
      <w:pPr>
        <w:pStyle w:val="Bibliography"/>
      </w:pPr>
      <w:bookmarkStart w:id="10" w:name="ref-schlapbach_2024_international"/>
      <w:bookmarkEnd w:id="9"/>
      <w:r>
        <w:t xml:space="preserve">3 </w:t>
      </w:r>
      <w:r>
        <w:tab/>
        <w:t xml:space="preserve">Schlapbach LJ, Watson RS, Sorce LR, </w:t>
      </w:r>
      <w:r>
        <w:rPr>
          <w:i/>
          <w:iCs/>
        </w:rPr>
        <w:t>et al.</w:t>
      </w:r>
      <w:r>
        <w:t xml:space="preserve"> </w:t>
      </w:r>
      <w:hyperlink r:id="rId7">
        <w:r>
          <w:rPr>
            <w:rStyle w:val="Hyperlink"/>
          </w:rPr>
          <w:t>International Consensus Criteria for Pediatric Sepsis and Septic Shock</w:t>
        </w:r>
      </w:hyperlink>
      <w:r>
        <w:t xml:space="preserve">. </w:t>
      </w:r>
      <w:r>
        <w:rPr>
          <w:i/>
          <w:iCs/>
        </w:rPr>
        <w:t>JAMA</w:t>
      </w:r>
      <w:r>
        <w:t>. 2024;331:665–74.</w:t>
      </w:r>
    </w:p>
    <w:p w14:paraId="26E04E26" w14:textId="77777777" w:rsidR="00831864" w:rsidRDefault="00000000">
      <w:pPr>
        <w:pStyle w:val="Bibliography"/>
      </w:pPr>
      <w:bookmarkStart w:id="11" w:name="ref-sanchezpinto_2024_development"/>
      <w:bookmarkEnd w:id="10"/>
      <w:r>
        <w:t xml:space="preserve">4 </w:t>
      </w:r>
      <w:r>
        <w:tab/>
        <w:t xml:space="preserve">Sanchez-Pinto LN, Bennett TD, DeWitt PE, </w:t>
      </w:r>
      <w:r>
        <w:rPr>
          <w:i/>
          <w:iCs/>
        </w:rPr>
        <w:t>et al.</w:t>
      </w:r>
      <w:r>
        <w:t xml:space="preserve"> </w:t>
      </w:r>
      <w:hyperlink r:id="rId8">
        <w:r>
          <w:rPr>
            <w:rStyle w:val="Hyperlink"/>
          </w:rPr>
          <w:t>Development and Validation of the Phoenix Criteria for Pediatric Sepsis and Septic Shock</w:t>
        </w:r>
      </w:hyperlink>
      <w:r>
        <w:t xml:space="preserve">. </w:t>
      </w:r>
      <w:r>
        <w:rPr>
          <w:i/>
          <w:iCs/>
        </w:rPr>
        <w:t>JAMA</w:t>
      </w:r>
      <w:r>
        <w:t>. 2024;331:675–86.</w:t>
      </w:r>
    </w:p>
    <w:p w14:paraId="0622D6DC" w14:textId="77777777" w:rsidR="00831864" w:rsidRDefault="00000000">
      <w:pPr>
        <w:pStyle w:val="Bibliography"/>
      </w:pPr>
      <w:bookmarkStart w:id="12" w:name="ref-seymour2016assessment"/>
      <w:bookmarkEnd w:id="11"/>
      <w:r>
        <w:t xml:space="preserve">5 </w:t>
      </w:r>
      <w:r>
        <w:tab/>
        <w:t xml:space="preserve">Seymour CW, Liu VX, Iwashyna TJ, </w:t>
      </w:r>
      <w:r>
        <w:rPr>
          <w:i/>
          <w:iCs/>
        </w:rPr>
        <w:t>et al.</w:t>
      </w:r>
      <w:r>
        <w:t xml:space="preserve"> Assessment of clinical criteria for sepsis: For the third international consensus definitions for sepsis and septic shock (sepsis-3). </w:t>
      </w:r>
      <w:r>
        <w:rPr>
          <w:i/>
          <w:iCs/>
        </w:rPr>
        <w:t>Jama</w:t>
      </w:r>
      <w:r>
        <w:t>. 2016;315:762–74.</w:t>
      </w:r>
    </w:p>
    <w:p w14:paraId="01995B3E" w14:textId="77777777" w:rsidR="00831864" w:rsidRDefault="00000000">
      <w:pPr>
        <w:pStyle w:val="Bibliography"/>
      </w:pPr>
      <w:bookmarkStart w:id="13" w:name="ref-singer2016third"/>
      <w:bookmarkEnd w:id="12"/>
      <w:r>
        <w:t xml:space="preserve">6 </w:t>
      </w:r>
      <w:r>
        <w:tab/>
        <w:t xml:space="preserve">Singer M, Deutschman CS, Seymour CW, </w:t>
      </w:r>
      <w:r>
        <w:rPr>
          <w:i/>
          <w:iCs/>
        </w:rPr>
        <w:t>et al.</w:t>
      </w:r>
      <w:r>
        <w:t xml:space="preserve"> The third international consensus definitions for sepsis and septic shock (sepsis-3). </w:t>
      </w:r>
      <w:r>
        <w:rPr>
          <w:i/>
          <w:iCs/>
        </w:rPr>
        <w:t>Jama</w:t>
      </w:r>
      <w:r>
        <w:t>. 2016;315:801–10.</w:t>
      </w:r>
    </w:p>
    <w:p w14:paraId="734DF82B" w14:textId="77777777" w:rsidR="00831864" w:rsidRDefault="00000000">
      <w:pPr>
        <w:pStyle w:val="Bibliography"/>
      </w:pPr>
      <w:bookmarkStart w:id="14" w:name="ref-jabornisky2024transitioning"/>
      <w:bookmarkEnd w:id="13"/>
      <w:r>
        <w:lastRenderedPageBreak/>
        <w:t xml:space="preserve">7 </w:t>
      </w:r>
      <w:r>
        <w:tab/>
        <w:t xml:space="preserve">Jabornisky R, Kuppermann N, González-Dambrauskas S. Transitioning from SIRS to phoenix with the updated pediatric sepsis criteria: The difficult task of simplifying the complex. </w:t>
      </w:r>
      <w:r>
        <w:rPr>
          <w:i/>
          <w:iCs/>
        </w:rPr>
        <w:t>JAMA</w:t>
      </w:r>
      <w:r>
        <w:t>. 2024.</w:t>
      </w:r>
    </w:p>
    <w:p w14:paraId="11366EA1" w14:textId="77777777" w:rsidR="00831864" w:rsidRDefault="00000000">
      <w:pPr>
        <w:pStyle w:val="Bibliography"/>
      </w:pPr>
      <w:bookmarkStart w:id="15" w:name="ref-barker_2022_introducing"/>
      <w:bookmarkEnd w:id="14"/>
      <w:r>
        <w:t xml:space="preserve">8 </w:t>
      </w:r>
      <w:r>
        <w:tab/>
        <w:t xml:space="preserve">Barker M, Chue Hong NP, Katz DS, </w:t>
      </w:r>
      <w:r>
        <w:rPr>
          <w:i/>
          <w:iCs/>
        </w:rPr>
        <w:t>et al.</w:t>
      </w:r>
      <w:r>
        <w:t xml:space="preserve"> Introducing the FAIR principles for research software. </w:t>
      </w:r>
      <w:r>
        <w:rPr>
          <w:i/>
          <w:iCs/>
        </w:rPr>
        <w:t>Scientific Data</w:t>
      </w:r>
      <w:r>
        <w:t>. 2022;9:622.</w:t>
      </w:r>
      <w:bookmarkEnd w:id="6"/>
      <w:bookmarkEnd w:id="8"/>
      <w:bookmarkEnd w:id="15"/>
    </w:p>
    <w:sectPr w:rsidR="008318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A7E0" w14:textId="77777777" w:rsidR="00191F0F" w:rsidRDefault="00191F0F">
      <w:pPr>
        <w:spacing w:after="0"/>
      </w:pPr>
      <w:r>
        <w:separator/>
      </w:r>
    </w:p>
  </w:endnote>
  <w:endnote w:type="continuationSeparator" w:id="0">
    <w:p w14:paraId="1A827221" w14:textId="77777777" w:rsidR="00191F0F" w:rsidRDefault="00191F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D2DBB" w14:textId="77777777" w:rsidR="00191F0F" w:rsidRDefault="00191F0F">
      <w:r>
        <w:separator/>
      </w:r>
    </w:p>
  </w:footnote>
  <w:footnote w:type="continuationSeparator" w:id="0">
    <w:p w14:paraId="43749558" w14:textId="77777777" w:rsidR="00191F0F" w:rsidRDefault="00191F0F">
      <w:r>
        <w:continuationSeparator/>
      </w:r>
    </w:p>
  </w:footnote>
  <w:footnote w:id="1">
    <w:p w14:paraId="741E33F2" w14:textId="77777777" w:rsidR="00831864" w:rsidRDefault="00000000">
      <w:pPr>
        <w:pStyle w:val="FootnoteText"/>
      </w:pPr>
      <w:r>
        <w:rPr>
          <w:rStyle w:val="FootnoteReference"/>
        </w:rPr>
        <w:footnoteRef/>
      </w:r>
      <w:r>
        <w:t xml:space="preserve"> Abbreviations: ALC: Absolute lymphocyte count; ALT: alanine aminotransferase; ANC: Absolute neutrophil count; FEU: fibrinogen equivalent units; FiO</w:t>
      </w:r>
      <w:r>
        <w:rPr>
          <w:vertAlign w:val="subscript"/>
        </w:rPr>
        <w:t>2</w:t>
      </w:r>
      <w:r>
        <w:t>: fraction of inspired oxygen; GCS: Glasgow Coma Score; IMV: invasive mechanical ventilation; INR: International normalized ratio; MAP: mean arterial pressure; PaO</w:t>
      </w:r>
      <w:r>
        <w:rPr>
          <w:vertAlign w:val="subscript"/>
        </w:rPr>
        <w:t>2</w:t>
      </w:r>
      <w:r>
        <w:t>: arterial oxygen pressure; SpO</w:t>
      </w:r>
      <w:r>
        <w:rPr>
          <w:vertAlign w:val="subscript"/>
        </w:rPr>
        <w:t>2</w:t>
      </w:r>
      <w:r>
        <w:t>: pulse oximetry oxygen saturation;</w:t>
      </w:r>
    </w:p>
  </w:footnote>
  <w:footnote w:id="2">
    <w:p w14:paraId="45BBC6B2" w14:textId="77777777" w:rsidR="00831864" w:rsidRDefault="00000000">
      <w:pPr>
        <w:pStyle w:val="FootnoteText"/>
      </w:pPr>
      <w:r>
        <w:rPr>
          <w:rStyle w:val="FootnoteReference"/>
        </w:rPr>
        <w:footnoteRef/>
      </w:r>
      <w:r>
        <w:t xml:space="preserve"> SpO</w:t>
      </w:r>
      <w:r>
        <w:rPr>
          <w:vertAlign w:val="subscript"/>
        </w:rPr>
        <w:t>2</w:t>
      </w:r>
      <w:r>
        <w:t>:FiO</w:t>
      </w:r>
      <w:r>
        <w:rPr>
          <w:vertAlign w:val="subscript"/>
        </w:rPr>
        <w:t>2</w:t>
      </w:r>
      <w:r>
        <w:t xml:space="preserve"> is only valid when SpO</w:t>
      </w:r>
      <w:r>
        <w:rPr>
          <w:vertAlign w:val="subscript"/>
        </w:rPr>
        <w:t>2</w:t>
      </w:r>
      <w:r>
        <w:t xml:space="preserve"> ≤ 97.</w:t>
      </w:r>
    </w:p>
  </w:footnote>
  <w:footnote w:id="3">
    <w:p w14:paraId="4FC27733" w14:textId="77777777" w:rsidR="00831864" w:rsidRDefault="00000000">
      <w:pPr>
        <w:pStyle w:val="FootnoteText"/>
      </w:pPr>
      <w:r>
        <w:rPr>
          <w:rStyle w:val="FootnoteReference"/>
        </w:rPr>
        <w:footnoteRef/>
      </w:r>
      <w:r>
        <w:t xml:space="preserve"> Vasoactive medications: any systemic dose of dobutamine, dopamine, epinephrine, milrinone, norepinephrine, and/or vasopressin.</w:t>
      </w:r>
    </w:p>
  </w:footnote>
  <w:footnote w:id="4">
    <w:p w14:paraId="7263C5E0" w14:textId="77777777" w:rsidR="00831864" w:rsidRDefault="00000000">
      <w:pPr>
        <w:pStyle w:val="FootnoteText"/>
      </w:pPr>
      <w:r>
        <w:rPr>
          <w:rStyle w:val="FootnoteReference"/>
        </w:rPr>
        <w:footnoteRef/>
      </w:r>
      <w:r>
        <w:t xml:space="preserve"> Lactate can be arterial or venous. Reference range 0.5 - 2.2 mmol/L</w:t>
      </w:r>
    </w:p>
  </w:footnote>
  <w:footnote w:id="5">
    <w:p w14:paraId="78AB2738" w14:textId="77777777" w:rsidR="00831864" w:rsidRDefault="00000000">
      <w:pPr>
        <w:pStyle w:val="FootnoteText"/>
      </w:pPr>
      <w:r>
        <w:rPr>
          <w:rStyle w:val="FootnoteReference"/>
        </w:rPr>
        <w:footnoteRef/>
      </w:r>
      <w:r>
        <w:t xml:space="preserve"> The verbosity of this table is greater than in the tables in the original source publications.[3,4] The inequalities reported in this table, and the specific values reported in this table, reflect how the criteria is implemented in software whereas the source publications reported tables consistent with clinical practice. A couple notable differences. 1 cardiovascular point is reached for a lactate value of “5-10.9 mmol/L” and 2 points for lactate ≥ 11 mmol/L.[3,4] There is an implication of rounding lactate to one decimal place and assessing the criteria. The software simplifies the work by considering lactate values to be a floating point value that could take on any real value and thus the logic of “5 ≤ lactate &lt; 11” for 1 point. Additionally, for MAP, the criteria listed in this table is consistent with common clinical practice of interpreting MAP as integer values. The criteria listed in this table is used with the assumption that MAP values are floating point values.</w:t>
      </w:r>
    </w:p>
  </w:footnote>
  <w:footnote w:id="6">
    <w:p w14:paraId="590C917E" w14:textId="77777777" w:rsidR="00831864" w:rsidRDefault="00000000">
      <w:pPr>
        <w:pStyle w:val="FootnoteText"/>
      </w:pPr>
      <w:r>
        <w:rPr>
          <w:rStyle w:val="FootnoteReference"/>
        </w:rPr>
        <w:footnoteRef/>
      </w:r>
      <w:r>
        <w:t xml:space="preserve"> Age: measured in months and is not adjusted for prematurity.</w:t>
      </w:r>
    </w:p>
  </w:footnote>
  <w:footnote w:id="7">
    <w:p w14:paraId="52367C3E" w14:textId="77777777" w:rsidR="00831864" w:rsidRDefault="00000000">
      <w:pPr>
        <w:pStyle w:val="FootnoteText"/>
      </w:pPr>
      <w:r>
        <w:rPr>
          <w:rStyle w:val="FootnoteReference"/>
        </w:rPr>
        <w:footnoteRef/>
      </w:r>
      <w:r>
        <w:t xml:space="preserve"> MAP - Use measured mean arterial pressure preferentially (invasive arterial if available, or non-invasive oscillometric), alternatively use the calculation diastolic + (systolic - diastolic) / 3</w:t>
      </w:r>
    </w:p>
  </w:footnote>
  <w:footnote w:id="8">
    <w:p w14:paraId="0F493ED4" w14:textId="77777777" w:rsidR="00831864" w:rsidRDefault="00000000">
      <w:pPr>
        <w:pStyle w:val="FootnoteText"/>
      </w:pPr>
      <w:r>
        <w:rPr>
          <w:rStyle w:val="FootnoteReference"/>
        </w:rPr>
        <w:footnoteRef/>
      </w:r>
      <w:r>
        <w:t xml:space="preserve"> Coagulation variable reference ranges: platelets, 150-450 103/μL; D-dimer, &lt; 0.5 mg/L FEU; fibrinogen, 180-410 mg/dL. International normalized ratio reference range is based on local reference prothrombin time.</w:t>
      </w:r>
    </w:p>
  </w:footnote>
  <w:footnote w:id="9">
    <w:p w14:paraId="07FBF880" w14:textId="77777777" w:rsidR="00831864" w:rsidRDefault="00000000">
      <w:pPr>
        <w:pStyle w:val="FootnoteText"/>
      </w:pPr>
      <w:r>
        <w:rPr>
          <w:rStyle w:val="FootnoteReference"/>
        </w:rPr>
        <w:footnoteRef/>
      </w:r>
      <w:r>
        <w:t xml:space="preserve"> Neurologic dysfunction scoring was pragmatically validated in both sedated and on sedated patients and those with and without IMV.</w:t>
      </w:r>
    </w:p>
  </w:footnote>
  <w:footnote w:id="10">
    <w:p w14:paraId="687903CA" w14:textId="77777777" w:rsidR="00831864" w:rsidRDefault="00000000">
      <w:pPr>
        <w:pStyle w:val="FootnoteText"/>
      </w:pPr>
      <w:r>
        <w:rPr>
          <w:rStyle w:val="FootnoteReference"/>
        </w:rPr>
        <w:footnoteRef/>
      </w:r>
      <w:r>
        <w:t xml:space="preserve"> GCS measures level of consciousness based on verbal, eye, and motor response. Values are integers from 3 to 15 with higher scores indicating better neurologic function.</w:t>
      </w:r>
    </w:p>
  </w:footnote>
  <w:footnote w:id="11">
    <w:p w14:paraId="05934C8E" w14:textId="77777777" w:rsidR="00831864" w:rsidRDefault="00000000">
      <w:pPr>
        <w:pStyle w:val="FootnoteText"/>
      </w:pPr>
      <w:r>
        <w:rPr>
          <w:rStyle w:val="FootnoteReference"/>
        </w:rPr>
        <w:footnoteRef/>
      </w:r>
      <w:r>
        <w:t xml:space="preserve"> Age: measured in months and is not adjusted for prematurity.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2228F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82423327">
    <w:abstractNumId w:val="0"/>
  </w:num>
  <w:num w:numId="2" w16cid:durableId="6044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864"/>
    <w:rsid w:val="00191F0F"/>
    <w:rsid w:val="00482725"/>
    <w:rsid w:val="004D3188"/>
    <w:rsid w:val="00531417"/>
    <w:rsid w:val="00831864"/>
    <w:rsid w:val="009461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A2F37"/>
  <w15:docId w15:val="{DD4EF18D-E8E1-A94A-9AD8-3F8A117D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22F5D"/>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EC0F94"/>
    <w:pPr>
      <w:spacing w:before="36" w:after="36" w:line="24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531417"/>
    <w:rPr>
      <w:sz w:val="20"/>
    </w:rPr>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1/jama.2024.0196" TargetMode="External"/><Relationship Id="rId3" Type="http://schemas.openxmlformats.org/officeDocument/2006/relationships/settings" Target="settings.xml"/><Relationship Id="rId7" Type="http://schemas.openxmlformats.org/officeDocument/2006/relationships/hyperlink" Target="https://doi.org/10.1001/jama.2024.01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R package and Python module for calculating the Phoenix Pediatric Sepsis Score and Criteria</dc:title>
  <dc:creator/>
  <cp:keywords/>
  <cp:lastModifiedBy>DeWitt, Peter</cp:lastModifiedBy>
  <cp:revision>3</cp:revision>
  <dcterms:created xsi:type="dcterms:W3CDTF">2024-05-20T16:52:00Z</dcterms:created>
  <dcterms:modified xsi:type="dcterms:W3CDTF">2024-05-20T16:57:00Z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jamia.csl</vt:lpwstr>
  </property>
  <property fmtid="{D5CDD505-2E9C-101B-9397-08002B2CF9AE}" pid="5" name="fig-cap-location">
    <vt:lpwstr>top</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