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p>
    <w:p>
      <w:pPr>
        <w:spacing w:after="80" w:before="0"/>
        <w:jc w:val="center"/>
      </w:pPr>
      <w:r>
        <w:rPr>
          <w:rFonts w:ascii="Calibri" w:cs="Calibri" w:eastAsia="Calibri" w:hAnsi="Calibri"/>
          <w:b/>
          <w:bCs/>
          <w:caps/>
          <w:color w:val="6C757D"/>
          <w:sz w:val="20"/>
          <w:szCs w:val="20"/>
        </w:rPr>
        <w:t xml:space="preserve">BITFARMA  ·  STRATEGIC CONSULTING REPORT  ·  2026</w:t>
      </w:r>
    </w:p>
    <w:p>
      <w:pPr>
        <w:spacing w:after="80" w:before="0"/>
        <w:jc w:val="center"/>
      </w:pPr>
      <w:r>
        <w:rPr>
          <w:rFonts w:ascii="Calibri" w:cs="Calibri" w:eastAsia="Calibri" w:hAnsi="Calibri"/>
          <w:i/>
          <w:iCs/>
          <w:color w:val="1E6DB4"/>
          <w:sz w:val="24"/>
          <w:szCs w:val="24"/>
        </w:rPr>
        <w:t xml:space="preserve">Response to Judges' Panel Observations</w:t>
      </w:r>
    </w:p>
    <w:p>
      <w:pPr>
        <w:spacing w:after="80" w:before="0"/>
      </w:pPr>
    </w:p>
    <w:p>
      <w:pPr>
        <w:pBdr>
          <w:top w:val="single" w:color="E87722" w:sz="8" w:space="1"/>
          <w:bottom w:val="single" w:color="E87722" w:sz="8" w:space="1"/>
        </w:pBdr>
        <w:spacing w:after="120" w:before="120"/>
        <w:jc w:val="center"/>
      </w:pPr>
      <w:r>
        <w:rPr>
          <w:rFonts w:ascii="Calibri" w:cs="Calibri" w:eastAsia="Calibri" w:hAnsi="Calibri"/>
          <w:b/>
          <w:bCs/>
          <w:color w:val="0D1B3E"/>
          <w:sz w:val="46"/>
          <w:szCs w:val="46"/>
        </w:rPr>
        <w:t xml:space="preserve">Trust, Security &amp; Communication Roadmap</w:t>
      </w:r>
    </w:p>
    <w:p>
      <w:pPr>
        <w:spacing w:after="80" w:before="0"/>
      </w:pPr>
    </w:p>
    <w:p>
      <w:pPr>
        <w:spacing w:after="80" w:before="0"/>
        <w:jc w:val="center"/>
      </w:pPr>
      <w:r>
        <w:rPr>
          <w:rFonts w:ascii="Calibri" w:cs="Calibri" w:eastAsia="Calibri" w:hAnsi="Calibri"/>
          <w:i/>
          <w:iCs/>
          <w:color w:val="1A2F5E"/>
          <w:sz w:val="20"/>
          <w:szCs w:val="20"/>
        </w:rPr>
        <w:t xml:space="preserve">Prescription Validation · Duplicate Detection · Database Security · Doctor Integration · Patient Communication</w:t>
      </w:r>
    </w:p>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8FF" w:val="clear"/>
            <w:tcMar>
              <w:top w:type="dxa" w:w="120"/>
              <w:left w:type="dxa" w:w="200"/>
              <w:bottom w:type="dxa" w:w="120"/>
              <w:right w:type="dxa" w:w="200"/>
            </w:tcMar>
          </w:tcPr>
          <w:p>
            <w:pPr>
              <w:spacing w:after="20" w:before="0"/>
            </w:pPr>
            <w:r>
              <w:rPr>
                <w:rFonts w:ascii="Calibri" w:cs="Calibri" w:eastAsia="Calibri" w:hAnsi="Calibri"/>
                <w:b/>
                <w:bCs/>
                <w:color w:val="0D1B3E"/>
                <w:sz w:val="20"/>
                <w:szCs w:val="20"/>
              </w:rPr>
              <w:t xml:space="preserve">Issue 1</w:t>
            </w:r>
          </w:p>
          <w:p>
            <w:pPr>
              <w:spacing w:after="0" w:before="0"/>
            </w:pPr>
            <w:r>
              <w:rPr>
                <w:rFonts w:ascii="Calibri" w:cs="Calibri" w:eastAsia="Calibri" w:hAnsi="Calibri"/>
                <w:i/>
                <w:iCs/>
                <w:color w:val="6C757D"/>
                <w:sz w:val="18"/>
                <w:szCs w:val="18"/>
              </w:rPr>
              <w:t xml:space="preserve">Prescription fraud detection &amp; validation</w:t>
            </w:r>
          </w:p>
        </w:tc>
        <w:tc>
          <w:tcPr>
            <w:tcW w:type="dxa" w:w="4680"/>
            <w:tcBorders>
              <w:top w:val="single" w:color="DDDDDD" w:sz="1"/>
              <w:left w:val="single" w:color="DDDDDD" w:sz="1"/>
              <w:bottom w:val="single" w:color="DDDDDD" w:sz="1"/>
              <w:right w:val="single" w:color="DDDDDD" w:sz="1"/>
            </w:tcBorders>
            <w:shd w:fill="F5F8FF" w:val="clear"/>
            <w:tcMar>
              <w:top w:type="dxa" w:w="120"/>
              <w:left w:type="dxa" w:w="200"/>
              <w:bottom w:type="dxa" w:w="120"/>
              <w:right w:type="dxa" w:w="200"/>
            </w:tcMar>
          </w:tcPr>
          <w:p>
            <w:pPr>
              <w:spacing w:after="20" w:before="0"/>
            </w:pPr>
            <w:r>
              <w:rPr>
                <w:rFonts w:ascii="Calibri" w:cs="Calibri" w:eastAsia="Calibri" w:hAnsi="Calibri"/>
                <w:b/>
                <w:bCs/>
                <w:color w:val="0D1B3E"/>
                <w:sz w:val="20"/>
                <w:szCs w:val="20"/>
              </w:rPr>
              <w:t xml:space="preserve">Issue 2</w:t>
            </w:r>
          </w:p>
          <w:p>
            <w:pPr>
              <w:spacing w:after="0" w:before="0"/>
            </w:pPr>
            <w:r>
              <w:rPr>
                <w:rFonts w:ascii="Calibri" w:cs="Calibri" w:eastAsia="Calibri" w:hAnsi="Calibri"/>
                <w:i/>
                <w:iCs/>
                <w:color w:val="6C757D"/>
                <w:sz w:val="18"/>
                <w:szCs w:val="18"/>
              </w:rPr>
              <w:t xml:space="preserve">Duplicate / repeated prescription uploads</w:t>
            </w:r>
          </w:p>
        </w:tc>
      </w:tr>
      <w:tr>
        <w:tc>
          <w:tcPr>
            <w:tcW w:type="dxa" w:w="4680"/>
            <w:tcBorders>
              <w:top w:val="single" w:color="DDDDDD" w:sz="1"/>
              <w:left w:val="single" w:color="DDDDDD" w:sz="1"/>
              <w:bottom w:val="single" w:color="DDDDDD" w:sz="1"/>
              <w:right w:val="single" w:color="DDDDDD" w:sz="1"/>
            </w:tcBorders>
            <w:shd w:fill="F5F8FF" w:val="clear"/>
            <w:tcMar>
              <w:top w:type="dxa" w:w="120"/>
              <w:left w:type="dxa" w:w="200"/>
              <w:bottom w:type="dxa" w:w="120"/>
              <w:right w:type="dxa" w:w="200"/>
            </w:tcMar>
          </w:tcPr>
          <w:p>
            <w:pPr>
              <w:spacing w:after="20" w:before="0"/>
            </w:pPr>
            <w:r>
              <w:rPr>
                <w:rFonts w:ascii="Calibri" w:cs="Calibri" w:eastAsia="Calibri" w:hAnsi="Calibri"/>
                <w:b/>
                <w:bCs/>
                <w:color w:val="0D1B3E"/>
                <w:sz w:val="20"/>
                <w:szCs w:val="20"/>
              </w:rPr>
              <w:t xml:space="preserve">Issue 3</w:t>
            </w:r>
          </w:p>
          <w:p>
            <w:pPr>
              <w:spacing w:after="0" w:before="0"/>
            </w:pPr>
            <w:r>
              <w:rPr>
                <w:rFonts w:ascii="Calibri" w:cs="Calibri" w:eastAsia="Calibri" w:hAnsi="Calibri"/>
                <w:i/>
                <w:iCs/>
                <w:color w:val="6C757D"/>
                <w:sz w:val="18"/>
                <w:szCs w:val="18"/>
              </w:rPr>
              <w:t xml:space="preserve">Patient database security architecture</w:t>
            </w:r>
          </w:p>
        </w:tc>
        <w:tc>
          <w:tcPr>
            <w:tcW w:type="dxa" w:w="4680"/>
            <w:tcBorders>
              <w:top w:val="single" w:color="DDDDDD" w:sz="1"/>
              <w:left w:val="single" w:color="DDDDDD" w:sz="1"/>
              <w:bottom w:val="single" w:color="DDDDDD" w:sz="1"/>
              <w:right w:val="single" w:color="DDDDDD" w:sz="1"/>
            </w:tcBorders>
            <w:shd w:fill="F5F8FF" w:val="clear"/>
            <w:tcMar>
              <w:top w:type="dxa" w:w="120"/>
              <w:left w:type="dxa" w:w="200"/>
              <w:bottom w:type="dxa" w:w="120"/>
              <w:right w:type="dxa" w:w="200"/>
            </w:tcMar>
          </w:tcPr>
          <w:p>
            <w:pPr>
              <w:spacing w:after="20" w:before="0"/>
            </w:pPr>
            <w:r>
              <w:rPr>
                <w:rFonts w:ascii="Calibri" w:cs="Calibri" w:eastAsia="Calibri" w:hAnsi="Calibri"/>
                <w:b/>
                <w:bCs/>
                <w:color w:val="0D1B3E"/>
                <w:sz w:val="20"/>
                <w:szCs w:val="20"/>
              </w:rPr>
              <w:t xml:space="preserve">Issue 4</w:t>
            </w:r>
          </w:p>
          <w:p>
            <w:pPr>
              <w:spacing w:after="0" w:before="0"/>
            </w:pPr>
            <w:r>
              <w:rPr>
                <w:rFonts w:ascii="Calibri" w:cs="Calibri" w:eastAsia="Calibri" w:hAnsi="Calibri"/>
                <w:i/>
                <w:iCs/>
                <w:color w:val="6C757D"/>
                <w:sz w:val="18"/>
                <w:szCs w:val="18"/>
              </w:rPr>
              <w:t xml:space="preserve">Direct doctor-to-pharmacy e-prescribing</w:t>
            </w:r>
          </w:p>
        </w:tc>
      </w:tr>
      <w:tr>
        <w:tc>
          <w:tcPr>
            <w:tcW w:type="dxa" w:w="9360"/>
            <w:gridSpan w:val="2"/>
            <w:tcBorders>
              <w:top w:val="single" w:color="E87722" w:sz="1"/>
              <w:left w:val="single" w:color="E87722" w:sz="1"/>
              <w:bottom w:val="single" w:color="E87722" w:sz="1"/>
              <w:right w:val="single" w:color="E87722" w:sz="1"/>
            </w:tcBorders>
            <w:shd w:fill="FFF3E8" w:val="clear"/>
            <w:tcMar>
              <w:top w:type="dxa" w:w="120"/>
              <w:left w:type="dxa" w:w="200"/>
              <w:bottom w:type="dxa" w:w="120"/>
              <w:right w:type="dxa" w:w="200"/>
            </w:tcMar>
          </w:tcPr>
          <w:p>
            <w:pPr>
              <w:spacing w:after="20" w:before="0"/>
            </w:pPr>
            <w:r>
              <w:rPr>
                <w:rFonts w:ascii="Calibri" w:cs="Calibri" w:eastAsia="Calibri" w:hAnsi="Calibri"/>
                <w:b/>
                <w:bCs/>
                <w:color w:val="E87722"/>
                <w:sz w:val="20"/>
                <w:szCs w:val="20"/>
              </w:rPr>
              <w:t xml:space="preserve">Issue 5</w:t>
            </w:r>
          </w:p>
          <w:p>
            <w:pPr>
              <w:spacing w:after="0" w:before="0"/>
            </w:pPr>
            <w:r>
              <w:rPr>
                <w:rFonts w:ascii="Calibri" w:cs="Calibri" w:eastAsia="Calibri" w:hAnsi="Calibri"/>
                <w:i/>
                <w:iCs/>
                <w:color w:val="885500"/>
                <w:sz w:val="18"/>
                <w:szCs w:val="18"/>
              </w:rPr>
              <w:t xml:space="preserve">Patient communication channels — beyond WhatsApp</w:t>
            </w:r>
          </w:p>
        </w:tc>
      </w:tr>
    </w:tbl>
    <w:p>
      <w:pPr>
        <w:spacing w:after="280" w:before="0"/>
      </w:pPr>
    </w:p>
    <w:p>
      <w:pPr>
        <w:spacing w:after="140" w:before="0" w:line="360"/>
        <w:jc w:val="center"/>
      </w:pPr>
      <w:r>
        <w:rPr>
          <w:rFonts w:ascii="Calibri" w:cs="Calibri" w:eastAsia="Calibri" w:hAnsi="Calibri"/>
          <w:b w:val="false"/>
          <w:bCs w:val="false"/>
          <w:i/>
          <w:iCs/>
          <w:color w:val="6C757D"/>
          <w:sz w:val="22"/>
          <w:szCs w:val="22"/>
        </w:rPr>
        <w:t xml:space="preserve">Prepared for the BitFarma Founding Team  ·  Cubo+ Program  ·  El Salvador  ·  2026</w:t>
      </w:r>
    </w:p>
    <w:p>
      <w:r>
        <w:br w:type="page"/>
      </w:r>
    </w:p>
    <w:p>
      <w:pPr>
        <w:pStyle w:val="Heading1"/>
        <w:spacing w:after="120" w:before="400"/>
      </w:pPr>
      <w:r>
        <w:rPr>
          <w:rFonts w:ascii="Calibri" w:cs="Calibri" w:eastAsia="Calibri" w:hAnsi="Calibri"/>
          <w:b/>
          <w:bCs/>
          <w:color w:val="0D1B3E"/>
          <w:sz w:val="34"/>
          <w:szCs w:val="34"/>
        </w:rPr>
        <w:t xml:space="preserve">Executive Summary</w:t>
      </w:r>
    </w:p>
    <w:p>
      <w:pPr>
        <w:pBdr>
          <w:bottom w:val="single" w:color="E87722" w:sz="8" w:space="1"/>
        </w:pBdr>
        <w:spacing w:after="160" w:before="0"/>
      </w:pPr>
    </w:p>
    <w:p>
      <w:pPr>
        <w:spacing w:after="140" w:before="0" w:line="360"/>
        <w:jc w:val="both"/>
      </w:pPr>
      <w:r>
        <w:rPr>
          <w:rFonts w:ascii="Calibri" w:cs="Calibri" w:eastAsia="Calibri" w:hAnsi="Calibri"/>
          <w:b w:val="false"/>
          <w:bCs w:val="false"/>
          <w:i w:val="false"/>
          <w:iCs w:val="false"/>
          <w:color w:val="1A1A2E"/>
          <w:sz w:val="22"/>
          <w:szCs w:val="22"/>
        </w:rPr>
        <w:t xml:space="preserve">During the graduation presentation, the judges' panel raised five substantive questions that go to the heart of BitFarma's operational trust model: how prescriptions are validated, how duplicate or fraudulent submissions are prevented, how patient data is secured, how the prescriber relationship could be made more direct, and how patient communication can be strengthened beyond what was demonstrated.</w:t>
      </w:r>
    </w:p>
    <w:p>
      <w:pPr>
        <w:spacing w:after="140" w:before="0" w:line="360"/>
        <w:jc w:val="both"/>
      </w:pPr>
      <w:r>
        <w:rPr>
          <w:rFonts w:ascii="Calibri" w:cs="Calibri" w:eastAsia="Calibri" w:hAnsi="Calibri"/>
          <w:b w:val="false"/>
          <w:bCs w:val="false"/>
          <w:i w:val="false"/>
          <w:iCs w:val="false"/>
          <w:color w:val="1A1A2E"/>
          <w:sz w:val="22"/>
          <w:szCs w:val="22"/>
        </w:rPr>
        <w:t xml:space="preserve">These are not minor product-polish questions — they are the exact questions a serious investor, a regulator, or an enterprise partner would ask before trusting BitFarma with real patient data and real Bitcoin transactions. This report treats each observation as a design requirement and proposes a concrete, implementable solution, informed by current best practices in e-prescribing, pharmacy fraud control, healthcare data security, and patient engagement technology in Latin America.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60"/>
        <w:gridCol w:w="3900"/>
      </w:tblGrid>
      <w:tr>
        <w:tc>
          <w:tcPr>
            <w:tcW w:type="dxa" w:w="7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w:t>
            </w:r>
          </w:p>
        </w:tc>
        <w:tc>
          <w:tcPr>
            <w:tcW w:type="dxa" w:w="476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Issue Raised</w:t>
            </w:r>
          </w:p>
        </w:tc>
        <w:tc>
          <w:tcPr>
            <w:tcW w:type="dxa" w:w="39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Recommended Direction</w:t>
            </w:r>
          </w:p>
        </w:tc>
      </w:tr>
      <w:tr>
        <w:tc>
          <w:tcPr>
            <w:tcW w:type="dxa" w:w="7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1</w:t>
            </w:r>
          </w:p>
        </w:tc>
        <w:tc>
          <w:tcPr>
            <w:tcW w:type="dxa" w:w="47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How do we detect a fake prescription?</w:t>
            </w:r>
          </w:p>
        </w:tc>
        <w:tc>
          <w:tcPr>
            <w:tcW w:type="dxa" w:w="39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Tiered verification: pharmacist visual review + doctor registry + optional e-prescribing</w:t>
            </w:r>
          </w:p>
        </w:tc>
      </w:tr>
      <w:tr>
        <w:tc>
          <w:tcPr>
            <w:tcW w:type="dxa" w:w="7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2</w:t>
            </w:r>
          </w:p>
        </w:tc>
        <w:tc>
          <w:tcPr>
            <w:tcW w:type="dxa" w:w="47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How do we prevent duplicate / repeated medication requests?</w:t>
            </w:r>
          </w:p>
        </w:tc>
        <w:tc>
          <w:tcPr>
            <w:tcW w:type="dxa" w:w="39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Rule-based dispensing engine: refill windows by drug class (OTC, chronic, antibiotic)</w:t>
            </w:r>
          </w:p>
        </w:tc>
      </w:tr>
      <w:tr>
        <w:tc>
          <w:tcPr>
            <w:tcW w:type="dxa" w:w="7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3</w:t>
            </w:r>
          </w:p>
        </w:tc>
        <w:tc>
          <w:tcPr>
            <w:tcW w:type="dxa" w:w="47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How do we secure patient data?</w:t>
            </w:r>
          </w:p>
        </w:tc>
        <w:tc>
          <w:tcPr>
            <w:tcW w:type="dxa" w:w="39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PostgreSQL + encryption at rest/in transit + managed BaaS with BAA-equivalent, evolving to dedicated server</w:t>
            </w:r>
          </w:p>
        </w:tc>
      </w:tr>
      <w:tr>
        <w:tc>
          <w:tcPr>
            <w:tcW w:type="dxa" w:w="7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4</w:t>
            </w:r>
          </w:p>
        </w:tc>
        <w:tc>
          <w:tcPr>
            <w:tcW w:type="dxa" w:w="47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How can doctors send prescriptions directly?</w:t>
            </w:r>
          </w:p>
        </w:tc>
        <w:tc>
          <w:tcPr>
            <w:tcW w:type="dxa" w:w="39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Doctor Portal + unique prescriber code + optional EHR/API integration roadmap</w:t>
            </w:r>
          </w:p>
        </w:tc>
      </w:tr>
      <w:tr>
        <w:tc>
          <w:tcPr>
            <w:tcW w:type="dxa" w:w="7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5</w:t>
            </w:r>
          </w:p>
        </w:tc>
        <w:tc>
          <w:tcPr>
            <w:tcW w:type="dxa" w:w="47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How do we improve patient communication?</w:t>
            </w:r>
          </w:p>
        </w:tc>
        <w:tc>
          <w:tcPr>
            <w:tcW w:type="dxa" w:w="39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WhatsApp Business API (primary) + Email + SMS fallback + in-app push notifications</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2"/>
              <w:left w:val="single" w:color="E87722" w:sz="2"/>
              <w:bottom w:val="single" w:color="E87722" w:sz="2"/>
              <w:right w:val="single" w:color="E87722" w:sz="2"/>
            </w:tcBorders>
            <w:shd w:fill="0D1B3E" w:val="clear"/>
            <w:tcMar>
              <w:top w:type="dxa" w:w="140"/>
              <w:left w:type="dxa" w:w="240"/>
              <w:bottom w:type="dxa" w:w="120"/>
              <w:right w:type="dxa" w:w="240"/>
            </w:tcMar>
          </w:tcPr>
          <w:p>
            <w:pPr>
              <w:spacing w:after="20" w:before="0"/>
            </w:pPr>
            <w:r>
              <w:rPr>
                <w:rFonts w:ascii="Calibri" w:cs="Calibri" w:eastAsia="Calibri" w:hAnsi="Calibri"/>
                <w:b/>
                <w:bCs/>
                <w:color w:val="E87722"/>
                <w:sz w:val="18"/>
                <w:szCs w:val="18"/>
              </w:rPr>
              <w:t xml:space="preserve">JUDGES' OBSERVATION #1</w:t>
            </w:r>
          </w:p>
          <w:p>
            <w:pPr>
              <w:spacing w:after="60" w:before="0"/>
            </w:pPr>
            <w:r>
              <w:rPr>
                <w:rFonts w:ascii="Calibri" w:cs="Calibri" w:eastAsia="Calibri" w:hAnsi="Calibri"/>
                <w:b/>
                <w:bCs/>
                <w:color w:val="FFFFFF"/>
                <w:sz w:val="26"/>
                <w:szCs w:val="26"/>
              </w:rPr>
              <w:t xml:space="preserve">How do we detect that a prescription is not fake?</w:t>
            </w:r>
          </w:p>
          <w:p>
            <w:pPr>
              <w:spacing w:after="0" w:before="0"/>
            </w:pPr>
            <w:r>
              <w:rPr>
                <w:rFonts w:ascii="Calibri" w:cs="Calibri" w:eastAsia="Calibri" w:hAnsi="Calibri"/>
                <w:i/>
                <w:iCs/>
                <w:color w:val="A8C8F0"/>
                <w:sz w:val="19"/>
                <w:szCs w:val="19"/>
              </w:rPr>
              <w:t xml:space="preserve">Judges asked the team to find a way to validate the authenticity of an uploaded prescription.</w:t>
            </w:r>
          </w:p>
        </w:tc>
      </w:tr>
    </w:tbl>
    <w:p>
      <w:pPr>
        <w:spacing w:after="100" w:before="0"/>
      </w:pPr>
    </w:p>
    <w:p>
      <w:pPr>
        <w:pStyle w:val="Heading2"/>
        <w:spacing w:after="80" w:before="280"/>
      </w:pPr>
      <w:r>
        <w:rPr>
          <w:rFonts w:ascii="Calibri" w:cs="Calibri" w:eastAsia="Calibri" w:hAnsi="Calibri"/>
          <w:b/>
          <w:bCs/>
          <w:color w:val="1E6DB4"/>
          <w:sz w:val="26"/>
          <w:szCs w:val="26"/>
        </w:rPr>
        <w:t xml:space="preserve">1.1 The Core Problem</w:t>
      </w:r>
    </w:p>
    <w:p>
      <w:pPr>
        <w:spacing w:after="140" w:before="0" w:line="360"/>
        <w:jc w:val="both"/>
      </w:pPr>
      <w:r>
        <w:rPr>
          <w:rFonts w:ascii="Calibri" w:cs="Calibri" w:eastAsia="Calibri" w:hAnsi="Calibri"/>
          <w:b w:val="false"/>
          <w:bCs w:val="false"/>
          <w:i w:val="false"/>
          <w:iCs w:val="false"/>
          <w:color w:val="1A1A2E"/>
          <w:sz w:val="22"/>
          <w:szCs w:val="22"/>
        </w:rPr>
        <w:t xml:space="preserve">BitFarma currently accepts prescriptions as photo or PDF uploads. Without validation, anyone could submit an altered image, a prescription written for someone else, or a fabricated document and receive medication — including controlled substances. This is the single most important trust gap to close before scaling beyond a pilot.</w:t>
      </w:r>
    </w:p>
    <w:p>
      <w:pPr>
        <w:spacing w:after="60" w:before="0"/>
      </w:pPr>
    </w:p>
    <w:p>
      <w:pPr>
        <w:pStyle w:val="Heading2"/>
        <w:spacing w:after="80" w:before="280"/>
      </w:pPr>
      <w:r>
        <w:rPr>
          <w:rFonts w:ascii="Calibri" w:cs="Calibri" w:eastAsia="Calibri" w:hAnsi="Calibri"/>
          <w:b/>
          <w:bCs/>
          <w:color w:val="1E6DB4"/>
          <w:sz w:val="26"/>
          <w:szCs w:val="26"/>
        </w:rPr>
        <w:t xml:space="preserve">1.2 Industry Context</w:t>
      </w:r>
    </w:p>
    <w:p>
      <w:pPr>
        <w:spacing w:after="140" w:before="0" w:line="360"/>
        <w:jc w:val="both"/>
      </w:pPr>
      <w:r>
        <w:rPr>
          <w:rFonts w:ascii="Calibri" w:cs="Calibri" w:eastAsia="Calibri" w:hAnsi="Calibri"/>
          <w:b w:val="false"/>
          <w:bCs w:val="false"/>
          <w:i w:val="false"/>
          <w:iCs w:val="false"/>
          <w:color w:val="1A1A2E"/>
          <w:sz w:val="22"/>
          <w:szCs w:val="22"/>
        </w:rPr>
        <w:t xml:space="preserve">This concern is universal in pharmacy technology, not unique to BitFarma. In mature markets, e-prescribing systems were built specifically to solve it — and the data shows why it matters. Industry reporting on prescription fraud documents cases where a single bad actor exploited gaps in verification to generate thousands of fraudulent prescriptions in a matter of hours, which is precisely the scale of harm that automated, layered verification is designed to prevent.</w:t>
      </w:r>
    </w:p>
    <w:p>
      <w:pPr>
        <w:spacing w:after="40" w:before="0"/>
      </w:pPr>
    </w:p>
    <w:p>
      <w:pPr>
        <w:spacing w:after="80" w:before="0" w:line="320"/>
        <w:jc w:val="both"/>
      </w:pPr>
      <w:r>
        <w:rPr>
          <w:rFonts w:ascii="Calibri" w:cs="Calibri" w:eastAsia="Calibri" w:hAnsi="Calibri"/>
          <w:i/>
          <w:iCs/>
          <w:color w:val="6C757D"/>
          <w:sz w:val="18"/>
          <w:szCs w:val="18"/>
        </w:rPr>
        <w:t xml:space="preserve">   Source: Drug Topics — 'How Individuals are Committing E-Prescription Fraud' (2024 case reporting); CMS Electronic Prescribing for Controlled Substances (EPCS) Program documentation, 2026.</w:t>
      </w:r>
    </w:p>
    <w:p>
      <w:pPr>
        <w:spacing w:after="60" w:before="0"/>
      </w:pPr>
    </w:p>
    <w:p>
      <w:pPr>
        <w:pStyle w:val="Heading2"/>
        <w:spacing w:after="80" w:before="280"/>
      </w:pPr>
      <w:r>
        <w:rPr>
          <w:rFonts w:ascii="Calibri" w:cs="Calibri" w:eastAsia="Calibri" w:hAnsi="Calibri"/>
          <w:b/>
          <w:bCs/>
          <w:color w:val="1E6DB4"/>
          <w:sz w:val="26"/>
          <w:szCs w:val="26"/>
        </w:rPr>
        <w:t xml:space="preserve">1.3 Recommended Solution — A 3-Tier Verification Model</w:t>
      </w:r>
    </w:p>
    <w:p>
      <w:pPr>
        <w:spacing w:after="140" w:before="0" w:line="360"/>
        <w:jc w:val="both"/>
      </w:pPr>
      <w:r>
        <w:rPr>
          <w:rFonts w:ascii="Calibri" w:cs="Calibri" w:eastAsia="Calibri" w:hAnsi="Calibri"/>
          <w:b w:val="false"/>
          <w:bCs w:val="false"/>
          <w:i w:val="false"/>
          <w:iCs w:val="false"/>
          <w:color w:val="1A1A2E"/>
          <w:sz w:val="22"/>
          <w:szCs w:val="22"/>
        </w:rPr>
        <w:t xml:space="preserve">Rather than a single fix, BitFarma should adopt a layered verification model. Each tier adds more certainty, and the platform can require different tiers depending on the medication's risk class (OTC, chronic maintenance, or controlled/antibiotic).</w:t>
      </w:r>
    </w:p>
    <w:p>
      <w:pPr>
        <w:spacing w:after="60" w:before="0"/>
      </w:pPr>
    </w:p>
    <w:p>
      <w:pPr>
        <w:pStyle w:val="Heading3"/>
        <w:spacing w:after="60" w:before="180"/>
      </w:pPr>
      <w:r>
        <w:rPr>
          <w:rFonts w:ascii="Calibri" w:cs="Calibri" w:eastAsia="Calibri" w:hAnsi="Calibri"/>
          <w:b/>
          <w:bCs/>
          <w:color w:val="1A2F5E"/>
          <w:sz w:val="23"/>
          <w:szCs w:val="23"/>
        </w:rPr>
        <w:t xml:space="preserve">Tier 1 — Pharmacist Visual Review (Already partially in place)</w:t>
      </w:r>
    </w:p>
    <w:p>
      <w:pPr>
        <w:spacing w:after="140" w:before="0" w:line="360"/>
        <w:jc w:val="both"/>
      </w:pPr>
      <w:r>
        <w:rPr>
          <w:rFonts w:ascii="Calibri" w:cs="Calibri" w:eastAsia="Calibri" w:hAnsi="Calibri"/>
          <w:b w:val="false"/>
          <w:bCs w:val="false"/>
          <w:i w:val="false"/>
          <w:iCs w:val="false"/>
          <w:color w:val="1A1A2E"/>
          <w:sz w:val="22"/>
          <w:szCs w:val="22"/>
        </w:rPr>
        <w:t xml:space="preserve">Every uploaded prescription is reviewed by the licensed pharmacist before dispensing — this is BitFarma's existing first line of defense. To strengthen it, the pharmacist review screen should be enhanced with a structured checklist rather than a free-form judgment call:</w:t>
      </w:r>
    </w:p>
    <w:p>
      <w:pPr>
        <w:pStyle w:val="ListParagraph"/>
        <w:numPr>
          <w:ilvl w:val="0"/>
          <w:numId w:val="2"/>
        </w:numPr>
        <w:spacing w:after="60" w:before="40" w:line="340"/>
      </w:pPr>
      <w:r>
        <w:rPr>
          <w:rFonts w:ascii="Calibri" w:cs="Calibri" w:eastAsia="Calibri" w:hAnsi="Calibri"/>
          <w:color w:val="1A1A2E"/>
          <w:sz w:val="22"/>
          <w:szCs w:val="22"/>
        </w:rPr>
        <w:t xml:space="preserve">Prescriber name, license number, and signature are visible and legible</w:t>
      </w:r>
    </w:p>
    <w:p>
      <w:pPr>
        <w:pStyle w:val="ListParagraph"/>
        <w:numPr>
          <w:ilvl w:val="0"/>
          <w:numId w:val="2"/>
        </w:numPr>
        <w:spacing w:after="60" w:before="40" w:line="340"/>
      </w:pPr>
      <w:r>
        <w:rPr>
          <w:rFonts w:ascii="Calibri" w:cs="Calibri" w:eastAsia="Calibri" w:hAnsi="Calibri"/>
          <w:color w:val="1A1A2E"/>
          <w:sz w:val="22"/>
          <w:szCs w:val="22"/>
        </w:rPr>
        <w:t xml:space="preserve">Date of issue is within an acceptable validity window (typically 30–90 days depending on medication class)</w:t>
      </w:r>
    </w:p>
    <w:p>
      <w:pPr>
        <w:pStyle w:val="ListParagraph"/>
        <w:numPr>
          <w:ilvl w:val="0"/>
          <w:numId w:val="2"/>
        </w:numPr>
        <w:spacing w:after="60" w:before="40" w:line="340"/>
      </w:pPr>
      <w:r>
        <w:rPr>
          <w:rFonts w:ascii="Calibri" w:cs="Calibri" w:eastAsia="Calibri" w:hAnsi="Calibri"/>
          <w:color w:val="1A1A2E"/>
          <w:sz w:val="22"/>
          <w:szCs w:val="22"/>
        </w:rPr>
        <w:t xml:space="preserve">Patient name on the prescription matches the patient account name (with manual override + reason log if a caregiver is ordering for a family member)</w:t>
      </w:r>
    </w:p>
    <w:p>
      <w:pPr>
        <w:pStyle w:val="ListParagraph"/>
        <w:numPr>
          <w:ilvl w:val="0"/>
          <w:numId w:val="2"/>
        </w:numPr>
        <w:spacing w:after="60" w:before="40" w:line="340"/>
      </w:pPr>
      <w:r>
        <w:rPr>
          <w:rFonts w:ascii="Calibri" w:cs="Calibri" w:eastAsia="Calibri" w:hAnsi="Calibri"/>
          <w:color w:val="1A1A2E"/>
          <w:sz w:val="22"/>
          <w:szCs w:val="22"/>
        </w:rPr>
        <w:t xml:space="preserve">Medication, dose, and quantity are consistent with standard prescribing practice for that drug (flag unusual doses for second review)</w:t>
      </w:r>
    </w:p>
    <w:p>
      <w:pPr>
        <w:pStyle w:val="ListParagraph"/>
        <w:numPr>
          <w:ilvl w:val="0"/>
          <w:numId w:val="2"/>
        </w:numPr>
        <w:spacing w:after="60" w:before="40" w:line="340"/>
      </w:pPr>
      <w:r>
        <w:rPr>
          <w:rFonts w:ascii="Calibri" w:cs="Calibri" w:eastAsia="Calibri" w:hAnsi="Calibri"/>
          <w:color w:val="1A1A2E"/>
          <w:sz w:val="22"/>
          <w:szCs w:val="22"/>
        </w:rPr>
        <w:t xml:space="preserve">Image metadata is checked for signs of digital editing where the upload tool supports it</w:t>
      </w:r>
    </w:p>
    <w:p>
      <w:pPr>
        <w:spacing w:after="60" w:before="0"/>
      </w:pPr>
    </w:p>
    <w:p>
      <w:pPr>
        <w:pStyle w:val="Heading3"/>
        <w:spacing w:after="60" w:before="180"/>
      </w:pPr>
      <w:r>
        <w:rPr>
          <w:rFonts w:ascii="Calibri" w:cs="Calibri" w:eastAsia="Calibri" w:hAnsi="Calibri"/>
          <w:b/>
          <w:bCs/>
          <w:color w:val="1A2F5E"/>
          <w:sz w:val="23"/>
          <w:szCs w:val="23"/>
        </w:rPr>
        <w:t xml:space="preserve">Tier 2 — Prescriber Registry Cross-Check</w:t>
      </w:r>
    </w:p>
    <w:p>
      <w:pPr>
        <w:spacing w:after="140" w:before="0" w:line="360"/>
        <w:jc w:val="both"/>
      </w:pPr>
      <w:r>
        <w:rPr>
          <w:rFonts w:ascii="Calibri" w:cs="Calibri" w:eastAsia="Calibri" w:hAnsi="Calibri"/>
          <w:b w:val="false"/>
          <w:bCs w:val="false"/>
          <w:i w:val="false"/>
          <w:iCs w:val="false"/>
          <w:color w:val="1A1A2E"/>
          <w:sz w:val="22"/>
          <w:szCs w:val="22"/>
        </w:rPr>
        <w:t xml:space="preserve">Build an internal registry of verified doctors and their license numbers (sourced from the Salvadoran medical board / Junta de Vigilancia de la Profesión Médica). When a prescription is uploaded, the system performs an automatic lookup:</w:t>
      </w:r>
    </w:p>
    <w:p>
      <w:pPr>
        <w:pStyle w:val="ListParagraph"/>
        <w:numPr>
          <w:ilvl w:val="0"/>
          <w:numId w:val="2"/>
        </w:numPr>
        <w:spacing w:after="60" w:before="40" w:line="340"/>
      </w:pPr>
      <w:r>
        <w:rPr>
          <w:rFonts w:ascii="Calibri" w:cs="Calibri" w:eastAsia="Calibri" w:hAnsi="Calibri"/>
          <w:color w:val="1A1A2E"/>
          <w:sz w:val="22"/>
          <w:szCs w:val="22"/>
        </w:rPr>
        <w:t xml:space="preserve">If the prescriber's license number matches a verified entry in the registry, the order is flagged 'Verified Prescriber' for the pharmacist, speeding up review</w:t>
      </w:r>
    </w:p>
    <w:p>
      <w:pPr>
        <w:pStyle w:val="ListParagraph"/>
        <w:numPr>
          <w:ilvl w:val="0"/>
          <w:numId w:val="2"/>
        </w:numPr>
        <w:spacing w:after="60" w:before="40" w:line="340"/>
      </w:pPr>
      <w:r>
        <w:rPr>
          <w:rFonts w:ascii="Calibri" w:cs="Calibri" w:eastAsia="Calibri" w:hAnsi="Calibri"/>
          <w:color w:val="1A1A2E"/>
          <w:sz w:val="22"/>
          <w:szCs w:val="22"/>
        </w:rPr>
        <w:t xml:space="preserve">If the license number does not match any registry entry, the order is flagged 'Unverified — Manual Review Required', triggering mandatory pharmacist escalation</w:t>
      </w:r>
    </w:p>
    <w:p>
      <w:pPr>
        <w:pStyle w:val="ListParagraph"/>
        <w:numPr>
          <w:ilvl w:val="0"/>
          <w:numId w:val="2"/>
        </w:numPr>
        <w:spacing w:after="60" w:before="40" w:line="340"/>
      </w:pPr>
      <w:r>
        <w:rPr>
          <w:rFonts w:ascii="Calibri" w:cs="Calibri" w:eastAsia="Calibri" w:hAnsi="Calibri"/>
          <w:color w:val="1A1A2E"/>
          <w:sz w:val="22"/>
          <w:szCs w:val="22"/>
        </w:rPr>
        <w:t xml:space="preserve">Over time, as more doctors are onboarded directly (see Issue 4), an increasing share of prescriptions will arrive pre-verified, reducing fraud risk and pharmacist workload simultaneously</w:t>
      </w:r>
    </w:p>
    <w:p>
      <w:pPr>
        <w:spacing w:after="60" w:before="0"/>
      </w:pPr>
    </w:p>
    <w:p>
      <w:pPr>
        <w:pStyle w:val="Heading3"/>
        <w:spacing w:after="60" w:before="180"/>
      </w:pPr>
      <w:r>
        <w:rPr>
          <w:rFonts w:ascii="Calibri" w:cs="Calibri" w:eastAsia="Calibri" w:hAnsi="Calibri"/>
          <w:b/>
          <w:bCs/>
          <w:color w:val="1A2F5E"/>
          <w:sz w:val="23"/>
          <w:szCs w:val="23"/>
        </w:rPr>
        <w:t xml:space="preserve">Tier 3 — Optional Direct E-Prescribing (Highest Trust)</w:t>
      </w:r>
    </w:p>
    <w:p>
      <w:pPr>
        <w:spacing w:after="140" w:before="0" w:line="360"/>
        <w:jc w:val="both"/>
      </w:pPr>
      <w:r>
        <w:rPr>
          <w:rFonts w:ascii="Calibri" w:cs="Calibri" w:eastAsia="Calibri" w:hAnsi="Calibri"/>
          <w:b w:val="false"/>
          <w:bCs w:val="false"/>
          <w:i w:val="false"/>
          <w:iCs w:val="false"/>
          <w:color w:val="1A1A2E"/>
          <w:sz w:val="22"/>
          <w:szCs w:val="22"/>
        </w:rPr>
        <w:t xml:space="preserve">The strongest fraud prevention is removing the patient-uploaded image entirely for participating doctors. When a doctor sends the prescription directly through BitFarma's Doctor Portal (detailed in Issue 4), there is no image to forge — the prescription is a trusted, system-generated record from a known, authenticated prescriber. This mirrors the logic behind Electronic Prescribing for Controlled Substances (EPCS) programs internationally, which were specifically created because direct electronic transmission from a verified prescriber closes the fraud gap that paper and photo-based prescriptions leave open.</w:t>
      </w:r>
    </w:p>
    <w:p>
      <w:pPr>
        <w:spacing w:after="40" w:before="0"/>
      </w:pPr>
    </w:p>
    <w:p>
      <w:pPr>
        <w:spacing w:after="80" w:before="0" w:line="320"/>
        <w:jc w:val="both"/>
      </w:pPr>
      <w:r>
        <w:rPr>
          <w:rFonts w:ascii="Calibri" w:cs="Calibri" w:eastAsia="Calibri" w:hAnsi="Calibri"/>
          <w:i/>
          <w:iCs/>
          <w:color w:val="6C757D"/>
          <w:sz w:val="18"/>
          <w:szCs w:val="18"/>
        </w:rPr>
        <w:t xml:space="preserve">   Source: CMS EPCS Program documentation, 2026 — 'EPCS also reduces prescriber burden by deterring and detecting prescription fraud and irregularities.'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EDFFF5" w:val="clear"/>
            <w:tcMar>
              <w:top w:type="dxa" w:w="100"/>
              <w:left w:type="dxa" w:w="220"/>
              <w:bottom w:type="dxa" w:w="100"/>
              <w:right w:type="dxa" w:w="220"/>
            </w:tcMar>
          </w:tcPr>
          <w:p>
            <w:pPr>
              <w:spacing w:after="0" w:before="0"/>
            </w:pPr>
            <w:r>
              <w:rPr>
                <w:rFonts w:ascii="Calibri" w:cs="Calibri" w:eastAsia="Calibri" w:hAnsi="Calibri"/>
                <w:b/>
                <w:bCs/>
                <w:color w:val="2A9D3A"/>
                <w:sz w:val="21"/>
                <w:szCs w:val="21"/>
              </w:rPr>
              <w:t xml:space="preserve">Recommendation  Practical next sprint:  </w:t>
            </w:r>
            <w:r>
              <w:rPr>
                <w:rFonts w:ascii="Calibri" w:cs="Calibri" w:eastAsia="Calibri" w:hAnsi="Calibri"/>
                <w:color w:val="333333"/>
                <w:sz w:val="21"/>
                <w:szCs w:val="21"/>
              </w:rPr>
              <w:t xml:space="preserve">Implement Tier 1's structured checklist immediately — it requires no new infrastructure, only a UI/workflow change in the pharmacist dashboard. Begin building the prescriber registry (Tier 2) in parallel, starting with the doctors already informally connected to the project.</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2"/>
              <w:left w:val="single" w:color="E87722" w:sz="2"/>
              <w:bottom w:val="single" w:color="E87722" w:sz="2"/>
              <w:right w:val="single" w:color="E87722" w:sz="2"/>
            </w:tcBorders>
            <w:shd w:fill="0D1B3E" w:val="clear"/>
            <w:tcMar>
              <w:top w:type="dxa" w:w="140"/>
              <w:left w:type="dxa" w:w="240"/>
              <w:bottom w:type="dxa" w:w="120"/>
              <w:right w:type="dxa" w:w="240"/>
            </w:tcMar>
          </w:tcPr>
          <w:p>
            <w:pPr>
              <w:spacing w:after="20" w:before="0"/>
            </w:pPr>
            <w:r>
              <w:rPr>
                <w:rFonts w:ascii="Calibri" w:cs="Calibri" w:eastAsia="Calibri" w:hAnsi="Calibri"/>
                <w:b/>
                <w:bCs/>
                <w:color w:val="E87722"/>
                <w:sz w:val="18"/>
                <w:szCs w:val="18"/>
              </w:rPr>
              <w:t xml:space="preserve">JUDGES' OBSERVATION #2</w:t>
            </w:r>
          </w:p>
          <w:p>
            <w:pPr>
              <w:spacing w:after="60" w:before="0"/>
            </w:pPr>
            <w:r>
              <w:rPr>
                <w:rFonts w:ascii="Calibri" w:cs="Calibri" w:eastAsia="Calibri" w:hAnsi="Calibri"/>
                <w:b/>
                <w:bCs/>
                <w:color w:val="FFFFFF"/>
                <w:sz w:val="26"/>
                <w:szCs w:val="26"/>
              </w:rPr>
              <w:t xml:space="preserve">How do we prevent a patient from sending the same medication request twice?</w:t>
            </w:r>
          </w:p>
          <w:p>
            <w:pPr>
              <w:spacing w:after="0" w:before="0"/>
            </w:pPr>
            <w:r>
              <w:rPr>
                <w:rFonts w:ascii="Calibri" w:cs="Calibri" w:eastAsia="Calibri" w:hAnsi="Calibri"/>
                <w:i/>
                <w:iCs/>
                <w:color w:val="A8C8F0"/>
                <w:sz w:val="19"/>
                <w:szCs w:val="19"/>
              </w:rPr>
              <w:t xml:space="preserve">The team's live answer referenced a per-patient record and dose/quantity tracking by medication type. This section formalizes that into a complete dispensing-control engine.</w:t>
            </w:r>
          </w:p>
        </w:tc>
      </w:tr>
    </w:tbl>
    <w:p>
      <w:pPr>
        <w:spacing w:after="100" w:before="0"/>
      </w:pPr>
    </w:p>
    <w:p>
      <w:pPr>
        <w:pStyle w:val="Heading2"/>
        <w:spacing w:after="80" w:before="280"/>
      </w:pPr>
      <w:r>
        <w:rPr>
          <w:rFonts w:ascii="Calibri" w:cs="Calibri" w:eastAsia="Calibri" w:hAnsi="Calibri"/>
          <w:b/>
          <w:bCs/>
          <w:color w:val="1E6DB4"/>
          <w:sz w:val="26"/>
          <w:szCs w:val="26"/>
        </w:rPr>
        <w:t xml:space="preserve">2.1 Why This Matters</w:t>
      </w:r>
    </w:p>
    <w:p>
      <w:pPr>
        <w:spacing w:after="140" w:before="0" w:line="360"/>
        <w:jc w:val="both"/>
      </w:pPr>
      <w:r>
        <w:rPr>
          <w:rFonts w:ascii="Calibri" w:cs="Calibri" w:eastAsia="Calibri" w:hAnsi="Calibri"/>
          <w:b w:val="false"/>
          <w:bCs w:val="false"/>
          <w:i w:val="false"/>
          <w:iCs w:val="false"/>
          <w:color w:val="1A1A2E"/>
          <w:sz w:val="22"/>
          <w:szCs w:val="22"/>
        </w:rPr>
        <w:t xml:space="preserve">Duplicate or repeated prescription submissions are a known risk category in pharmacy systems — both as accidental over-ordering by patients managing chronic conditions, and as deliberate attempts to acquire more medication than prescribed (drug-seeking behavior, resale, or simple cost-saving stockpiling of antibiotics). Industry patent filings on this exact problem confirm it is treated as core infrastructure, not an edge case, in any serious pharmacy claims or dispensing system.</w:t>
      </w:r>
    </w:p>
    <w:p>
      <w:pPr>
        <w:spacing w:after="40" w:before="0"/>
      </w:pPr>
    </w:p>
    <w:p>
      <w:pPr>
        <w:spacing w:after="80" w:before="0" w:line="320"/>
        <w:jc w:val="both"/>
      </w:pPr>
      <w:r>
        <w:rPr>
          <w:rFonts w:ascii="Calibri" w:cs="Calibri" w:eastAsia="Calibri" w:hAnsi="Calibri"/>
          <w:i/>
          <w:iCs/>
          <w:color w:val="6C757D"/>
          <w:sz w:val="18"/>
          <w:szCs w:val="18"/>
        </w:rPr>
        <w:t xml:space="preserve">   Source: US Patent — 'Systems and methods for notifying of duplicate product prescriptions' — describes service-provider logic to determine whether a prescription claim 'identifies a duplicate prescription for a same or similar product already dispensed to the patient previously.'</w:t>
      </w:r>
    </w:p>
    <w:p>
      <w:pPr>
        <w:spacing w:after="60" w:before="0"/>
      </w:pPr>
    </w:p>
    <w:p>
      <w:pPr>
        <w:pStyle w:val="Heading2"/>
        <w:spacing w:after="80" w:before="280"/>
      </w:pPr>
      <w:r>
        <w:rPr>
          <w:rFonts w:ascii="Calibri" w:cs="Calibri" w:eastAsia="Calibri" w:hAnsi="Calibri"/>
          <w:b/>
          <w:bCs/>
          <w:color w:val="1E6DB4"/>
          <w:sz w:val="26"/>
          <w:szCs w:val="26"/>
        </w:rPr>
        <w:t xml:space="preserve">2.2 Recommended Solution — A Per-Patient Dispensing Ledger with Drug-Class Rules</w:t>
      </w:r>
    </w:p>
    <w:p>
      <w:pPr>
        <w:spacing w:after="140" w:before="0" w:line="360"/>
        <w:jc w:val="both"/>
      </w:pPr>
      <w:r>
        <w:rPr>
          <w:rFonts w:ascii="Calibri" w:cs="Calibri" w:eastAsia="Calibri" w:hAnsi="Calibri"/>
          <w:b w:val="false"/>
          <w:bCs w:val="false"/>
          <w:i w:val="false"/>
          <w:iCs w:val="false"/>
          <w:color w:val="1A1A2E"/>
          <w:sz w:val="22"/>
          <w:szCs w:val="22"/>
        </w:rPr>
        <w:t xml:space="preserve">The team's instinct during the presentation was correct — the system needs a running record per patient, per medication, that the pharmacist (and eventually the system automatically) checks before dispensing. Below is how to formalize that into specific, codeable business rules organized by medication risk class.</w:t>
      </w:r>
    </w:p>
    <w:p>
      <w:pPr>
        <w:spacing w:after="60" w:before="0"/>
      </w:pPr>
    </w:p>
    <w:p>
      <w:pPr>
        <w:pStyle w:val="Heading3"/>
        <w:spacing w:after="60" w:before="180"/>
      </w:pPr>
      <w:r>
        <w:rPr>
          <w:rFonts w:ascii="Calibri" w:cs="Calibri" w:eastAsia="Calibri" w:hAnsi="Calibri"/>
          <w:b/>
          <w:bCs/>
          <w:color w:val="1A2F5E"/>
          <w:sz w:val="23"/>
          <w:szCs w:val="23"/>
        </w:rPr>
        <w:t xml:space="preserve">Rule Set A — OTC (Over-the-Counter)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Rule</w:t>
            </w:r>
          </w:p>
        </w:tc>
        <w:tc>
          <w:tcPr>
            <w:tcW w:type="dxa" w:w="624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Logic</w:t>
            </w:r>
          </w:p>
        </w:tc>
      </w:tr>
      <w:tr>
        <w:tc>
          <w:tcPr>
            <w:tcW w:type="dxa" w:w="312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Refill window</w:t>
            </w:r>
          </w:p>
        </w:tc>
        <w:tc>
          <w:tcPr>
            <w:tcW w:type="dxa" w:w="624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Block re-order of the same OTC item if a prior order exists within the product's typical-use duration (e.g., a 30-tablet bottle should not be re-ordered after 5 days)</w:t>
            </w:r>
          </w:p>
        </w:tc>
      </w:tr>
      <w:tr>
        <w:tc>
          <w:tcPr>
            <w:tcW w:type="dxa" w:w="312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Quantity cap</w:t>
            </w:r>
          </w:p>
        </w:tc>
        <w:tc>
          <w:tcPr>
            <w:tcW w:type="dxa" w:w="624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Flag (not necessarily block) orders exceeding standard household quantity — e.g., more than 2 units of the same OTC item per 30 days</w:t>
            </w:r>
          </w:p>
        </w:tc>
      </w:tr>
      <w:tr>
        <w:tc>
          <w:tcPr>
            <w:tcW w:type="dxa" w:w="312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Pharmacist override</w:t>
            </w:r>
          </w:p>
        </w:tc>
        <w:tc>
          <w:tcPr>
            <w:tcW w:type="dxa" w:w="624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Always allow manual override with a logged reason (e.g., 'large family', 'lost item') — the goal is friction and visibility, not a hard wall</w:t>
            </w:r>
          </w:p>
        </w:tc>
      </w:tr>
    </w:tbl>
    <w:p>
      <w:pPr>
        <w:spacing w:after="60" w:before="0"/>
      </w:pPr>
    </w:p>
    <w:p>
      <w:pPr>
        <w:pStyle w:val="Heading3"/>
        <w:spacing w:after="60" w:before="180"/>
      </w:pPr>
      <w:r>
        <w:rPr>
          <w:rFonts w:ascii="Calibri" w:cs="Calibri" w:eastAsia="Calibri" w:hAnsi="Calibri"/>
          <w:b/>
          <w:bCs/>
          <w:color w:val="1A2F5E"/>
          <w:sz w:val="23"/>
          <w:szCs w:val="23"/>
        </w:rPr>
        <w:t xml:space="preserve">Rule Set B — Chronic / Maintenance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Rule</w:t>
            </w:r>
          </w:p>
        </w:tc>
        <w:tc>
          <w:tcPr>
            <w:tcW w:type="dxa" w:w="624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Logic</w:t>
            </w:r>
          </w:p>
        </w:tc>
      </w:tr>
      <w:tr>
        <w:tc>
          <w:tcPr>
            <w:tcW w:type="dxa" w:w="312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Days-supply tracking</w:t>
            </w:r>
          </w:p>
        </w:tc>
        <w:tc>
          <w:tcPr>
            <w:tcW w:type="dxa" w:w="624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Each dispensed order records {medication, dose, quantity, days_supply}. The system calculates the expected 'next eligible refill date' = last_dispensed_date + days_supply minus a grace period (typically 3–5 days early allowed)</w:t>
            </w:r>
          </w:p>
        </w:tc>
      </w:tr>
      <w:tr>
        <w:tc>
          <w:tcPr>
            <w:tcW w:type="dxa" w:w="312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Auto-block before eligible date</w:t>
            </w:r>
          </w:p>
        </w:tc>
        <w:tc>
          <w:tcPr>
            <w:tcW w:type="dxa" w:w="624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If a new order for the same medication/dose arrives before the eligible date, the system blocks auto-approval and routes to mandatory pharmacist review with the prior dispensing history displayed</w:t>
            </w:r>
          </w:p>
        </w:tc>
      </w:tr>
      <w:tr>
        <w:tc>
          <w:tcPr>
            <w:tcW w:type="dxa" w:w="312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Monthly 1-click refill</w:t>
            </w:r>
          </w:p>
        </w:tc>
        <w:tc>
          <w:tcPr>
            <w:tcW w:type="dxa" w:w="624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This is the feature already in BitFarma's Business Model Canvas — it works well here because the system, not the patient, initiates the refill exactly on schedule, removing the incentive or need for early duplicate requests</w:t>
            </w:r>
          </w:p>
        </w:tc>
      </w:tr>
    </w:tbl>
    <w:p>
      <w:pPr>
        <w:spacing w:after="60" w:before="0"/>
      </w:pPr>
    </w:p>
    <w:p>
      <w:pPr>
        <w:pStyle w:val="Heading3"/>
        <w:spacing w:after="60" w:before="180"/>
      </w:pPr>
      <w:r>
        <w:rPr>
          <w:rFonts w:ascii="Calibri" w:cs="Calibri" w:eastAsia="Calibri" w:hAnsi="Calibri"/>
          <w:b/>
          <w:bCs/>
          <w:color w:val="1A2F5E"/>
          <w:sz w:val="23"/>
          <w:szCs w:val="23"/>
        </w:rPr>
        <w:t xml:space="preserve">Rule Set C — Antibiotics (ATB) and Short-Course Controlled Items</w:t>
      </w:r>
    </w:p>
    <w:p>
      <w:pPr>
        <w:spacing w:after="140" w:before="0" w:line="360"/>
        <w:jc w:val="both"/>
      </w:pPr>
      <w:r>
        <w:rPr>
          <w:rFonts w:ascii="Calibri" w:cs="Calibri" w:eastAsia="Calibri" w:hAnsi="Calibri"/>
          <w:b w:val="false"/>
          <w:bCs w:val="false"/>
          <w:i w:val="false"/>
          <w:iCs w:val="false"/>
          <w:color w:val="1A1A2E"/>
          <w:sz w:val="22"/>
          <w:szCs w:val="22"/>
        </w:rPr>
        <w:t xml:space="preserve">This was specifically called out in the team's answer and deserves its own rule set because the risk profile is different: antibiotic courses are short, finite, and resistance/misuse risk is high if patients stockpile or self-extend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Rule</w:t>
            </w:r>
          </w:p>
        </w:tc>
        <w:tc>
          <w:tcPr>
            <w:tcW w:type="dxa" w:w="624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Logic</w:t>
            </w:r>
          </w:p>
        </w:tc>
      </w:tr>
      <w:tr>
        <w:tc>
          <w:tcPr>
            <w:tcW w:type="dxa" w:w="312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Course completion check</w:t>
            </w:r>
          </w:p>
        </w:tc>
        <w:tc>
          <w:tcPr>
            <w:tcW w:type="dxa" w:w="624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System calculates expected treatment end date = order date plus days_supply from the prescribed regimen (e.g., 7 or 10 days)</w:t>
            </w:r>
          </w:p>
        </w:tc>
      </w:tr>
      <w:tr>
        <w:tc>
          <w:tcPr>
            <w:tcW w:type="dxa" w:w="312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Hard block during active course</w:t>
            </w:r>
          </w:p>
        </w:tc>
        <w:tc>
          <w:tcPr>
            <w:tcW w:type="dxa" w:w="624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A new prescription for the same antibiotic class cannot be dispensed until the calculated course-completion date has passed, regardless of how the order was uploaded (manual or doctor-direct)</w:t>
            </w:r>
          </w:p>
        </w:tc>
      </w:tr>
      <w:tr>
        <w:tc>
          <w:tcPr>
            <w:tcW w:type="dxa" w:w="312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Different antibiotic, same patient</w:t>
            </w:r>
          </w:p>
        </w:tc>
        <w:tc>
          <w:tcPr>
            <w:tcW w:type="dxa" w:w="624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If a new prescription is for a different antibiotic, the system does not block automatically but flags 'Recent antibiotic course on file' for pharmacist awareness — relevant for interaction and overuse review</w:t>
            </w:r>
          </w:p>
        </w:tc>
      </w:tr>
      <w:tr>
        <w:tc>
          <w:tcPr>
            <w:tcW w:type="dxa" w:w="312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Mandatory new prescription</w:t>
            </w:r>
          </w:p>
        </w:tc>
        <w:tc>
          <w:tcPr>
            <w:tcW w:type="dxa" w:w="624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Antibiotics should never be auto-refillable — every course requires a fresh, dated prescription, which the system should enforce structurally (no 'repeat last order' button for this drug class)</w:t>
            </w:r>
          </w:p>
        </w:tc>
      </w:tr>
    </w:tbl>
    <w:p>
      <w:pPr>
        <w:spacing w:after="80" w:before="0"/>
      </w:pPr>
    </w:p>
    <w:p>
      <w:pPr>
        <w:pStyle w:val="Heading2"/>
        <w:spacing w:after="80" w:before="280"/>
      </w:pPr>
      <w:r>
        <w:rPr>
          <w:rFonts w:ascii="Calibri" w:cs="Calibri" w:eastAsia="Calibri" w:hAnsi="Calibri"/>
          <w:b/>
          <w:bCs/>
          <w:color w:val="1E6DB4"/>
          <w:sz w:val="26"/>
          <w:szCs w:val="26"/>
        </w:rPr>
        <w:t xml:space="preserve">2.3 Data Model Implication</w:t>
      </w:r>
    </w:p>
    <w:p>
      <w:pPr>
        <w:spacing w:after="140" w:before="0" w:line="360"/>
        <w:jc w:val="both"/>
      </w:pPr>
      <w:r>
        <w:rPr>
          <w:rFonts w:ascii="Calibri" w:cs="Calibri" w:eastAsia="Calibri" w:hAnsi="Calibri"/>
          <w:b w:val="false"/>
          <w:bCs w:val="false"/>
          <w:i w:val="false"/>
          <w:iCs w:val="false"/>
          <w:color w:val="1A1A2E"/>
          <w:sz w:val="22"/>
          <w:szCs w:val="22"/>
        </w:rPr>
        <w:t xml:space="preserve">To support all three rule sets, the Order/Prescription database table needs a few additional fields beyond what likely exists today:</w:t>
      </w:r>
    </w:p>
    <w:p>
      <w:pPr>
        <w:pStyle w:val="ListParagraph"/>
        <w:numPr>
          <w:ilvl w:val="0"/>
          <w:numId w:val="2"/>
        </w:numPr>
        <w:spacing w:after="60" w:before="40" w:line="340"/>
      </w:pPr>
      <w:r>
        <w:rPr>
          <w:rFonts w:ascii="Calibri" w:cs="Calibri" w:eastAsia="Calibri" w:hAnsi="Calibri"/>
          <w:color w:val="1A1A2E"/>
          <w:sz w:val="22"/>
          <w:szCs w:val="22"/>
        </w:rPr>
        <w:t xml:space="preserve">medication_class — enum: OTC, chronic, antibiotic, controlled</w:t>
      </w:r>
    </w:p>
    <w:p>
      <w:pPr>
        <w:pStyle w:val="ListParagraph"/>
        <w:numPr>
          <w:ilvl w:val="0"/>
          <w:numId w:val="2"/>
        </w:numPr>
        <w:spacing w:after="60" w:before="40" w:line="340"/>
      </w:pPr>
      <w:r>
        <w:rPr>
          <w:rFonts w:ascii="Calibri" w:cs="Calibri" w:eastAsia="Calibri" w:hAnsi="Calibri"/>
          <w:color w:val="1A1A2E"/>
          <w:sz w:val="22"/>
          <w:szCs w:val="22"/>
        </w:rPr>
        <w:t xml:space="preserve">days_supply — integer, calculated from the prescribed dose times frequency times quantity</w:t>
      </w:r>
    </w:p>
    <w:p>
      <w:pPr>
        <w:pStyle w:val="ListParagraph"/>
        <w:numPr>
          <w:ilvl w:val="0"/>
          <w:numId w:val="2"/>
        </w:numPr>
        <w:spacing w:after="60" w:before="40" w:line="340"/>
      </w:pPr>
      <w:r>
        <w:rPr>
          <w:rFonts w:ascii="Calibri" w:cs="Calibri" w:eastAsia="Calibri" w:hAnsi="Calibri"/>
          <w:color w:val="1A1A2E"/>
          <w:sz w:val="22"/>
          <w:szCs w:val="22"/>
        </w:rPr>
        <w:t xml:space="preserve">dispensed_date and calculated_eligible_refill_date</w:t>
      </w:r>
    </w:p>
    <w:p>
      <w:pPr>
        <w:pStyle w:val="ListParagraph"/>
        <w:numPr>
          <w:ilvl w:val="0"/>
          <w:numId w:val="2"/>
        </w:numPr>
        <w:spacing w:after="60" w:before="40" w:line="340"/>
      </w:pPr>
      <w:r>
        <w:rPr>
          <w:rFonts w:ascii="Calibri" w:cs="Calibri" w:eastAsia="Calibri" w:hAnsi="Calibri"/>
          <w:color w:val="1A1A2E"/>
          <w:sz w:val="22"/>
          <w:szCs w:val="22"/>
        </w:rPr>
        <w:t xml:space="preserve">duplicate_flag — boolean, set automatically by the rule engine, reviewable by the pharmacist</w:t>
      </w:r>
    </w:p>
    <w:p>
      <w:pPr>
        <w:pStyle w:val="ListParagraph"/>
        <w:numPr>
          <w:ilvl w:val="0"/>
          <w:numId w:val="2"/>
        </w:numPr>
        <w:spacing w:after="60" w:before="40" w:line="340"/>
      </w:pPr>
      <w:r>
        <w:rPr>
          <w:rFonts w:ascii="Calibri" w:cs="Calibri" w:eastAsia="Calibri" w:hAnsi="Calibri"/>
          <w:color w:val="1A1A2E"/>
          <w:sz w:val="22"/>
          <w:szCs w:val="22"/>
        </w:rPr>
        <w:t xml:space="preserve">override_reason — text, required if a pharmacist dispenses against a duplicate_flag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EDFFF5" w:val="clear"/>
            <w:tcMar>
              <w:top w:type="dxa" w:w="100"/>
              <w:left w:type="dxa" w:w="220"/>
              <w:bottom w:type="dxa" w:w="100"/>
              <w:right w:type="dxa" w:w="220"/>
            </w:tcMar>
          </w:tcPr>
          <w:p>
            <w:pPr>
              <w:spacing w:after="0" w:before="0"/>
            </w:pPr>
            <w:r>
              <w:rPr>
                <w:rFonts w:ascii="Calibri" w:cs="Calibri" w:eastAsia="Calibri" w:hAnsi="Calibri"/>
                <w:b/>
                <w:bCs/>
                <w:color w:val="2A9D3A"/>
                <w:sz w:val="21"/>
                <w:szCs w:val="21"/>
              </w:rPr>
              <w:t xml:space="preserve">Recommendation  Practical next sprint:  </w:t>
            </w:r>
            <w:r>
              <w:rPr>
                <w:rFonts w:ascii="Calibri" w:cs="Calibri" w:eastAsia="Calibri" w:hAnsi="Calibri"/>
                <w:color w:val="333333"/>
                <w:sz w:val="21"/>
                <w:szCs w:val="21"/>
              </w:rPr>
              <w:t xml:space="preserve">Implement Rule Set C (antibiotics) first — it is the highest-risk, lowest-complexity rule to build, since it only requires a date check. Rule Sets A and B can follow once the medication_class field is added to the inventory table.</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2"/>
              <w:left w:val="single" w:color="E87722" w:sz="2"/>
              <w:bottom w:val="single" w:color="E87722" w:sz="2"/>
              <w:right w:val="single" w:color="E87722" w:sz="2"/>
            </w:tcBorders>
            <w:shd w:fill="0D1B3E" w:val="clear"/>
            <w:tcMar>
              <w:top w:type="dxa" w:w="140"/>
              <w:left w:type="dxa" w:w="240"/>
              <w:bottom w:type="dxa" w:w="120"/>
              <w:right w:type="dxa" w:w="240"/>
            </w:tcMar>
          </w:tcPr>
          <w:p>
            <w:pPr>
              <w:spacing w:after="20" w:before="0"/>
            </w:pPr>
            <w:r>
              <w:rPr>
                <w:rFonts w:ascii="Calibri" w:cs="Calibri" w:eastAsia="Calibri" w:hAnsi="Calibri"/>
                <w:b/>
                <w:bCs/>
                <w:color w:val="E87722"/>
                <w:sz w:val="18"/>
                <w:szCs w:val="18"/>
              </w:rPr>
              <w:t xml:space="preserve">JUDGES' OBSERVATION #3</w:t>
            </w:r>
          </w:p>
          <w:p>
            <w:pPr>
              <w:spacing w:after="60" w:before="0"/>
            </w:pPr>
            <w:r>
              <w:rPr>
                <w:rFonts w:ascii="Calibri" w:cs="Calibri" w:eastAsia="Calibri" w:hAnsi="Calibri"/>
                <w:b/>
                <w:bCs/>
                <w:color w:val="FFFFFF"/>
                <w:sz w:val="26"/>
                <w:szCs w:val="26"/>
              </w:rPr>
              <w:t xml:space="preserve">How do we secure patient data?</w:t>
            </w:r>
          </w:p>
          <w:p>
            <w:pPr>
              <w:spacing w:after="0" w:before="0"/>
            </w:pPr>
            <w:r>
              <w:rPr>
                <w:rFonts w:ascii="Calibri" w:cs="Calibri" w:eastAsia="Calibri" w:hAnsi="Calibri"/>
                <w:i/>
                <w:iCs/>
                <w:color w:val="A8C8F0"/>
                <w:sz w:val="19"/>
                <w:szCs w:val="19"/>
              </w:rPr>
              <w:t xml:space="preserve">The team's live answer mentioned PostgreSQL, with the idea of starting local and eventually moving to a dedicated server. This section expands that into a concrete two-path security architecture, exactly as suggested by the judges.</w:t>
            </w:r>
          </w:p>
        </w:tc>
      </w:tr>
    </w:tbl>
    <w:p>
      <w:pPr>
        <w:spacing w:after="100" w:before="0"/>
      </w:pPr>
    </w:p>
    <w:p>
      <w:pPr>
        <w:pStyle w:val="Heading2"/>
        <w:spacing w:after="80" w:before="280"/>
      </w:pPr>
      <w:r>
        <w:rPr>
          <w:rFonts w:ascii="Calibri" w:cs="Calibri" w:eastAsia="Calibri" w:hAnsi="Calibri"/>
          <w:b/>
          <w:bCs/>
          <w:color w:val="1E6DB4"/>
          <w:sz w:val="26"/>
          <w:szCs w:val="26"/>
        </w:rPr>
        <w:t xml:space="preserve">3.1 Validating the Team's Direction</w:t>
      </w:r>
    </w:p>
    <w:p>
      <w:pPr>
        <w:spacing w:after="140" w:before="0" w:line="360"/>
        <w:jc w:val="both"/>
      </w:pPr>
      <w:r>
        <w:rPr>
          <w:rFonts w:ascii="Calibri" w:cs="Calibri" w:eastAsia="Calibri" w:hAnsi="Calibri"/>
          <w:b w:val="false"/>
          <w:bCs w:val="false"/>
          <w:i w:val="false"/>
          <w:iCs w:val="false"/>
          <w:color w:val="1A1A2E"/>
          <w:sz w:val="22"/>
          <w:szCs w:val="22"/>
        </w:rPr>
        <w:t xml:space="preserve">PostgreSQL was the right answer. It is the database engine of choice for healthcare-adjacent applications worldwide because it supports row-level security, strong encryption extensions, detailed audit logging, and proven compliance track records. The question is not whether to use PostgreSQL — it is how to host and secure it as BitFarma grows. The judges' own suggestion, comparing self-managed PostgreSQL against a specialized provider accessed via API, is exactly the right framework, and current industry guidance from 2026 confirms this is the standard decision point for early-stage health-adjacent platforms.</w:t>
      </w:r>
    </w:p>
    <w:p>
      <w:pPr>
        <w:spacing w:after="80" w:before="0"/>
      </w:pPr>
    </w:p>
    <w:p>
      <w:pPr>
        <w:pStyle w:val="Heading2"/>
        <w:spacing w:after="80" w:before="280"/>
      </w:pPr>
      <w:r>
        <w:rPr>
          <w:rFonts w:ascii="Calibri" w:cs="Calibri" w:eastAsia="Calibri" w:hAnsi="Calibri"/>
          <w:b/>
          <w:bCs/>
          <w:color w:val="1E6DB4"/>
          <w:sz w:val="26"/>
          <w:szCs w:val="26"/>
        </w:rPr>
        <w:t xml:space="preserve">3.2 Path A — Managed Backend-as-a-Service (Recommended for BitFarma Today)</w:t>
      </w:r>
    </w:p>
    <w:p>
      <w:pPr>
        <w:spacing w:after="140" w:before="0" w:line="360"/>
        <w:jc w:val="both"/>
      </w:pPr>
      <w:r>
        <w:rPr>
          <w:rFonts w:ascii="Calibri" w:cs="Calibri" w:eastAsia="Calibri" w:hAnsi="Calibri"/>
          <w:b w:val="false"/>
          <w:bCs w:val="false"/>
          <w:i w:val="false"/>
          <w:iCs w:val="false"/>
          <w:color w:val="1A1A2E"/>
          <w:sz w:val="22"/>
          <w:szCs w:val="22"/>
        </w:rPr>
        <w:t xml:space="preserve">Platforms such as Supabase provide PostgreSQL with built-in authentication, encrypted storage, automatic backups, and instant APIs — eliminating weeks of backend security engineering that a small team cannot realistically do correctly on its own.</w:t>
      </w:r>
    </w:p>
    <w:p>
      <w:pPr>
        <w:spacing w:after="40" w:before="0"/>
      </w:pPr>
    </w:p>
    <w:p>
      <w:pPr>
        <w:spacing w:after="80" w:before="0" w:line="320"/>
        <w:jc w:val="both"/>
      </w:pPr>
      <w:r>
        <w:rPr>
          <w:rFonts w:ascii="Calibri" w:cs="Calibri" w:eastAsia="Calibri" w:hAnsi="Calibri"/>
          <w:i/>
          <w:iCs/>
          <w:color w:val="6C757D"/>
          <w:sz w:val="18"/>
          <w:szCs w:val="18"/>
        </w:rPr>
        <w:t xml:space="preserve">   Source: DEV Community — 'Best PostgreSQL Hosting in 2026' — 'Supabase is hard to beat. The combination of instant APIs, built-in auth, and a real PostgreSQL database eliminates weeks of backend development.'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Security Feature</w:t>
            </w:r>
          </w:p>
        </w:tc>
        <w:tc>
          <w:tcPr>
            <w:tcW w:type="dxa" w:w="636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What It Gives BitFarma</w:t>
            </w:r>
          </w:p>
        </w:tc>
      </w:tr>
      <w:tr>
        <w:tc>
          <w:tcPr>
            <w:tcW w:type="dxa" w:w="30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Encryption at rest</w:t>
            </w:r>
          </w:p>
        </w:tc>
        <w:tc>
          <w:tcPr>
            <w:tcW w:type="dxa" w:w="63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All patient and prescription data encrypted on disk by default</w:t>
            </w:r>
          </w:p>
        </w:tc>
      </w:tr>
      <w:tr>
        <w:tc>
          <w:tcPr>
            <w:tcW w:type="dxa" w:w="30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Encryption in transit</w:t>
            </w:r>
          </w:p>
        </w:tc>
        <w:tc>
          <w:tcPr>
            <w:tcW w:type="dxa" w:w="63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All API calls between the app and database run over TLS</w:t>
            </w:r>
          </w:p>
        </w:tc>
      </w:tr>
      <w:tr>
        <w:tc>
          <w:tcPr>
            <w:tcW w:type="dxa" w:w="30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Row-Level Security (RLS)</w:t>
            </w:r>
          </w:p>
        </w:tc>
        <w:tc>
          <w:tcPr>
            <w:tcW w:type="dxa" w:w="63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Patients can only ever query their own records — enforced at the database layer, not just the application layer, so even a coding mistake cannot leak another patient's data</w:t>
            </w:r>
          </w:p>
        </w:tc>
      </w:tr>
      <w:tr>
        <w:tc>
          <w:tcPr>
            <w:tcW w:type="dxa" w:w="30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Automated backups</w:t>
            </w:r>
          </w:p>
        </w:tc>
        <w:tc>
          <w:tcPr>
            <w:tcW w:type="dxa" w:w="63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Daily snapshots with point-in-time recovery, configurable to also cover any file storage used for prescription images</w:t>
            </w:r>
          </w:p>
        </w:tc>
      </w:tr>
      <w:tr>
        <w:tc>
          <w:tcPr>
            <w:tcW w:type="dxa" w:w="30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Audit logging</w:t>
            </w:r>
          </w:p>
        </w:tc>
        <w:tc>
          <w:tcPr>
            <w:tcW w:type="dxa" w:w="63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Every read/write to sensitive tables can be logged with timestamp and user ID — essential if BitFarma is ever audited by Salvadoran health authorities</w:t>
            </w:r>
          </w:p>
        </w:tc>
      </w:tr>
    </w:tbl>
    <w:p>
      <w:pPr>
        <w:spacing w:after="80" w:before="0"/>
      </w:pPr>
    </w:p>
    <w:p>
      <w:pPr>
        <w:pStyle w:val="Heading3"/>
        <w:spacing w:after="60" w:before="180"/>
      </w:pPr>
      <w:r>
        <w:rPr>
          <w:rFonts w:ascii="Calibri" w:cs="Calibri" w:eastAsia="Calibri" w:hAnsi="Calibri"/>
          <w:b/>
          <w:bCs/>
          <w:color w:val="1A2F5E"/>
          <w:sz w:val="23"/>
          <w:szCs w:val="23"/>
        </w:rPr>
        <w:t xml:space="preserve">Important Caveat — The Business Associate Agreement (BAA) Concept</w:t>
      </w:r>
    </w:p>
    <w:p>
      <w:pPr>
        <w:spacing w:after="140" w:before="0" w:line="360"/>
        <w:jc w:val="both"/>
      </w:pPr>
      <w:r>
        <w:rPr>
          <w:rFonts w:ascii="Calibri" w:cs="Calibri" w:eastAsia="Calibri" w:hAnsi="Calibri"/>
          <w:b w:val="false"/>
          <w:bCs w:val="false"/>
          <w:i w:val="false"/>
          <w:iCs w:val="false"/>
          <w:color w:val="1A1A2E"/>
          <w:sz w:val="22"/>
          <w:szCs w:val="22"/>
        </w:rPr>
        <w:t xml:space="preserve">Even though El Salvador does not have a HIPAA-equivalent law today, BitFarma should operate as if it does, because international partners, sponsors, or future expansion may require it, and because it is simply good practice for health data. The key technical principle from current guidance is direct and important: a managed cloud database is not automatically 'compliant' just because the vendor is reputable — it must be configured correctly, and a formal data-processing agreement should exist between BitFarma and its database provider.</w:t>
      </w:r>
    </w:p>
    <w:p>
      <w:pPr>
        <w:spacing w:after="40" w:before="0"/>
      </w:pPr>
    </w:p>
    <w:p>
      <w:pPr>
        <w:spacing w:after="80" w:before="0" w:line="320"/>
        <w:jc w:val="both"/>
      </w:pPr>
      <w:r>
        <w:rPr>
          <w:rFonts w:ascii="Calibri" w:cs="Calibri" w:eastAsia="Calibri" w:hAnsi="Calibri"/>
          <w:i/>
          <w:iCs/>
          <w:color w:val="6C757D"/>
          <w:sz w:val="18"/>
          <w:szCs w:val="18"/>
        </w:rPr>
        <w:t xml:space="preserve">   Source: Accountable HQ — 'Is Supabase HIPAA Compliant in 2026?' — 'HIPAA compliance is a program you operate, not a certificate a tool has. Supabase provides building blocks... you decide how PHI flows, which controls are enforced.'</w:t>
      </w:r>
    </w:p>
    <w:p>
      <w:pPr>
        <w:spacing w:after="80" w:before="0"/>
      </w:pPr>
    </w:p>
    <w:p>
      <w:pPr>
        <w:pStyle w:val="Heading2"/>
        <w:spacing w:after="80" w:before="280"/>
      </w:pPr>
      <w:r>
        <w:rPr>
          <w:rFonts w:ascii="Calibri" w:cs="Calibri" w:eastAsia="Calibri" w:hAnsi="Calibri"/>
          <w:b/>
          <w:bCs/>
          <w:color w:val="1E6DB4"/>
          <w:sz w:val="26"/>
          <w:szCs w:val="26"/>
        </w:rPr>
        <w:t xml:space="preserve">3.3 Path B — Self-Hosted PostgreSQL (Recommended for BitFarma's Future, at Scale)</w:t>
      </w:r>
    </w:p>
    <w:p>
      <w:pPr>
        <w:spacing w:after="140" w:before="0" w:line="360"/>
        <w:jc w:val="both"/>
      </w:pPr>
      <w:r>
        <w:rPr>
          <w:rFonts w:ascii="Calibri" w:cs="Calibri" w:eastAsia="Calibri" w:hAnsi="Calibri"/>
          <w:b w:val="false"/>
          <w:bCs w:val="false"/>
          <w:i w:val="false"/>
          <w:iCs w:val="false"/>
          <w:color w:val="1A1A2E"/>
          <w:sz w:val="22"/>
          <w:szCs w:val="22"/>
        </w:rPr>
        <w:t xml:space="preserve">This is the 'own server' path the judges and the team both raised. Current industry benchmarking gives a clear, quantified answer for when this transition makes sense:</w:t>
      </w:r>
    </w:p>
    <w:p>
      <w:pPr>
        <w:spacing w:after="40" w:before="0"/>
      </w:pPr>
    </w:p>
    <w:p>
      <w:pPr>
        <w:spacing w:after="80" w:before="0" w:line="320"/>
        <w:jc w:val="both"/>
      </w:pPr>
      <w:r>
        <w:rPr>
          <w:rFonts w:ascii="Calibri" w:cs="Calibri" w:eastAsia="Calibri" w:hAnsi="Calibri"/>
          <w:i/>
          <w:iCs/>
          <w:color w:val="6C757D"/>
          <w:sz w:val="18"/>
          <w:szCs w:val="18"/>
        </w:rPr>
        <w:t xml:space="preserve">   Source: StarterPick — 'Self-Hosted vs Cloud Supabase for SaaS 2026' — 'Self-hosting becomes cost-competitive around 200K+ users or when your data exceeds 200GB. Self-hosted: free software, but $30–80/month VPS plus significant DevOps work. Maintenance cost: 2–4 hours/month minimum for updates, backups, monitoring.'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Stage</w:t>
            </w:r>
          </w:p>
        </w:tc>
        <w:tc>
          <w:tcPr>
            <w:tcW w:type="dxa" w:w="348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Managed BaaS (Path A)</w:t>
            </w:r>
          </w:p>
        </w:tc>
        <w:tc>
          <w:tcPr>
            <w:tcW w:type="dxa" w:w="348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Self-Hosted (Path B)</w:t>
            </w:r>
          </w:p>
        </w:tc>
      </w:tr>
      <w:tr>
        <w:tc>
          <w:tcPr>
            <w:tcW w:type="dxa" w:w="24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Launch / pilot (today)</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Recommended — fast, secure by default, near-zero DevOps</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Premature — team should focus on product, not server maintenance</w:t>
            </w:r>
          </w:p>
        </w:tc>
      </w:tr>
      <w:tr>
        <w:tc>
          <w:tcPr>
            <w:tcW w:type="dxa" w:w="24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Growth (hundreds–low thousands of users)</w:t>
            </w:r>
          </w:p>
        </w:tc>
        <w:tc>
          <w:tcPr>
            <w:tcW w:type="dxa" w:w="348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Still appropriate — predictable $25–80/month cost</w:t>
            </w:r>
          </w:p>
        </w:tc>
        <w:tc>
          <w:tcPr>
            <w:tcW w:type="dxa" w:w="348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Optional — only if specific compliance or data-residency demand requires it</w:t>
            </w:r>
          </w:p>
        </w:tc>
      </w:tr>
      <w:tr>
        <w:tc>
          <w:tcPr>
            <w:tcW w:type="dxa" w:w="24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Scale (tens of thousands of users / national rollout)</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Cost grows; evaluate against self-hosted</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Recommended — cost-competitive, full data sovereignty, supports a dedicated compliance program</w:t>
            </w:r>
          </w:p>
        </w:tc>
      </w:tr>
    </w:tbl>
    <w:p>
      <w:pPr>
        <w:spacing w:after="80" w:before="0"/>
      </w:pPr>
    </w:p>
    <w:p>
      <w:pPr>
        <w:pStyle w:val="Heading2"/>
        <w:spacing w:after="80" w:before="280"/>
      </w:pPr>
      <w:r>
        <w:rPr>
          <w:rFonts w:ascii="Calibri" w:cs="Calibri" w:eastAsia="Calibri" w:hAnsi="Calibri"/>
          <w:b/>
          <w:bCs/>
          <w:color w:val="1E6DB4"/>
          <w:sz w:val="26"/>
          <w:szCs w:val="26"/>
        </w:rPr>
        <w:t xml:space="preserve">3.4 The Recommended Path for BitFarma — A Migration Plan, Not a One-Time Choice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single" w:color="1E6DB4" w:sz="1"/>
              <w:left w:val="single" w:color="1E6DB4" w:sz="1"/>
              <w:bottom w:val="single" w:color="1E6DB4" w:sz="1"/>
              <w:right w:val="single" w:color="1E6DB4" w:sz="1"/>
            </w:tcBorders>
            <w:shd w:fill="1E6DB4" w:val="clear"/>
            <w:tcMar>
              <w:top w:type="dxa" w:w="80"/>
              <w:left w:type="dxa" w:w="80"/>
              <w:bottom w:type="dxa" w:w="80"/>
              <w:right w:type="dxa" w:w="80"/>
            </w:tcMar>
          </w:tcPr>
          <w:p>
            <w:pPr>
              <w:jc w:val="center"/>
            </w:pPr>
            <w:r>
              <w:rPr>
                <w:rFonts w:ascii="Calibri" w:cs="Calibri" w:eastAsia="Calibri" w:hAnsi="Calibri"/>
                <w:b/>
                <w:bCs/>
                <w:color w:val="FFFFFF"/>
                <w:sz w:val="26"/>
                <w:szCs w:val="26"/>
              </w:rPr>
              <w:t xml:space="preserve">1</w:t>
            </w:r>
          </w:p>
        </w:tc>
        <w:tc>
          <w:tcPr>
            <w:tcW w:type="dxa" w:w="8780"/>
            <w:tcBorders>
              <w:top w:val="single" w:color="1E6DB4" w:sz="1"/>
              <w:left w:val="single" w:color="1E6DB4" w:sz="1"/>
              <w:bottom w:val="single" w:color="1E6DB4" w:sz="1"/>
              <w:right w:val="single" w:color="1E6DB4" w:sz="1"/>
            </w:tcBorders>
            <w:shd w:fill="FAFBFF" w:val="clear"/>
            <w:tcMar>
              <w:top w:type="dxa" w:w="80"/>
              <w:left w:type="dxa" w:w="180"/>
              <w:bottom w:type="dxa" w:w="80"/>
              <w:right w:type="dxa" w:w="180"/>
            </w:tcMar>
          </w:tcPr>
          <w:p>
            <w:pPr>
              <w:spacing w:after="28" w:before="0"/>
            </w:pPr>
            <w:r>
              <w:rPr>
                <w:rFonts w:ascii="Calibri" w:cs="Calibri" w:eastAsia="Calibri" w:hAnsi="Calibri"/>
                <w:b/>
                <w:bCs/>
                <w:color w:val="1A1A2E"/>
                <w:sz w:val="22"/>
                <w:szCs w:val="22"/>
              </w:rPr>
              <w:t xml:space="preserve">Now — Launch on Managed PostgreSQL (e.g. Supabase or equivalent)</w:t>
            </w:r>
          </w:p>
          <w:p>
            <w:pPr>
              <w:spacing w:after="0" w:before="0"/>
            </w:pPr>
            <w:r>
              <w:rPr>
                <w:rFonts w:ascii="Calibri" w:cs="Calibri" w:eastAsia="Calibri" w:hAnsi="Calibri"/>
                <w:color w:val="6C757D"/>
                <w:sz w:val="20"/>
                <w:szCs w:val="20"/>
              </w:rPr>
              <w:t xml:space="preserve">Encrypted by default, Row-Level Security enabled from day one, automated daily backups. This gets BitFarma to a secure production state in days, not months.</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single" w:color="1E6DB4" w:sz="1"/>
              <w:left w:val="single" w:color="1E6DB4" w:sz="1"/>
              <w:bottom w:val="single" w:color="1E6DB4" w:sz="1"/>
              <w:right w:val="single" w:color="1E6DB4" w:sz="1"/>
            </w:tcBorders>
            <w:shd w:fill="1E6DB4" w:val="clear"/>
            <w:tcMar>
              <w:top w:type="dxa" w:w="80"/>
              <w:left w:type="dxa" w:w="80"/>
              <w:bottom w:type="dxa" w:w="80"/>
              <w:right w:type="dxa" w:w="80"/>
            </w:tcMar>
          </w:tcPr>
          <w:p>
            <w:pPr>
              <w:jc w:val="center"/>
            </w:pPr>
            <w:r>
              <w:rPr>
                <w:rFonts w:ascii="Calibri" w:cs="Calibri" w:eastAsia="Calibri" w:hAnsi="Calibri"/>
                <w:b/>
                <w:bCs/>
                <w:color w:val="FFFFFF"/>
                <w:sz w:val="26"/>
                <w:szCs w:val="26"/>
              </w:rPr>
              <w:t xml:space="preserve">2</w:t>
            </w:r>
          </w:p>
        </w:tc>
        <w:tc>
          <w:tcPr>
            <w:tcW w:type="dxa" w:w="8780"/>
            <w:tcBorders>
              <w:top w:val="single" w:color="1E6DB4" w:sz="1"/>
              <w:left w:val="single" w:color="1E6DB4" w:sz="1"/>
              <w:bottom w:val="single" w:color="1E6DB4" w:sz="1"/>
              <w:right w:val="single" w:color="1E6DB4" w:sz="1"/>
            </w:tcBorders>
            <w:shd w:fill="FAFBFF" w:val="clear"/>
            <w:tcMar>
              <w:top w:type="dxa" w:w="80"/>
              <w:left w:type="dxa" w:w="180"/>
              <w:bottom w:type="dxa" w:w="80"/>
              <w:right w:type="dxa" w:w="180"/>
            </w:tcMar>
          </w:tcPr>
          <w:p>
            <w:pPr>
              <w:spacing w:after="28" w:before="0"/>
            </w:pPr>
            <w:r>
              <w:rPr>
                <w:rFonts w:ascii="Calibri" w:cs="Calibri" w:eastAsia="Calibri" w:hAnsi="Calibri"/>
                <w:b/>
                <w:bCs/>
                <w:color w:val="1A1A2E"/>
                <w:sz w:val="22"/>
                <w:szCs w:val="22"/>
              </w:rPr>
              <w:t xml:space="preserve">Within 60 days — Formalize a Data Protection Addendum</w:t>
            </w:r>
          </w:p>
          <w:p>
            <w:pPr>
              <w:spacing w:after="0" w:before="0"/>
            </w:pPr>
            <w:r>
              <w:rPr>
                <w:rFonts w:ascii="Calibri" w:cs="Calibri" w:eastAsia="Calibri" w:hAnsi="Calibri"/>
                <w:color w:val="6C757D"/>
                <w:sz w:val="20"/>
                <w:szCs w:val="20"/>
              </w:rPr>
              <w:t xml:space="preserve">Even without a signed BAA (a US-specific instrument), draft an internal Data Protection Policy documenting how patient data flows, who can access it, and what encryption is applied — this becomes the foundation for any future audit or investor due diligence.</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tcPr>
          <w:p>
            <w:pPr>
              <w:jc w:val="center"/>
            </w:pPr>
            <w:r>
              <w:rPr>
                <w:rFonts w:ascii="Calibri" w:cs="Calibri" w:eastAsia="Calibri" w:hAnsi="Calibri"/>
                <w:b/>
                <w:bCs/>
                <w:color w:val="FFFFFF"/>
                <w:sz w:val="26"/>
                <w:szCs w:val="26"/>
              </w:rPr>
              <w:t xml:space="preserve">3</w:t>
            </w:r>
          </w:p>
        </w:tc>
        <w:tc>
          <w:tcPr>
            <w:tcW w:type="dxa" w:w="8780"/>
            <w:tcBorders>
              <w:top w:val="single" w:color="E87722" w:sz="1"/>
              <w:left w:val="single" w:color="E87722" w:sz="1"/>
              <w:bottom w:val="single" w:color="E87722" w:sz="1"/>
              <w:right w:val="single" w:color="E87722" w:sz="1"/>
            </w:tcBorders>
            <w:shd w:fill="FAFBFF" w:val="clear"/>
            <w:tcMar>
              <w:top w:type="dxa" w:w="80"/>
              <w:left w:type="dxa" w:w="180"/>
              <w:bottom w:type="dxa" w:w="80"/>
              <w:right w:type="dxa" w:w="180"/>
            </w:tcMar>
          </w:tcPr>
          <w:p>
            <w:pPr>
              <w:spacing w:after="28" w:before="0"/>
            </w:pPr>
            <w:r>
              <w:rPr>
                <w:rFonts w:ascii="Calibri" w:cs="Calibri" w:eastAsia="Calibri" w:hAnsi="Calibri"/>
                <w:b/>
                <w:bCs/>
                <w:color w:val="1A1A2E"/>
                <w:sz w:val="22"/>
                <w:szCs w:val="22"/>
              </w:rPr>
              <w:t xml:space="preserve">At meaningful scale (hundreds of paying users) — Evaluate dedicated VPS hosting</w:t>
            </w:r>
          </w:p>
          <w:p>
            <w:pPr>
              <w:spacing w:after="0" w:before="0"/>
            </w:pPr>
            <w:r>
              <w:rPr>
                <w:rFonts w:ascii="Calibri" w:cs="Calibri" w:eastAsia="Calibri" w:hAnsi="Calibri"/>
                <w:color w:val="6C757D"/>
                <w:sz w:val="20"/>
                <w:szCs w:val="20"/>
              </w:rPr>
              <w:t xml:space="preserve">Migrate to a self-hosted PostgreSQL instance on a dedicated server (DigitalOcean, Hetzner, or a Railway-managed Postgres add-on) once monthly managed-database costs approach the self-hosting break-even point, or once El Salvador-specific data residency becomes a partner requirement.</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tcPr>
          <w:p>
            <w:pPr>
              <w:jc w:val="center"/>
            </w:pPr>
            <w:r>
              <w:rPr>
                <w:rFonts w:ascii="Calibri" w:cs="Calibri" w:eastAsia="Calibri" w:hAnsi="Calibri"/>
                <w:b/>
                <w:bCs/>
                <w:color w:val="FFFFFF"/>
                <w:sz w:val="26"/>
                <w:szCs w:val="26"/>
              </w:rPr>
              <w:t xml:space="preserve">4</w:t>
            </w:r>
          </w:p>
        </w:tc>
        <w:tc>
          <w:tcPr>
            <w:tcW w:type="dxa" w:w="8780"/>
            <w:tcBorders>
              <w:top w:val="single" w:color="E87722" w:sz="1"/>
              <w:left w:val="single" w:color="E87722" w:sz="1"/>
              <w:bottom w:val="single" w:color="E87722" w:sz="1"/>
              <w:right w:val="single" w:color="E87722" w:sz="1"/>
            </w:tcBorders>
            <w:shd w:fill="FAFBFF" w:val="clear"/>
            <w:tcMar>
              <w:top w:type="dxa" w:w="80"/>
              <w:left w:type="dxa" w:w="180"/>
              <w:bottom w:type="dxa" w:w="80"/>
              <w:right w:type="dxa" w:w="180"/>
            </w:tcMar>
          </w:tcPr>
          <w:p>
            <w:pPr>
              <w:spacing w:after="28" w:before="0"/>
            </w:pPr>
            <w:r>
              <w:rPr>
                <w:rFonts w:ascii="Calibri" w:cs="Calibri" w:eastAsia="Calibri" w:hAnsi="Calibri"/>
                <w:b/>
                <w:bCs/>
                <w:color w:val="1A1A2E"/>
                <w:sz w:val="22"/>
                <w:szCs w:val="22"/>
              </w:rPr>
              <w:t xml:space="preserve">At national scale — Full data sovereignty architecture</w:t>
            </w:r>
          </w:p>
          <w:p>
            <w:pPr>
              <w:spacing w:after="0" w:before="0"/>
            </w:pPr>
            <w:r>
              <w:rPr>
                <w:rFonts w:ascii="Calibri" w:cs="Calibri" w:eastAsia="Calibri" w:hAnsi="Calibri"/>
                <w:color w:val="6C757D"/>
                <w:sz w:val="20"/>
                <w:szCs w:val="20"/>
              </w:rPr>
              <w:t xml:space="preserve">Dedicated infrastructure, formal security audit (e.g. SOC 2-style review), and potentially physical hosting within El Salvador if required by future health-data regulation.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EDFFF5" w:val="clear"/>
            <w:tcMar>
              <w:top w:type="dxa" w:w="100"/>
              <w:left w:type="dxa" w:w="220"/>
              <w:bottom w:type="dxa" w:w="100"/>
              <w:right w:type="dxa" w:w="220"/>
            </w:tcMar>
          </w:tcPr>
          <w:p>
            <w:pPr>
              <w:spacing w:after="0" w:before="0"/>
            </w:pPr>
            <w:r>
              <w:rPr>
                <w:rFonts w:ascii="Calibri" w:cs="Calibri" w:eastAsia="Calibri" w:hAnsi="Calibri"/>
                <w:b/>
                <w:bCs/>
                <w:color w:val="2A9D3A"/>
                <w:sz w:val="21"/>
                <w:szCs w:val="21"/>
              </w:rPr>
              <w:t xml:space="preserve">Direct answer to the judges  Conclusion:  </w:t>
            </w:r>
            <w:r>
              <w:rPr>
                <w:rFonts w:ascii="Calibri" w:cs="Calibri" w:eastAsia="Calibri" w:hAnsi="Calibri"/>
                <w:color w:val="333333"/>
                <w:sz w:val="21"/>
                <w:szCs w:val="21"/>
              </w:rPr>
              <w:t xml:space="preserve">Use a managed PostgreSQL provider now for security that a small team cannot build alone, and treat the move to a dedicated self-hosted server as a planned milestone tied to user growth and compliance needs, not a decision to make on day one.</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2"/>
              <w:left w:val="single" w:color="E87722" w:sz="2"/>
              <w:bottom w:val="single" w:color="E87722" w:sz="2"/>
              <w:right w:val="single" w:color="E87722" w:sz="2"/>
            </w:tcBorders>
            <w:shd w:fill="0D1B3E" w:val="clear"/>
            <w:tcMar>
              <w:top w:type="dxa" w:w="140"/>
              <w:left w:type="dxa" w:w="240"/>
              <w:bottom w:type="dxa" w:w="120"/>
              <w:right w:type="dxa" w:w="240"/>
            </w:tcMar>
          </w:tcPr>
          <w:p>
            <w:pPr>
              <w:spacing w:after="20" w:before="0"/>
            </w:pPr>
            <w:r>
              <w:rPr>
                <w:rFonts w:ascii="Calibri" w:cs="Calibri" w:eastAsia="Calibri" w:hAnsi="Calibri"/>
                <w:b/>
                <w:bCs/>
                <w:color w:val="E87722"/>
                <w:sz w:val="18"/>
                <w:szCs w:val="18"/>
              </w:rPr>
              <w:t xml:space="preserve">JUDGES' OBSERVATION #4</w:t>
            </w:r>
          </w:p>
          <w:p>
            <w:pPr>
              <w:spacing w:after="60" w:before="0"/>
            </w:pPr>
            <w:r>
              <w:rPr>
                <w:rFonts w:ascii="Calibri" w:cs="Calibri" w:eastAsia="Calibri" w:hAnsi="Calibri"/>
                <w:b/>
                <w:bCs/>
                <w:color w:val="FFFFFF"/>
                <w:sz w:val="26"/>
                <w:szCs w:val="26"/>
              </w:rPr>
              <w:t xml:space="preserve">How can we bring doctors directly into BitFarma so patients can simply pick up their medication?</w:t>
            </w:r>
          </w:p>
          <w:p>
            <w:pPr>
              <w:spacing w:after="0" w:before="0"/>
            </w:pPr>
            <w:r>
              <w:rPr>
                <w:rFonts w:ascii="Calibri" w:cs="Calibri" w:eastAsia="Calibri" w:hAnsi="Calibri"/>
                <w:i/>
                <w:iCs/>
                <w:color w:val="A8C8F0"/>
                <w:sz w:val="19"/>
                <w:szCs w:val="19"/>
              </w:rPr>
              <w:t xml:space="preserve">This follows naturally from Issue 1 — direct prescriber integration is the strongest fraud-prevention and convenience lever available.</w:t>
            </w:r>
          </w:p>
        </w:tc>
      </w:tr>
    </w:tbl>
    <w:p>
      <w:pPr>
        <w:spacing w:after="100" w:before="0"/>
      </w:pPr>
    </w:p>
    <w:p>
      <w:pPr>
        <w:pStyle w:val="Heading2"/>
        <w:spacing w:after="80" w:before="280"/>
      </w:pPr>
      <w:r>
        <w:rPr>
          <w:rFonts w:ascii="Calibri" w:cs="Calibri" w:eastAsia="Calibri" w:hAnsi="Calibri"/>
          <w:b/>
          <w:bCs/>
          <w:color w:val="1E6DB4"/>
          <w:sz w:val="26"/>
          <w:szCs w:val="26"/>
        </w:rPr>
        <w:t xml:space="preserve">4.1 The Strategic Opportunity</w:t>
      </w:r>
    </w:p>
    <w:p>
      <w:pPr>
        <w:spacing w:after="140" w:before="0" w:line="360"/>
        <w:jc w:val="both"/>
      </w:pPr>
      <w:r>
        <w:rPr>
          <w:rFonts w:ascii="Calibri" w:cs="Calibri" w:eastAsia="Calibri" w:hAnsi="Calibri"/>
          <w:b w:val="false"/>
          <w:bCs w:val="false"/>
          <w:i w:val="false"/>
          <w:iCs w:val="false"/>
          <w:color w:val="1A1A2E"/>
          <w:sz w:val="22"/>
          <w:szCs w:val="22"/>
        </w:rPr>
        <w:t xml:space="preserve">Today, the patient is the single point of failure in the prescription chain: they receive a paper prescription, photograph it, and upload it. Every step in that chain is an opportunity for error, delay, or fraud. The single highest-leverage product improvement BitFarma can make is to let the doctor originate the prescription digitally and route it straight into BitFarma's workflow — exactly what e-prescribing platforms internationally were built to do.</w:t>
      </w:r>
    </w:p>
    <w:p>
      <w:pPr>
        <w:spacing w:after="40" w:before="0"/>
      </w:pPr>
    </w:p>
    <w:p>
      <w:pPr>
        <w:spacing w:after="80" w:before="0" w:line="320"/>
        <w:jc w:val="both"/>
      </w:pPr>
      <w:r>
        <w:rPr>
          <w:rFonts w:ascii="Calibri" w:cs="Calibri" w:eastAsia="Calibri" w:hAnsi="Calibri"/>
          <w:i/>
          <w:iCs/>
          <w:color w:val="6C757D"/>
          <w:sz w:val="18"/>
          <w:szCs w:val="18"/>
        </w:rPr>
        <w:t xml:space="preserve">   Source: NABP (National Association of Boards of Pharmacy) — 'A major benefit of e-prescribing is the reduced possibility for human error... e-prescribing allows for more efficient processing of prescriptions and may eliminate steps in the dispensing process.'</w:t>
      </w:r>
    </w:p>
    <w:p>
      <w:pPr>
        <w:spacing w:after="80" w:before="0"/>
      </w:pPr>
    </w:p>
    <w:p>
      <w:pPr>
        <w:pStyle w:val="Heading2"/>
        <w:spacing w:after="80" w:before="280"/>
      </w:pPr>
      <w:r>
        <w:rPr>
          <w:rFonts w:ascii="Calibri" w:cs="Calibri" w:eastAsia="Calibri" w:hAnsi="Calibri"/>
          <w:b/>
          <w:bCs/>
          <w:color w:val="1E6DB4"/>
          <w:sz w:val="26"/>
          <w:szCs w:val="26"/>
        </w:rPr>
        <w:t xml:space="preserve">4.2 Recommended Solution — A 3-Phase Doctor Onboarding Strategy</w:t>
      </w:r>
    </w:p>
    <w:p>
      <w:pPr>
        <w:pStyle w:val="Heading3"/>
        <w:spacing w:after="60" w:before="180"/>
      </w:pPr>
      <w:r>
        <w:rPr>
          <w:rFonts w:ascii="Calibri" w:cs="Calibri" w:eastAsia="Calibri" w:hAnsi="Calibri"/>
          <w:b/>
          <w:bCs/>
          <w:color w:val="1A2F5E"/>
          <w:sz w:val="23"/>
          <w:szCs w:val="23"/>
        </w:rPr>
        <w:t xml:space="preserve">Phase 1 — The Doctor Portal (Lightweight, Fast to Build)</w:t>
      </w:r>
    </w:p>
    <w:p>
      <w:pPr>
        <w:spacing w:after="140" w:before="0" w:line="360"/>
        <w:jc w:val="both"/>
      </w:pPr>
      <w:r>
        <w:rPr>
          <w:rFonts w:ascii="Calibri" w:cs="Calibri" w:eastAsia="Calibri" w:hAnsi="Calibri"/>
          <w:b w:val="false"/>
          <w:bCs w:val="false"/>
          <w:i w:val="false"/>
          <w:iCs w:val="false"/>
          <w:color w:val="1A1A2E"/>
          <w:sz w:val="22"/>
          <w:szCs w:val="22"/>
        </w:rPr>
        <w:t xml:space="preserve">Build a simple, dedicated web portal — separate from the patient and pharmacist dashboards — where a verified doctor can log in and issue a prescription directly into a patient's BitFarma account.</w:t>
      </w:r>
    </w:p>
    <w:p>
      <w:pPr>
        <w:pStyle w:val="ListParagraph"/>
        <w:numPr>
          <w:ilvl w:val="0"/>
          <w:numId w:val="2"/>
        </w:numPr>
        <w:spacing w:after="60" w:before="40" w:line="340"/>
      </w:pPr>
      <w:r>
        <w:rPr>
          <w:rFonts w:ascii="Calibri" w:cs="Calibri" w:eastAsia="Calibri" w:hAnsi="Calibri"/>
          <w:color w:val="1A1A2E"/>
          <w:sz w:val="22"/>
          <w:szCs w:val="22"/>
        </w:rPr>
        <w:t xml:space="preserve">Doctor self-registers with name, medical license number, and specialty; BitFarma manually verifies against the Junta de Vigilancia de la Profesión Médica registry before activation (same registry referenced in Issue 1's Tier 2)</w:t>
      </w:r>
    </w:p>
    <w:p>
      <w:pPr>
        <w:pStyle w:val="ListParagraph"/>
        <w:numPr>
          <w:ilvl w:val="0"/>
          <w:numId w:val="2"/>
        </w:numPr>
        <w:spacing w:after="60" w:before="40" w:line="340"/>
      </w:pPr>
      <w:r>
        <w:rPr>
          <w:rFonts w:ascii="Calibri" w:cs="Calibri" w:eastAsia="Calibri" w:hAnsi="Calibri"/>
          <w:color w:val="1A1A2E"/>
          <w:sz w:val="22"/>
          <w:szCs w:val="22"/>
        </w:rPr>
        <w:t xml:space="preserve">Once verified, the doctor receives a unique Prescriber Code and login credentials</w:t>
      </w:r>
    </w:p>
    <w:p>
      <w:pPr>
        <w:pStyle w:val="ListParagraph"/>
        <w:numPr>
          <w:ilvl w:val="0"/>
          <w:numId w:val="2"/>
        </w:numPr>
        <w:spacing w:after="60" w:before="40" w:line="340"/>
      </w:pPr>
      <w:r>
        <w:rPr>
          <w:rFonts w:ascii="Calibri" w:cs="Calibri" w:eastAsia="Calibri" w:hAnsi="Calibri"/>
          <w:color w:val="1A1A2E"/>
          <w:sz w:val="22"/>
          <w:szCs w:val="22"/>
        </w:rPr>
        <w:t xml:space="preserve">To prescribe, the doctor searches the patient by phone number or a patient-shared 'connect code' (avoiding the need for the doctor to know the patient's full account details), selects medication, dose, frequency, and duration, and submits</w:t>
      </w:r>
    </w:p>
    <w:p>
      <w:pPr>
        <w:pStyle w:val="ListParagraph"/>
        <w:numPr>
          <w:ilvl w:val="0"/>
          <w:numId w:val="2"/>
        </w:numPr>
        <w:spacing w:after="60" w:before="40" w:line="340"/>
      </w:pPr>
      <w:r>
        <w:rPr>
          <w:rFonts w:ascii="Calibri" w:cs="Calibri" w:eastAsia="Calibri" w:hAnsi="Calibri"/>
          <w:color w:val="1A1A2E"/>
          <w:sz w:val="22"/>
          <w:szCs w:val="22"/>
        </w:rPr>
        <w:t xml:space="preserve">The prescription appears instantly in the pharmacist's queue, marked 'Verified Prescriber — Direct Submission', skipping Tier 1 manual document review entirely</w:t>
      </w:r>
    </w:p>
    <w:p>
      <w:pPr>
        <w:pStyle w:val="ListParagraph"/>
        <w:numPr>
          <w:ilvl w:val="0"/>
          <w:numId w:val="2"/>
        </w:numPr>
        <w:spacing w:after="60" w:before="40" w:line="340"/>
      </w:pPr>
      <w:r>
        <w:rPr>
          <w:rFonts w:ascii="Calibri" w:cs="Calibri" w:eastAsia="Calibri" w:hAnsi="Calibri"/>
          <w:color w:val="1A1A2E"/>
          <w:sz w:val="22"/>
          <w:szCs w:val="22"/>
        </w:rPr>
        <w:t xml:space="preserve">The patient receives a notification: 'Dr. [Name] has sent you a prescription — ready for pickup once prepared' — with zero upload step required from the patient</w:t>
      </w:r>
    </w:p>
    <w:p>
      <w:pPr>
        <w:spacing w:after="60" w:before="0"/>
      </w:pPr>
    </w:p>
    <w:p>
      <w:pPr>
        <w:pStyle w:val="Heading3"/>
        <w:spacing w:after="60" w:before="180"/>
      </w:pPr>
      <w:r>
        <w:rPr>
          <w:rFonts w:ascii="Calibri" w:cs="Calibri" w:eastAsia="Calibri" w:hAnsi="Calibri"/>
          <w:b/>
          <w:bCs/>
          <w:color w:val="1A2F5E"/>
          <w:sz w:val="23"/>
          <w:szCs w:val="23"/>
        </w:rPr>
        <w:t xml:space="preserve">Phase 2 — Clinic &amp; Telehealth Partnerships</w:t>
      </w:r>
    </w:p>
    <w:p>
      <w:pPr>
        <w:spacing w:after="140" w:before="0" w:line="360"/>
        <w:jc w:val="both"/>
      </w:pPr>
      <w:r>
        <w:rPr>
          <w:rFonts w:ascii="Calibri" w:cs="Calibri" w:eastAsia="Calibri" w:hAnsi="Calibri"/>
          <w:b w:val="false"/>
          <w:bCs w:val="false"/>
          <w:i w:val="false"/>
          <w:iCs w:val="false"/>
          <w:color w:val="1A1A2E"/>
          <w:sz w:val="22"/>
          <w:szCs w:val="22"/>
        </w:rPr>
        <w:t xml:space="preserve">Once the Doctor Portal works for individual doctors, BitFarma can approach clinics and telehealth providers as a distribution channel: 'After your consultation, send the prescription directly to BitFarma — your patient picks up or gets delivery, no paper required.' This creates a B2B2C acquisition channel that complements the direct-to-consumer model already in the Business Model Canvas, and it deepens the Health Sovereignty positioning by directly linking trusted medical guidance to the patient's choice of pharmacy.</w:t>
      </w:r>
    </w:p>
    <w:p>
      <w:pPr>
        <w:spacing w:after="60" w:before="0"/>
      </w:pPr>
    </w:p>
    <w:p>
      <w:pPr>
        <w:pStyle w:val="Heading3"/>
        <w:spacing w:after="60" w:before="180"/>
      </w:pPr>
      <w:r>
        <w:rPr>
          <w:rFonts w:ascii="Calibri" w:cs="Calibri" w:eastAsia="Calibri" w:hAnsi="Calibri"/>
          <w:b/>
          <w:bCs/>
          <w:color w:val="1A2F5E"/>
          <w:sz w:val="23"/>
          <w:szCs w:val="23"/>
        </w:rPr>
        <w:t xml:space="preserve">Phase 3 — Standards-Based E-Prescribing Integration (Long-Term)</w:t>
      </w:r>
    </w:p>
    <w:p>
      <w:pPr>
        <w:spacing w:after="140" w:before="0" w:line="360"/>
        <w:jc w:val="both"/>
      </w:pPr>
      <w:r>
        <w:rPr>
          <w:rFonts w:ascii="Calibri" w:cs="Calibri" w:eastAsia="Calibri" w:hAnsi="Calibri"/>
          <w:b w:val="false"/>
          <w:bCs w:val="false"/>
          <w:i w:val="false"/>
          <w:iCs w:val="false"/>
          <w:color w:val="1A1A2E"/>
          <w:sz w:val="22"/>
          <w:szCs w:val="22"/>
        </w:rPr>
        <w:t xml:space="preserve">As BitFarma scales, it can integrate with the international NCPDP SCRIPT messaging standard used by e-prescribing networks, enabling any compliant EHR (Electronic Health Record) system used by larger clinics or hospitals to route prescriptions to BitFarma automatically — the same approach used by national e-prescribing networks.</w:t>
      </w:r>
    </w:p>
    <w:p>
      <w:pPr>
        <w:spacing w:after="40" w:before="0"/>
      </w:pPr>
    </w:p>
    <w:p>
      <w:pPr>
        <w:spacing w:after="80" w:before="0" w:line="320"/>
        <w:jc w:val="both"/>
      </w:pPr>
      <w:r>
        <w:rPr>
          <w:rFonts w:ascii="Calibri" w:cs="Calibri" w:eastAsia="Calibri" w:hAnsi="Calibri"/>
          <w:i/>
          <w:iCs/>
          <w:color w:val="6C757D"/>
          <w:sz w:val="18"/>
          <w:szCs w:val="18"/>
        </w:rPr>
        <w:t xml:space="preserve">   Source: TATEEDA — 'The Complete Guide: E-prescription Software Development 2025' — describes doctor-to-pharmacy routing via API integration as a core telehealth/e-prescribing pattern, alongside drug-interaction verification during the prescription process.</w:t>
      </w:r>
    </w:p>
    <w:p>
      <w:pPr>
        <w:spacing w:after="80" w:before="0"/>
      </w:pPr>
    </w:p>
    <w:p>
      <w:pPr>
        <w:pStyle w:val="Heading2"/>
        <w:spacing w:after="80" w:before="280"/>
      </w:pPr>
      <w:r>
        <w:rPr>
          <w:rFonts w:ascii="Calibri" w:cs="Calibri" w:eastAsia="Calibri" w:hAnsi="Calibri"/>
          <w:b/>
          <w:bCs/>
          <w:color w:val="1E6DB4"/>
          <w:sz w:val="26"/>
          <w:szCs w:val="26"/>
        </w:rPr>
        <w:t xml:space="preserve">4.3 Why This Also Strengthens the Bitcoin Payment Story</w:t>
      </w:r>
    </w:p>
    <w:p>
      <w:pPr>
        <w:spacing w:after="140" w:before="0" w:line="360"/>
        <w:jc w:val="both"/>
      </w:pPr>
      <w:r>
        <w:rPr>
          <w:rFonts w:ascii="Calibri" w:cs="Calibri" w:eastAsia="Calibri" w:hAnsi="Calibri"/>
          <w:b w:val="false"/>
          <w:bCs w:val="false"/>
          <w:i w:val="false"/>
          <w:iCs w:val="false"/>
          <w:color w:val="1A1A2E"/>
          <w:sz w:val="22"/>
          <w:szCs w:val="22"/>
        </w:rPr>
        <w:t xml:space="preserve">A doctor-originated prescription can include the expected medication cost upfront, allowing BitFarma to generate the Tiankii Lightning invoice the moment the doctor submits the prescription, rather than waiting for the pharmacist to manually review and price an uploaded image. This shortens the entire patient journey from 'doctor visit' to 'payment confirmed and ready for pickup' to potentially under an hour.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EDFFF5" w:val="clear"/>
            <w:tcMar>
              <w:top w:type="dxa" w:w="100"/>
              <w:left w:type="dxa" w:w="220"/>
              <w:bottom w:type="dxa" w:w="100"/>
              <w:right w:type="dxa" w:w="220"/>
            </w:tcMar>
          </w:tcPr>
          <w:p>
            <w:pPr>
              <w:spacing w:after="0" w:before="0"/>
            </w:pPr>
            <w:r>
              <w:rPr>
                <w:rFonts w:ascii="Calibri" w:cs="Calibri" w:eastAsia="Calibri" w:hAnsi="Calibri"/>
                <w:b/>
                <w:bCs/>
                <w:color w:val="2A9D3A"/>
                <w:sz w:val="21"/>
                <w:szCs w:val="21"/>
              </w:rPr>
              <w:t xml:space="preserve">Recommendation  Practical next sprint:  </w:t>
            </w:r>
            <w:r>
              <w:rPr>
                <w:rFonts w:ascii="Calibri" w:cs="Calibri" w:eastAsia="Calibri" w:hAnsi="Calibri"/>
                <w:color w:val="333333"/>
                <w:sz w:val="21"/>
                <w:szCs w:val="21"/>
              </w:rPr>
              <w:t xml:space="preserve">Start with a manually-curated pilot: onboard 3–5 doctors who are already informally connected to the project, give them the simplest possible version of the Doctor Portal (even a structured form, no need for full EHR integration), and use their real prescriptions to validate the whole flow before investing in NCPDP-level integration.</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2"/>
              <w:left w:val="single" w:color="E87722" w:sz="2"/>
              <w:bottom w:val="single" w:color="E87722" w:sz="2"/>
              <w:right w:val="single" w:color="E87722" w:sz="2"/>
            </w:tcBorders>
            <w:shd w:fill="0D1B3E" w:val="clear"/>
            <w:tcMar>
              <w:top w:type="dxa" w:w="140"/>
              <w:left w:type="dxa" w:w="240"/>
              <w:bottom w:type="dxa" w:w="120"/>
              <w:right w:type="dxa" w:w="240"/>
            </w:tcMar>
          </w:tcPr>
          <w:p>
            <w:pPr>
              <w:spacing w:after="20" w:before="0"/>
            </w:pPr>
            <w:r>
              <w:rPr>
                <w:rFonts w:ascii="Calibri" w:cs="Calibri" w:eastAsia="Calibri" w:hAnsi="Calibri"/>
                <w:b/>
                <w:bCs/>
                <w:color w:val="E87722"/>
                <w:sz w:val="18"/>
                <w:szCs w:val="18"/>
              </w:rPr>
              <w:t xml:space="preserve">JUDGES' OBSERVATION #5</w:t>
            </w:r>
          </w:p>
          <w:p>
            <w:pPr>
              <w:spacing w:after="60" w:before="0"/>
            </w:pPr>
            <w:r>
              <w:rPr>
                <w:rFonts w:ascii="Calibri" w:cs="Calibri" w:eastAsia="Calibri" w:hAnsi="Calibri"/>
                <w:b/>
                <w:bCs/>
                <w:color w:val="FFFFFF"/>
                <w:sz w:val="26"/>
                <w:szCs w:val="26"/>
              </w:rPr>
              <w:t xml:space="preserve">How do we improve communication with the patient?</w:t>
            </w:r>
          </w:p>
          <w:p>
            <w:pPr>
              <w:spacing w:after="0" w:before="0"/>
            </w:pPr>
            <w:r>
              <w:rPr>
                <w:rFonts w:ascii="Calibri" w:cs="Calibri" w:eastAsia="Calibri" w:hAnsi="Calibri"/>
                <w:i/>
                <w:iCs/>
                <w:color w:val="A8C8F0"/>
                <w:sz w:val="19"/>
                <w:szCs w:val="19"/>
              </w:rPr>
              <w:t xml:space="preserve">The team's live answer mentioned email, phone number, and the idea of WhatsApp. This section evaluates WhatsApp Business API in detail and lays out every realistic complementary channel.</w:t>
            </w:r>
          </w:p>
        </w:tc>
      </w:tr>
    </w:tbl>
    <w:p>
      <w:pPr>
        <w:spacing w:after="100" w:before="0"/>
      </w:pPr>
    </w:p>
    <w:p>
      <w:pPr>
        <w:pStyle w:val="Heading2"/>
        <w:spacing w:after="80" w:before="280"/>
      </w:pPr>
      <w:r>
        <w:rPr>
          <w:rFonts w:ascii="Calibri" w:cs="Calibri" w:eastAsia="Calibri" w:hAnsi="Calibri"/>
          <w:b/>
          <w:bCs/>
          <w:color w:val="1E6DB4"/>
          <w:sz w:val="26"/>
          <w:szCs w:val="26"/>
        </w:rPr>
        <w:t xml:space="preserve">5.1 WhatsApp Business API — Why It's the Right Primary Channel</w:t>
      </w:r>
    </w:p>
    <w:p>
      <w:pPr>
        <w:spacing w:after="140" w:before="0" w:line="360"/>
        <w:jc w:val="both"/>
      </w:pPr>
      <w:r>
        <w:rPr>
          <w:rFonts w:ascii="Calibri" w:cs="Calibri" w:eastAsia="Calibri" w:hAnsi="Calibri"/>
          <w:b w:val="false"/>
          <w:bCs w:val="false"/>
          <w:i w:val="false"/>
          <w:iCs w:val="false"/>
          <w:color w:val="1A1A2E"/>
          <w:sz w:val="22"/>
          <w:szCs w:val="22"/>
        </w:rPr>
        <w:t xml:space="preserve">WhatsApp is the dominant messaging platform across Latin America, and El Salvador is no exception — it is very likely the single channel where BitFarma can reach patients with the highest open rate and lowest friction. Industry data backs this strongly: WhatsApp messages achieve dramatically higher engagement than email or SMS.</w:t>
      </w:r>
    </w:p>
    <w:p>
      <w:pPr>
        <w:spacing w:after="40" w:before="0"/>
      </w:pPr>
    </w:p>
    <w:p>
      <w:pPr>
        <w:spacing w:after="80" w:before="0" w:line="320"/>
        <w:jc w:val="both"/>
      </w:pPr>
      <w:r>
        <w:rPr>
          <w:rFonts w:ascii="Calibri" w:cs="Calibri" w:eastAsia="Calibri" w:hAnsi="Calibri"/>
          <w:i/>
          <w:iCs/>
          <w:color w:val="6C757D"/>
          <w:sz w:val="18"/>
          <w:szCs w:val="18"/>
        </w:rPr>
        <w:t xml:space="preserve">   Source: Flowcall — 'WhatsApp Business API Pricing 2026' — 'With over 3.14 billion WhatsApp users globally and 98% message open rates, businesses using the API can achieve 45–60% conversion rates compared to 2–5% for email and SMS.'</w:t>
      </w:r>
    </w:p>
    <w:p>
      <w:pPr>
        <w:spacing w:after="60" w:before="0"/>
      </w:pPr>
    </w:p>
    <w:p>
      <w:pPr>
        <w:pStyle w:val="Heading3"/>
        <w:spacing w:after="60" w:before="180"/>
      </w:pPr>
      <w:r>
        <w:rPr>
          <w:rFonts w:ascii="Calibri" w:cs="Calibri" w:eastAsia="Calibri" w:hAnsi="Calibri"/>
          <w:b/>
          <w:bCs/>
          <w:color w:val="1A2F5E"/>
          <w:sz w:val="23"/>
          <w:szCs w:val="23"/>
        </w:rPr>
        <w:t xml:space="preserve">How the Pricing Actually Works (Important for Budgeting)</w:t>
      </w:r>
    </w:p>
    <w:p>
      <w:pPr>
        <w:spacing w:after="140" w:before="0" w:line="360"/>
        <w:jc w:val="both"/>
      </w:pPr>
      <w:r>
        <w:rPr>
          <w:rFonts w:ascii="Calibri" w:cs="Calibri" w:eastAsia="Calibri" w:hAnsi="Calibri"/>
          <w:b w:val="false"/>
          <w:bCs w:val="false"/>
          <w:i w:val="false"/>
          <w:iCs w:val="false"/>
          <w:color w:val="1A1A2E"/>
          <w:sz w:val="22"/>
          <w:szCs w:val="22"/>
        </w:rPr>
        <w:t xml:space="preserve">As of July 2025, Meta changed WhatsApp Business API billing from a 24-hour conversation model to a per-message model. This is directly relevant to BitFarma's cost planning:</w:t>
      </w:r>
    </w:p>
    <w:p>
      <w:pPr>
        <w:pStyle w:val="ListParagraph"/>
        <w:numPr>
          <w:ilvl w:val="0"/>
          <w:numId w:val="2"/>
        </w:numPr>
        <w:spacing w:after="60" w:before="40" w:line="340"/>
      </w:pPr>
      <w:r>
        <w:rPr>
          <w:rFonts w:ascii="Calibri" w:cs="Calibri" w:eastAsia="Calibri" w:hAnsi="Calibri"/>
          <w:color w:val="1A1A2E"/>
          <w:sz w:val="22"/>
          <w:szCs w:val="22"/>
        </w:rPr>
        <w:t xml:space="preserve">Utility messages (order updates, prescription ready, delivery notifications) sent within a 24-hour window opened by the user are FREE under Meta's updated policy — this covers most of BitFarma's core notification needs</w:t>
      </w:r>
    </w:p>
    <w:p>
      <w:pPr>
        <w:pStyle w:val="ListParagraph"/>
        <w:numPr>
          <w:ilvl w:val="0"/>
          <w:numId w:val="2"/>
        </w:numPr>
        <w:spacing w:after="60" w:before="40" w:line="340"/>
      </w:pPr>
      <w:r>
        <w:rPr>
          <w:rFonts w:ascii="Calibri" w:cs="Calibri" w:eastAsia="Calibri" w:hAnsi="Calibri"/>
          <w:color w:val="1A1A2E"/>
          <w:sz w:val="22"/>
          <w:szCs w:val="22"/>
        </w:rPr>
        <w:t xml:space="preserve">Template messages sent outside that window (e.g., a proactive refill reminder) are billed per message, with utility-category pricing in Latin America typically in the range of $0.004 to $0.046 per message — a small fraction of a cent to a few cents per notification</w:t>
      </w:r>
    </w:p>
    <w:p>
      <w:pPr>
        <w:pStyle w:val="ListParagraph"/>
        <w:numPr>
          <w:ilvl w:val="0"/>
          <w:numId w:val="2"/>
        </w:numPr>
        <w:spacing w:after="60" w:before="40" w:line="340"/>
      </w:pPr>
      <w:r>
        <w:rPr>
          <w:rFonts w:ascii="Calibri" w:cs="Calibri" w:eastAsia="Calibri" w:hAnsi="Calibri"/>
          <w:color w:val="1A1A2E"/>
          <w:sz w:val="22"/>
          <w:szCs w:val="22"/>
        </w:rPr>
        <w:t xml:space="preserve">All incoming, patient-initiated messages are completely free, always</w:t>
      </w:r>
    </w:p>
    <w:p>
      <w:pPr>
        <w:spacing w:after="40" w:before="0"/>
      </w:pPr>
    </w:p>
    <w:p>
      <w:pPr>
        <w:spacing w:after="80" w:before="0" w:line="320"/>
        <w:jc w:val="both"/>
      </w:pPr>
      <w:r>
        <w:rPr>
          <w:rFonts w:ascii="Calibri" w:cs="Calibri" w:eastAsia="Calibri" w:hAnsi="Calibri"/>
          <w:i/>
          <w:iCs/>
          <w:color w:val="6C757D"/>
          <w:sz w:val="18"/>
          <w:szCs w:val="18"/>
        </w:rPr>
        <w:t xml:space="preserve">   Source: Omnichat — 'WhatsApp Business API Pricing Updates' (2025); YCloud — 'WhatsApp API Pricing Update: Effective July 1, 2025' — confirms utility templates within the 24-hour window are free, explicitly citing healthcare as a beneficiary use case.</w:t>
      </w:r>
    </w:p>
    <w:p>
      <w:pPr>
        <w:spacing w:after="80" w:before="0"/>
      </w:pPr>
    </w:p>
    <w:p>
      <w:pPr>
        <w:pStyle w:val="Heading2"/>
        <w:spacing w:after="80" w:before="280"/>
      </w:pPr>
      <w:r>
        <w:rPr>
          <w:rFonts w:ascii="Calibri" w:cs="Calibri" w:eastAsia="Calibri" w:hAnsi="Calibri"/>
          <w:b/>
          <w:bCs/>
          <w:color w:val="1E6DB4"/>
          <w:sz w:val="26"/>
          <w:szCs w:val="26"/>
        </w:rPr>
        <w:t xml:space="preserve">5.2 Recommended WhatsApp Use Cases for BitFarma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Notification</w:t>
            </w:r>
          </w:p>
        </w:tc>
        <w:tc>
          <w:tcPr>
            <w:tcW w:type="dxa" w:w="616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Trigger</w:t>
            </w:r>
          </w:p>
        </w:tc>
      </w:tr>
      <w:tr>
        <w:tc>
          <w:tcPr>
            <w:tcW w:type="dxa" w:w="32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Prescription received</w:t>
            </w:r>
          </w:p>
        </w:tc>
        <w:tc>
          <w:tcPr>
            <w:tcW w:type="dxa" w:w="61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Patient or doctor submits a prescription — confirms receipt instantly</w:t>
            </w:r>
          </w:p>
        </w:tc>
      </w:tr>
      <w:tr>
        <w:tc>
          <w:tcPr>
            <w:tcW w:type="dxa" w:w="32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Order ready for payment</w:t>
            </w:r>
          </w:p>
        </w:tc>
        <w:tc>
          <w:tcPr>
            <w:tcW w:type="dxa" w:w="61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Pharmacist marks order 'Ready' — sends the Lightning QR / payment link directly in WhatsApp</w:t>
            </w:r>
          </w:p>
        </w:tc>
      </w:tr>
      <w:tr>
        <w:tc>
          <w:tcPr>
            <w:tcW w:type="dxa" w:w="32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Payment confirmed</w:t>
            </w:r>
          </w:p>
        </w:tc>
        <w:tc>
          <w:tcPr>
            <w:tcW w:type="dxa" w:w="61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Tiankii webhook fires — patient gets instant Bitcoin payment confirmation</w:t>
            </w:r>
          </w:p>
        </w:tc>
      </w:tr>
      <w:tr>
        <w:tc>
          <w:tcPr>
            <w:tcW w:type="dxa" w:w="32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Ready for pickup / out for delivery</w:t>
            </w:r>
          </w:p>
        </w:tc>
        <w:tc>
          <w:tcPr>
            <w:tcW w:type="dxa" w:w="61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Order status changes — replaces the need for the patient to check the app</w:t>
            </w:r>
          </w:p>
        </w:tc>
      </w:tr>
      <w:tr>
        <w:tc>
          <w:tcPr>
            <w:tcW w:type="dxa" w:w="32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Refill reminder</w:t>
            </w:r>
          </w:p>
        </w:tc>
        <w:tc>
          <w:tcPr>
            <w:tcW w:type="dxa" w:w="61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3–5 days before the calculated 'eligible refill date' from Issue 2's dispensing engine — a direct cross-feature synergy</w:t>
            </w:r>
          </w:p>
        </w:tc>
      </w:tr>
      <w:tr>
        <w:tc>
          <w:tcPr>
            <w:tcW w:type="dxa" w:w="32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Duplicate / flagged order</w:t>
            </w:r>
          </w:p>
        </w:tc>
        <w:tc>
          <w:tcPr>
            <w:tcW w:type="dxa" w:w="61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Pharmacist needs clarification — opens a two-way chat instead of a phone call</w:t>
            </w:r>
          </w:p>
        </w:tc>
      </w:tr>
    </w:tbl>
    <w:p>
      <w:pPr>
        <w:spacing w:after="80" w:before="0"/>
      </w:pPr>
    </w:p>
    <w:p>
      <w:pPr>
        <w:pStyle w:val="Heading2"/>
        <w:spacing w:after="80" w:before="280"/>
      </w:pPr>
      <w:r>
        <w:rPr>
          <w:rFonts w:ascii="Calibri" w:cs="Calibri" w:eastAsia="Calibri" w:hAnsi="Calibri"/>
          <w:b/>
          <w:bCs/>
          <w:color w:val="1E6DB4"/>
          <w:sz w:val="26"/>
          <w:szCs w:val="26"/>
        </w:rPr>
        <w:t xml:space="preserve">5.3 Complementary Channels — A Complete Communication Stack</w:t>
      </w:r>
    </w:p>
    <w:p>
      <w:pPr>
        <w:spacing w:after="140" w:before="0" w:line="360"/>
        <w:jc w:val="both"/>
      </w:pPr>
      <w:r>
        <w:rPr>
          <w:rFonts w:ascii="Calibri" w:cs="Calibri" w:eastAsia="Calibri" w:hAnsi="Calibri"/>
          <w:b w:val="false"/>
          <w:bCs w:val="false"/>
          <w:i w:val="false"/>
          <w:iCs w:val="false"/>
          <w:color w:val="1A1A2E"/>
          <w:sz w:val="22"/>
          <w:szCs w:val="22"/>
        </w:rPr>
        <w:t xml:space="preserve">WhatsApp should be primary, but BitFarma should not depend on a single channel. Here is the full recommended stack, addressing the judges' request for 'all possible solutions':</w:t>
      </w:r>
    </w:p>
    <w:p>
      <w:pPr>
        <w:spacing w:after="60" w:before="0"/>
      </w:pPr>
    </w:p>
    <w:p>
      <w:pPr>
        <w:pStyle w:val="Heading3"/>
        <w:spacing w:after="60" w:before="180"/>
      </w:pPr>
      <w:r>
        <w:rPr>
          <w:rFonts w:ascii="Calibri" w:cs="Calibri" w:eastAsia="Calibri" w:hAnsi="Calibri"/>
          <w:b/>
          <w:bCs/>
          <w:color w:val="1A2F5E"/>
          <w:sz w:val="23"/>
          <w:szCs w:val="23"/>
        </w:rPr>
        <w:t xml:space="preserve">Email (already in place)</w:t>
      </w:r>
    </w:p>
    <w:p>
      <w:pPr>
        <w:pStyle w:val="ListParagraph"/>
        <w:numPr>
          <w:ilvl w:val="0"/>
          <w:numId w:val="2"/>
        </w:numPr>
        <w:spacing w:after="60" w:before="40" w:line="340"/>
      </w:pPr>
      <w:r>
        <w:rPr>
          <w:rFonts w:ascii="Calibri" w:cs="Calibri" w:eastAsia="Calibri" w:hAnsi="Calibri"/>
          <w:color w:val="1A1A2E"/>
          <w:sz w:val="22"/>
          <w:szCs w:val="22"/>
        </w:rPr>
        <w:t xml:space="preserve">Best for: formal records — payment receipts, prescription history exports, account security notices</w:t>
      </w:r>
    </w:p>
    <w:p>
      <w:pPr>
        <w:pStyle w:val="ListParagraph"/>
        <w:numPr>
          <w:ilvl w:val="0"/>
          <w:numId w:val="2"/>
        </w:numPr>
        <w:spacing w:after="60" w:before="40" w:line="340"/>
      </w:pPr>
      <w:r>
        <w:rPr>
          <w:rFonts w:ascii="Calibri" w:cs="Calibri" w:eastAsia="Calibri" w:hAnsi="Calibri"/>
          <w:color w:val="1A1A2E"/>
          <w:sz w:val="22"/>
          <w:szCs w:val="22"/>
        </w:rPr>
        <w:t xml:space="preserve">Limitation: lower open rates than WhatsApp, slower for time-sensitive updates</w:t>
      </w:r>
    </w:p>
    <w:p>
      <w:pPr>
        <w:spacing w:after="60" w:before="0"/>
      </w:pPr>
    </w:p>
    <w:p>
      <w:pPr>
        <w:pStyle w:val="Heading3"/>
        <w:spacing w:after="60" w:before="180"/>
      </w:pPr>
      <w:r>
        <w:rPr>
          <w:rFonts w:ascii="Calibri" w:cs="Calibri" w:eastAsia="Calibri" w:hAnsi="Calibri"/>
          <w:b/>
          <w:bCs/>
          <w:color w:val="1A2F5E"/>
          <w:sz w:val="23"/>
          <w:szCs w:val="23"/>
        </w:rPr>
        <w:t xml:space="preserve">SMS (recommended as a fallback layer)</w:t>
      </w:r>
    </w:p>
    <w:p>
      <w:pPr>
        <w:pStyle w:val="ListParagraph"/>
        <w:numPr>
          <w:ilvl w:val="0"/>
          <w:numId w:val="2"/>
        </w:numPr>
        <w:spacing w:after="60" w:before="40" w:line="340"/>
      </w:pPr>
      <w:r>
        <w:rPr>
          <w:rFonts w:ascii="Calibri" w:cs="Calibri" w:eastAsia="Calibri" w:hAnsi="Calibri"/>
          <w:color w:val="1A1A2E"/>
          <w:sz w:val="22"/>
          <w:szCs w:val="22"/>
        </w:rPr>
        <w:t xml:space="preserve">Best for: patients without smartphone data access, or as a backup if a WhatsApp message fails to deliver</w:t>
      </w:r>
    </w:p>
    <w:p>
      <w:pPr>
        <w:pStyle w:val="ListParagraph"/>
        <w:numPr>
          <w:ilvl w:val="0"/>
          <w:numId w:val="2"/>
        </w:numPr>
        <w:spacing w:after="60" w:before="40" w:line="340"/>
      </w:pPr>
      <w:r>
        <w:rPr>
          <w:rFonts w:ascii="Calibri" w:cs="Calibri" w:eastAsia="Calibri" w:hAnsi="Calibri"/>
          <w:color w:val="1A1A2E"/>
          <w:sz w:val="22"/>
          <w:szCs w:val="22"/>
        </w:rPr>
        <w:t xml:space="preserve">Particularly relevant for BitFarma's stated mission of serving both banked and unbanked populations — SMS reaches even the most basic phones</w:t>
      </w:r>
    </w:p>
    <w:p>
      <w:pPr>
        <w:pStyle w:val="ListParagraph"/>
        <w:numPr>
          <w:ilvl w:val="0"/>
          <w:numId w:val="2"/>
        </w:numPr>
        <w:spacing w:after="60" w:before="40" w:line="340"/>
      </w:pPr>
      <w:r>
        <w:rPr>
          <w:rFonts w:ascii="Calibri" w:cs="Calibri" w:eastAsia="Calibri" w:hAnsi="Calibri"/>
          <w:color w:val="1A1A2E"/>
          <w:sz w:val="22"/>
          <w:szCs w:val="22"/>
        </w:rPr>
        <w:t xml:space="preserve">Should trigger automatically only if the WhatsApp message is undelivered after a set time window, to avoid double-charging for redundant notifications</w:t>
      </w:r>
    </w:p>
    <w:p>
      <w:pPr>
        <w:spacing w:after="60" w:before="0"/>
      </w:pPr>
    </w:p>
    <w:p>
      <w:pPr>
        <w:pStyle w:val="Heading3"/>
        <w:spacing w:after="60" w:before="180"/>
      </w:pPr>
      <w:r>
        <w:rPr>
          <w:rFonts w:ascii="Calibri" w:cs="Calibri" w:eastAsia="Calibri" w:hAnsi="Calibri"/>
          <w:b/>
          <w:bCs/>
          <w:color w:val="1A2F5E"/>
          <w:sz w:val="23"/>
          <w:szCs w:val="23"/>
        </w:rPr>
        <w:t xml:space="preserve">In-App Push Notifications (build alongside the mobile experience)</w:t>
      </w:r>
    </w:p>
    <w:p>
      <w:pPr>
        <w:pStyle w:val="ListParagraph"/>
        <w:numPr>
          <w:ilvl w:val="0"/>
          <w:numId w:val="2"/>
        </w:numPr>
        <w:spacing w:after="60" w:before="40" w:line="340"/>
      </w:pPr>
      <w:r>
        <w:rPr>
          <w:rFonts w:ascii="Calibri" w:cs="Calibri" w:eastAsia="Calibri" w:hAnsi="Calibri"/>
          <w:color w:val="1A1A2E"/>
          <w:sz w:val="22"/>
          <w:szCs w:val="22"/>
        </w:rPr>
        <w:t xml:space="preserve">Best for: patients who have the BitFarma app open or installed — zero marginal cost per notification</w:t>
      </w:r>
    </w:p>
    <w:p>
      <w:pPr>
        <w:pStyle w:val="ListParagraph"/>
        <w:numPr>
          <w:ilvl w:val="0"/>
          <w:numId w:val="2"/>
        </w:numPr>
        <w:spacing w:after="60" w:before="40" w:line="340"/>
      </w:pPr>
      <w:r>
        <w:rPr>
          <w:rFonts w:ascii="Calibri" w:cs="Calibri" w:eastAsia="Calibri" w:hAnsi="Calibri"/>
          <w:color w:val="1A1A2E"/>
          <w:sz w:val="22"/>
          <w:szCs w:val="22"/>
        </w:rPr>
        <w:t xml:space="preserve">Should mirror the same trigger events as WhatsApp (order ready, payment confirmed, etc.) so patients get redundant, reliable updates through whichever channel they check first</w:t>
      </w:r>
    </w:p>
    <w:p>
      <w:pPr>
        <w:spacing w:after="60" w:before="0"/>
      </w:pPr>
    </w:p>
    <w:p>
      <w:pPr>
        <w:pStyle w:val="Heading3"/>
        <w:spacing w:after="60" w:before="180"/>
      </w:pPr>
      <w:r>
        <w:rPr>
          <w:rFonts w:ascii="Calibri" w:cs="Calibri" w:eastAsia="Calibri" w:hAnsi="Calibri"/>
          <w:b/>
          <w:bCs/>
          <w:color w:val="1A2F5E"/>
          <w:sz w:val="23"/>
          <w:szCs w:val="23"/>
        </w:rPr>
        <w:t xml:space="preserve">Voice Call — Pharmacist Escalation Only (not automated)</w:t>
      </w:r>
    </w:p>
    <w:p>
      <w:pPr>
        <w:pStyle w:val="ListParagraph"/>
        <w:numPr>
          <w:ilvl w:val="0"/>
          <w:numId w:val="2"/>
        </w:numPr>
        <w:spacing w:after="60" w:before="40" w:line="340"/>
      </w:pPr>
      <w:r>
        <w:rPr>
          <w:rFonts w:ascii="Calibri" w:cs="Calibri" w:eastAsia="Calibri" w:hAnsi="Calibri"/>
          <w:color w:val="1A1A2E"/>
          <w:sz w:val="22"/>
          <w:szCs w:val="22"/>
        </w:rPr>
        <w:t xml:space="preserve">Reserved for edge cases: a flagged duplicate prescription, a stock-availability problem, or any case where the pharmacist needs to speak with the patient directly before dispensing — this is a workflow trigger, not a marketing channel</w:t>
      </w:r>
    </w:p>
    <w:p>
      <w:pPr>
        <w:spacing w:after="80" w:before="0"/>
      </w:pPr>
    </w:p>
    <w:p>
      <w:pPr>
        <w:pStyle w:val="Heading2"/>
        <w:spacing w:after="80" w:before="280"/>
      </w:pPr>
      <w:r>
        <w:rPr>
          <w:rFonts w:ascii="Calibri" w:cs="Calibri" w:eastAsia="Calibri" w:hAnsi="Calibri"/>
          <w:b/>
          <w:bCs/>
          <w:color w:val="1E6DB4"/>
          <w:sz w:val="26"/>
          <w:szCs w:val="26"/>
        </w:rPr>
        <w:t xml:space="preserve">5.4 Implementation Priority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Priority</w:t>
            </w:r>
          </w:p>
        </w:tc>
        <w:tc>
          <w:tcPr>
            <w:tcW w:type="dxa" w:w="348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Channel</w:t>
            </w:r>
          </w:p>
        </w:tc>
        <w:tc>
          <w:tcPr>
            <w:tcW w:type="dxa" w:w="448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Why First / Next</w:t>
            </w:r>
          </w:p>
        </w:tc>
      </w:tr>
      <w:tr>
        <w:tc>
          <w:tcPr>
            <w:tcW w:type="dxa" w:w="14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Now</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WhatsApp Business API</w:t>
            </w:r>
          </w:p>
        </w:tc>
        <w:tc>
          <w:tcPr>
            <w:tcW w:type="dxa" w:w="4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Highest reach, mostly free for BitFarma's core utility messages, directly requested by judges</w:t>
            </w:r>
          </w:p>
        </w:tc>
      </w:tr>
      <w:tr>
        <w:tc>
          <w:tcPr>
            <w:tcW w:type="dxa" w:w="14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Next 60 days</w:t>
            </w:r>
          </w:p>
        </w:tc>
        <w:tc>
          <w:tcPr>
            <w:tcW w:type="dxa" w:w="348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SMS fallback</w:t>
            </w:r>
          </w:p>
        </w:tc>
        <w:tc>
          <w:tcPr>
            <w:tcW w:type="dxa" w:w="448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Low cost, closes the gap for unbanked / feature-phone patients — protects the Health Sovereignty mission</w:t>
            </w:r>
          </w:p>
        </w:tc>
      </w:tr>
      <w:tr>
        <w:tc>
          <w:tcPr>
            <w:tcW w:type="dxa" w:w="14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With mobile app</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In-app push</w:t>
            </w:r>
          </w:p>
        </w:tc>
        <w:tc>
          <w:tcPr>
            <w:tcW w:type="dxa" w:w="4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Zero marginal cost, strengthens engagement once a dedicated app exists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EDFFF5" w:val="clear"/>
            <w:tcMar>
              <w:top w:type="dxa" w:w="100"/>
              <w:left w:type="dxa" w:w="220"/>
              <w:bottom w:type="dxa" w:w="100"/>
              <w:right w:type="dxa" w:w="220"/>
            </w:tcMar>
          </w:tcPr>
          <w:p>
            <w:pPr>
              <w:spacing w:after="0" w:before="0"/>
            </w:pPr>
            <w:r>
              <w:rPr>
                <w:rFonts w:ascii="Calibri" w:cs="Calibri" w:eastAsia="Calibri" w:hAnsi="Calibri"/>
                <w:b/>
                <w:bCs/>
                <w:color w:val="2A9D3A"/>
                <w:sz w:val="21"/>
                <w:szCs w:val="21"/>
              </w:rPr>
              <w:t xml:space="preserve">Direct answer to the judges  Conclusion:  </w:t>
            </w:r>
            <w:r>
              <w:rPr>
                <w:rFonts w:ascii="Calibri" w:cs="Calibri" w:eastAsia="Calibri" w:hAnsi="Calibri"/>
                <w:color w:val="333333"/>
                <w:sz w:val="21"/>
                <w:szCs w:val="21"/>
              </w:rPr>
              <w:t xml:space="preserve">WhatsApp Business API is correctly identified as the primary channel, and current Meta pricing rules make most of BitFarma's notification needs effectively free. Layer SMS as an automatic fallback to protect unbanked patients, and add in-app push once a dedicated mobile app is built.</w:t>
            </w:r>
          </w:p>
        </w:tc>
      </w:tr>
    </w:tbl>
    <w:p>
      <w:pPr>
        <w:spacing w:after="120" w:before="0"/>
      </w:pPr>
    </w:p>
    <w:p>
      <w:r>
        <w:br w:type="page"/>
      </w:r>
    </w:p>
    <w:p>
      <w:pPr>
        <w:pStyle w:val="Heading1"/>
        <w:spacing w:after="120" w:before="400"/>
      </w:pPr>
      <w:r>
        <w:rPr>
          <w:rFonts w:ascii="Calibri" w:cs="Calibri" w:eastAsia="Calibri" w:hAnsi="Calibri"/>
          <w:b/>
          <w:bCs/>
          <w:color w:val="0D1B3E"/>
          <w:sz w:val="34"/>
          <w:szCs w:val="34"/>
        </w:rPr>
        <w:t xml:space="preserve">Consolidated Implementation Roadmap</w:t>
      </w:r>
    </w:p>
    <w:p>
      <w:pPr>
        <w:pBdr>
          <w:bottom w:val="single" w:color="E87722" w:sz="8" w:space="1"/>
        </w:pBdr>
        <w:spacing w:after="160" w:before="0"/>
      </w:pPr>
    </w:p>
    <w:p>
      <w:pPr>
        <w:spacing w:after="140" w:before="0" w:line="360"/>
        <w:jc w:val="both"/>
      </w:pPr>
      <w:r>
        <w:rPr>
          <w:rFonts w:ascii="Calibri" w:cs="Calibri" w:eastAsia="Calibri" w:hAnsi="Calibri"/>
          <w:b w:val="false"/>
          <w:bCs w:val="false"/>
          <w:i w:val="false"/>
          <w:iCs w:val="false"/>
          <w:color w:val="1A1A2E"/>
          <w:sz w:val="22"/>
          <w:szCs w:val="22"/>
        </w:rPr>
        <w:t xml:space="preserve">The following table merges all five workstreams into a single sequenced plan, organized by what can be built immediately versus what depends on partnerships or scale.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300"/>
        <w:gridCol w:w="1760"/>
      </w:tblGrid>
      <w:tr>
        <w:tc>
          <w:tcPr>
            <w:tcW w:type="dxa" w:w="15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Phase</w:t>
            </w:r>
          </w:p>
        </w:tc>
        <w:tc>
          <w:tcPr>
            <w:tcW w:type="dxa" w:w="38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Action</w:t>
            </w:r>
          </w:p>
        </w:tc>
        <w:tc>
          <w:tcPr>
            <w:tcW w:type="dxa" w:w="23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Addresses Issue</w:t>
            </w:r>
          </w:p>
        </w:tc>
        <w:tc>
          <w:tcPr>
            <w:tcW w:type="dxa" w:w="176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Timeframe</w:t>
            </w:r>
          </w:p>
        </w:tc>
      </w:tr>
      <w:tr>
        <w:tc>
          <w:tcPr>
            <w:tcW w:type="dxa" w:w="15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Sprint 1</w:t>
            </w:r>
          </w:p>
        </w:tc>
        <w:tc>
          <w:tcPr>
            <w:tcW w:type="dxa" w:w="38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Structured pharmacist verification checklist</w:t>
            </w:r>
          </w:p>
        </w:tc>
        <w:tc>
          <w:tcPr>
            <w:tcW w:type="dxa" w:w="23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#1 Fraud Detection</w:t>
            </w:r>
          </w:p>
        </w:tc>
        <w:tc>
          <w:tcPr>
            <w:tcW w:type="dxa" w:w="17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1–2 weeks</w:t>
            </w:r>
          </w:p>
        </w:tc>
      </w:tr>
      <w:tr>
        <w:tc>
          <w:tcPr>
            <w:tcW w:type="dxa" w:w="15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Sprint 1</w:t>
            </w:r>
          </w:p>
        </w:tc>
        <w:tc>
          <w:tcPr>
            <w:tcW w:type="dxa" w:w="38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Add medication_class + days_supply fields to database</w:t>
            </w:r>
          </w:p>
        </w:tc>
        <w:tc>
          <w:tcPr>
            <w:tcW w:type="dxa" w:w="23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#2 Duplicates</w:t>
            </w:r>
          </w:p>
        </w:tc>
        <w:tc>
          <w:tcPr>
            <w:tcW w:type="dxa" w:w="17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1–2 weeks</w:t>
            </w:r>
          </w:p>
        </w:tc>
      </w:tr>
      <w:tr>
        <w:tc>
          <w:tcPr>
            <w:tcW w:type="dxa" w:w="15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Sprint 1</w:t>
            </w:r>
          </w:p>
        </w:tc>
        <w:tc>
          <w:tcPr>
            <w:tcW w:type="dxa" w:w="38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Migrate to managed PostgreSQL with Row-Level Security</w:t>
            </w:r>
          </w:p>
        </w:tc>
        <w:tc>
          <w:tcPr>
            <w:tcW w:type="dxa" w:w="23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#3 Database Security</w:t>
            </w:r>
          </w:p>
        </w:tc>
        <w:tc>
          <w:tcPr>
            <w:tcW w:type="dxa" w:w="17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1–2 weeks</w:t>
            </w:r>
          </w:p>
        </w:tc>
      </w:tr>
      <w:tr>
        <w:tc>
          <w:tcPr>
            <w:tcW w:type="dxa" w:w="15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Sprint 1</w:t>
            </w:r>
          </w:p>
        </w:tc>
        <w:tc>
          <w:tcPr>
            <w:tcW w:type="dxa" w:w="38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WhatsApp Business API — core utility notifications</w:t>
            </w:r>
          </w:p>
        </w:tc>
        <w:tc>
          <w:tcPr>
            <w:tcW w:type="dxa" w:w="23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#5 Communication</w:t>
            </w:r>
          </w:p>
        </w:tc>
        <w:tc>
          <w:tcPr>
            <w:tcW w:type="dxa" w:w="17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2–3 weeks</w:t>
            </w:r>
          </w:p>
        </w:tc>
      </w:tr>
      <w:tr>
        <w:tc>
          <w:tcPr>
            <w:tcW w:type="dxa" w:w="15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Sprint 2</w:t>
            </w:r>
          </w:p>
        </w:tc>
        <w:tc>
          <w:tcPr>
            <w:tcW w:type="dxa" w:w="38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Antibiotic course-completion blocking rule</w:t>
            </w:r>
          </w:p>
        </w:tc>
        <w:tc>
          <w:tcPr>
            <w:tcW w:type="dxa" w:w="23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#2 Duplicates</w:t>
            </w:r>
          </w:p>
        </w:tc>
        <w:tc>
          <w:tcPr>
            <w:tcW w:type="dxa" w:w="17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2 weeks</w:t>
            </w:r>
          </w:p>
        </w:tc>
      </w:tr>
      <w:tr>
        <w:tc>
          <w:tcPr>
            <w:tcW w:type="dxa" w:w="15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Sprint 2</w:t>
            </w:r>
          </w:p>
        </w:tc>
        <w:tc>
          <w:tcPr>
            <w:tcW w:type="dxa" w:w="38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Prescriber registry (manual, doctors known to the project)</w:t>
            </w:r>
          </w:p>
        </w:tc>
        <w:tc>
          <w:tcPr>
            <w:tcW w:type="dxa" w:w="23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#1 Fraud Detection</w:t>
            </w:r>
          </w:p>
        </w:tc>
        <w:tc>
          <w:tcPr>
            <w:tcW w:type="dxa" w:w="17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2–3 weeks</w:t>
            </w:r>
          </w:p>
        </w:tc>
      </w:tr>
      <w:tr>
        <w:tc>
          <w:tcPr>
            <w:tcW w:type="dxa" w:w="15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Sprint 2</w:t>
            </w:r>
          </w:p>
        </w:tc>
        <w:tc>
          <w:tcPr>
            <w:tcW w:type="dxa" w:w="38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Internal Data Protection Policy document</w:t>
            </w:r>
          </w:p>
        </w:tc>
        <w:tc>
          <w:tcPr>
            <w:tcW w:type="dxa" w:w="23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#3 Database Security</w:t>
            </w:r>
          </w:p>
        </w:tc>
        <w:tc>
          <w:tcPr>
            <w:tcW w:type="dxa" w:w="17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1 week</w:t>
            </w:r>
          </w:p>
        </w:tc>
      </w:tr>
      <w:tr>
        <w:tc>
          <w:tcPr>
            <w:tcW w:type="dxa" w:w="15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Sprint 3</w:t>
            </w:r>
          </w:p>
        </w:tc>
        <w:tc>
          <w:tcPr>
            <w:tcW w:type="dxa" w:w="38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Doctor Portal — Phase 1 pilot (3–5 doctors)</w:t>
            </w:r>
          </w:p>
        </w:tc>
        <w:tc>
          <w:tcPr>
            <w:tcW w:type="dxa" w:w="23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#4 Doctor Integration</w:t>
            </w:r>
          </w:p>
        </w:tc>
        <w:tc>
          <w:tcPr>
            <w:tcW w:type="dxa" w:w="17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3–4 weeks</w:t>
            </w:r>
          </w:p>
        </w:tc>
      </w:tr>
      <w:tr>
        <w:tc>
          <w:tcPr>
            <w:tcW w:type="dxa" w:w="15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Sprint 3</w:t>
            </w:r>
          </w:p>
        </w:tc>
        <w:tc>
          <w:tcPr>
            <w:tcW w:type="dxa" w:w="38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Chronic medication refill-window rules plus auto refill reminders via WhatsApp</w:t>
            </w:r>
          </w:p>
        </w:tc>
        <w:tc>
          <w:tcPr>
            <w:tcW w:type="dxa" w:w="23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#2 and #5</w:t>
            </w:r>
          </w:p>
        </w:tc>
        <w:tc>
          <w:tcPr>
            <w:tcW w:type="dxa" w:w="17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2–3 weeks</w:t>
            </w:r>
          </w:p>
        </w:tc>
      </w:tr>
      <w:tr>
        <w:tc>
          <w:tcPr>
            <w:tcW w:type="dxa" w:w="15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Sprint 4</w:t>
            </w:r>
          </w:p>
        </w:tc>
        <w:tc>
          <w:tcPr>
            <w:tcW w:type="dxa" w:w="38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SMS fallback layer</w:t>
            </w:r>
          </w:p>
        </w:tc>
        <w:tc>
          <w:tcPr>
            <w:tcW w:type="dxa" w:w="23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#5 Communication</w:t>
            </w:r>
          </w:p>
        </w:tc>
        <w:tc>
          <w:tcPr>
            <w:tcW w:type="dxa" w:w="17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2 weeks</w:t>
            </w:r>
          </w:p>
        </w:tc>
      </w:tr>
      <w:tr>
        <w:tc>
          <w:tcPr>
            <w:tcW w:type="dxa" w:w="15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Future</w:t>
            </w:r>
          </w:p>
        </w:tc>
        <w:tc>
          <w:tcPr>
            <w:tcW w:type="dxa" w:w="38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Self-hosted PostgreSQL migration at scale</w:t>
            </w:r>
          </w:p>
        </w:tc>
        <w:tc>
          <w:tcPr>
            <w:tcW w:type="dxa" w:w="23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#3 Database Security</w:t>
            </w:r>
          </w:p>
        </w:tc>
        <w:tc>
          <w:tcPr>
            <w:tcW w:type="dxa" w:w="176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Triggered by growth</w:t>
            </w:r>
          </w:p>
        </w:tc>
      </w:tr>
      <w:tr>
        <w:tc>
          <w:tcPr>
            <w:tcW w:type="dxa" w:w="15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left"/>
            </w:pPr>
            <w:r>
              <w:rPr>
                <w:rFonts w:ascii="Calibri" w:cs="Calibri" w:eastAsia="Calibri" w:hAnsi="Calibri"/>
                <w:color w:val="1A1A2E"/>
                <w:sz w:val="19"/>
                <w:szCs w:val="19"/>
              </w:rPr>
              <w:t xml:space="preserve">Future</w:t>
            </w:r>
          </w:p>
        </w:tc>
        <w:tc>
          <w:tcPr>
            <w:tcW w:type="dxa" w:w="38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NCPDP-style EHR/clinic integration</w:t>
            </w:r>
          </w:p>
        </w:tc>
        <w:tc>
          <w:tcPr>
            <w:tcW w:type="dxa" w:w="230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#4 Doctor Integration</w:t>
            </w:r>
          </w:p>
        </w:tc>
        <w:tc>
          <w:tcPr>
            <w:tcW w:type="dxa" w:w="1760"/>
            <w:tcBorders>
              <w:top w:val="single" w:color="DDDDDD" w:sz="1"/>
              <w:left w:val="single" w:color="DDDDDD" w:sz="1"/>
              <w:bottom w:val="single" w:color="DDDDDD" w:sz="1"/>
              <w:right w:val="single" w:color="DDDDDD" w:sz="1"/>
            </w:tcBorders>
            <w:shd w:fill="F0F8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Triggered by partnerships</w:t>
            </w:r>
          </w:p>
        </w:tc>
      </w:tr>
    </w:tbl>
    <w:p>
      <w:pPr>
        <w:spacing w:after="120" w:before="0"/>
      </w:pPr>
    </w:p>
    <w:p>
      <w:pPr>
        <w:pStyle w:val="Heading2"/>
        <w:spacing w:after="80" w:before="280"/>
      </w:pPr>
      <w:r>
        <w:rPr>
          <w:rFonts w:ascii="Calibri" w:cs="Calibri" w:eastAsia="Calibri" w:hAnsi="Calibri"/>
          <w:b/>
          <w:bCs/>
          <w:color w:val="1E6DB4"/>
          <w:sz w:val="26"/>
          <w:szCs w:val="26"/>
        </w:rPr>
        <w:t xml:space="preserve">Closing Note</w:t>
      </w:r>
    </w:p>
    <w:p>
      <w:pPr>
        <w:spacing w:after="140" w:before="0" w:line="360"/>
        <w:jc w:val="both"/>
      </w:pPr>
      <w:r>
        <w:rPr>
          <w:rFonts w:ascii="Calibri" w:cs="Calibri" w:eastAsia="Calibri" w:hAnsi="Calibri"/>
          <w:b w:val="false"/>
          <w:bCs w:val="false"/>
          <w:i w:val="false"/>
          <w:iCs w:val="false"/>
          <w:color w:val="1A1A2E"/>
          <w:sz w:val="22"/>
          <w:szCs w:val="22"/>
        </w:rPr>
        <w:t xml:space="preserve">None of the five issues raised by the judges' panel require BitFarma to rebuild its architecture. Each one is an additive layer on top of the system already presented: a smarter review checklist, a few new database fields and rules, a managed database with stronger defaults, a new portal for a new user type, and a notification channel that is, for the most part, free to operate. This is the natural evolution from a working prototype into a trustworthy, auditable healthcare platform, and addressing these points head-on is precisely what will make BitFarma credible to sponsors, regulators, and the doctors and drugstores it is asking to partner with.</w:t>
      </w:r>
    </w:p>
    <w:p>
      <w:pPr>
        <w:spacing w:after="200" w:before="0"/>
      </w:pPr>
    </w:p>
    <w:p>
      <w:pPr>
        <w:pBdr>
          <w:top w:val="single" w:color="E87722" w:sz="4" w:space="1"/>
        </w:pBdr>
        <w:spacing w:after="0" w:before="200"/>
        <w:jc w:val="center"/>
      </w:pPr>
      <w:r>
        <w:rPr>
          <w:rFonts w:ascii="Calibri" w:cs="Calibri" w:eastAsia="Calibri" w:hAnsi="Calibri"/>
          <w:i/>
          <w:iCs/>
          <w:color w:val="1A2F5E"/>
          <w:sz w:val="22"/>
          <w:szCs w:val="22"/>
        </w:rPr>
        <w:t xml:space="preserve">"Fix the money. Fix the world. Start with healthcare."</w:t>
      </w:r>
    </w:p>
    <w:p>
      <w:pPr>
        <w:spacing w:after="80" w:before="0"/>
      </w:pPr>
    </w:p>
    <w:p>
      <w:pPr>
        <w:spacing w:after="140" w:before="0" w:line="360"/>
        <w:jc w:val="center"/>
      </w:pPr>
      <w:r>
        <w:rPr>
          <w:rFonts w:ascii="Calibri" w:cs="Calibri" w:eastAsia="Calibri" w:hAnsi="Calibri"/>
          <w:b w:val="false"/>
          <w:bCs w:val="false"/>
          <w:i/>
          <w:iCs/>
          <w:color w:val="6C757D"/>
          <w:sz w:val="22"/>
          <w:szCs w:val="22"/>
        </w:rPr>
        <w:t xml:space="preserve">BitFarma  ·  Strategic Consulting Report  ·  El Salvador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4" w:space="4"/>
      </w:pBdr>
      <w:spacing w:after="0" w:before="100"/>
      <w:jc w:val="center"/>
    </w:pPr>
    <w:r>
      <w:rPr>
        <w:rFonts w:ascii="Calibri" w:cs="Calibri" w:eastAsia="Calibri" w:hAnsi="Calibri"/>
        <w:color w:val="6C757D"/>
        <w:sz w:val="18"/>
        <w:szCs w:val="18"/>
      </w:rPr>
      <w:t xml:space="preserve">Page </w:t>
    </w:r>
    <w:r>
      <w:rPr>
        <w:rFonts w:ascii="Calibri" w:cs="Calibri" w:eastAsia="Calibri" w:hAnsi="Calibri"/>
        <w:color w:val="6C757D"/>
        <w:sz w:val="18"/>
        <w:szCs w:val="18"/>
      </w:rPr>
      <w:fldChar w:fldCharType="begin"/>
      <w:instrText xml:space="preserve">PAGE</w:instrText>
      <w:fldChar w:fldCharType="separate"/>
      <w:fldChar w:fldCharType="end"/>
    </w:r>
    <w:r>
      <w:rPr>
        <w:rFonts w:ascii="Calibri" w:cs="Calibri" w:eastAsia="Calibri" w:hAnsi="Calibri"/>
        <w:color w:val="6C757D"/>
        <w:sz w:val="18"/>
        <w:szCs w:val="18"/>
      </w:rPr>
      <w:t xml:space="preserve"> of </w:t>
    </w:r>
    <w:r>
      <w:rPr>
        <w:rFonts w:ascii="Calibri" w:cs="Calibri" w:eastAsia="Calibri" w:hAnsi="Calibri"/>
        <w:color w:val="6C75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4"/>
      </w:pBdr>
      <w:spacing w:after="100" w:before="0"/>
    </w:pPr>
    <w:r>
      <w:rPr>
        <w:rFonts w:ascii="Calibri" w:cs="Calibri" w:eastAsia="Calibri" w:hAnsi="Calibri"/>
        <w:color w:val="6C757D"/>
        <w:sz w:val="18"/>
        <w:szCs w:val="18"/>
      </w:rPr>
      <w:t xml:space="preserve">BitFarma  |  Response to Judges' Panel Observations</w:t>
    </w:r>
    <w:r>
      <w:rPr>
        <w:rFonts w:ascii="Calibri" w:cs="Calibri" w:eastAsia="Calibri" w:hAnsi="Calibri"/>
        <w:i/>
        <w:iCs/>
        <w:color w:val="6C757D"/>
        <w:sz w:val="18"/>
        <w:szCs w:val="18"/>
      </w:rPr>
      <w:t xml:space="preserve">    El Salvador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E877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0D1B3E"/>
      <w:sz w:val="34"/>
      <w:szCs w:val="34"/>
    </w:rPr>
  </w:style>
  <w:style w:type="paragraph" w:styleId="Heading2">
    <w:name w:val="Heading 2"/>
    <w:basedOn w:val="Normal"/>
    <w:next w:val="Normal"/>
    <w:qFormat/>
    <w:pPr>
      <w:spacing w:after="80" w:before="280"/>
      <w:outlineLvl w:val="1"/>
    </w:pPr>
    <w:rPr>
      <w:rFonts w:ascii="Calibri" w:cs="Calibri" w:eastAsia="Calibri" w:hAnsi="Calibri"/>
      <w:b/>
      <w:bCs/>
      <w:color w:val="1E6DB4"/>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1A2F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2026-06-20T15:04:39.313Z</dcterms:created>
  <dcterms:modified xsi:type="dcterms:W3CDTF">2026-06-20T15:04:39.325Z</dcterms:modified>
</cp:coreProperties>
</file>

<file path=docProps/custom.xml><?xml version="1.0" encoding="utf-8"?>
<Properties xmlns="http://schemas.openxmlformats.org/officeDocument/2006/custom-properties" xmlns:vt="http://schemas.openxmlformats.org/officeDocument/2006/docPropsVTypes"/>
</file>