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80" w:before="0"/>
        <w:jc w:val="center"/>
      </w:pPr>
      <w:r>
        <w:rPr>
          <w:rFonts w:ascii="Calibri" w:cs="Calibri" w:eastAsia="Calibri" w:hAnsi="Calibri"/>
          <w:b/>
          <w:bCs/>
          <w:caps/>
          <w:color w:val="6C757D"/>
          <w:sz w:val="20"/>
          <w:szCs w:val="20"/>
        </w:rPr>
        <w:t xml:space="preserve">BITFARMA  ·  CUBO+ PROGRAM  ·  2026</w:t>
      </w:r>
    </w:p>
    <w:p>
      <w:pPr>
        <w:spacing w:after="80" w:before="0"/>
        <w:jc w:val="center"/>
      </w:pPr>
      <w:r>
        <w:rPr>
          <w:rFonts w:ascii="Calibri" w:cs="Calibri" w:eastAsia="Calibri" w:hAnsi="Calibri"/>
          <w:i/>
          <w:iCs/>
          <w:color w:val="1E6DB4"/>
          <w:sz w:val="24"/>
          <w:szCs w:val="24"/>
        </w:rPr>
        <w:t xml:space="preserve">Phase 2 Research Report</w:t>
      </w:r>
    </w:p>
    <w:p>
      <w:pPr>
        <w:spacing w:after="100" w:before="0"/>
      </w:pPr>
    </w:p>
    <w:p>
      <w:pPr>
        <w:pBdr>
          <w:top w:val="single" w:color="E87722" w:sz="8" w:space="1"/>
          <w:bottom w:val="single" w:color="E87722" w:sz="8" w:space="1"/>
        </w:pBdr>
        <w:spacing w:after="120" w:before="120"/>
        <w:jc w:val="center"/>
      </w:pPr>
      <w:r>
        <w:rPr>
          <w:rFonts w:ascii="Calibri" w:cs="Calibri" w:eastAsia="Calibri" w:hAnsi="Calibri"/>
          <w:b/>
          <w:bCs/>
          <w:color w:val="0D1B3E"/>
          <w:sz w:val="52"/>
          <w:szCs w:val="52"/>
        </w:rPr>
        <w:t xml:space="preserve">Market, Technology &amp; Scaling Study</w:t>
      </w:r>
    </w:p>
    <w:p>
      <w:pPr>
        <w:spacing w:after="80" w:before="0"/>
      </w:pPr>
    </w:p>
    <w:p>
      <w:pPr>
        <w:spacing w:after="80" w:before="0"/>
        <w:jc w:val="center"/>
      </w:pPr>
      <w:r>
        <w:rPr>
          <w:rFonts w:ascii="Calibri" w:cs="Calibri" w:eastAsia="Calibri" w:hAnsi="Calibri"/>
          <w:i/>
          <w:iCs/>
          <w:color w:val="1A2F5E"/>
          <w:sz w:val="22"/>
          <w:szCs w:val="22"/>
        </w:rPr>
        <w:t xml:space="preserve">San Salvador Market Analysis  ·  Lightning Payment Architecture  ·  Hosting Capacity &amp; Migration  ·  App Improvement Roadmap</w:t>
      </w:r>
    </w:p>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F5F8FF" w:val="clear"/>
            <w:tcMar>
              <w:top w:type="dxa" w:w="100"/>
              <w:left w:type="dxa" w:w="160"/>
              <w:bottom w:type="dxa" w:w="100"/>
              <w:right w:type="dxa" w:w="160"/>
            </w:tcMar>
          </w:tcPr>
          <w:p>
            <w:pPr>
              <w:spacing w:after="20" w:before="0"/>
            </w:pPr>
            <w:r>
              <w:rPr>
                <w:rFonts w:ascii="Calibri" w:cs="Calibri" w:eastAsia="Calibri" w:hAnsi="Calibri"/>
                <w:b/>
                <w:bCs/>
                <w:color w:val="0D1B3E"/>
                <w:sz w:val="21"/>
                <w:szCs w:val="21"/>
              </w:rPr>
              <w:t xml:space="preserve">📍 San Salvador, El Salvador</w:t>
            </w:r>
          </w:p>
          <w:p>
            <w:pPr>
              <w:spacing w:after="0" w:before="0"/>
            </w:pPr>
            <w:r>
              <w:rPr>
                <w:rFonts w:ascii="Calibri" w:cs="Calibri" w:eastAsia="Calibri" w:hAnsi="Calibri"/>
                <w:i/>
                <w:iCs/>
                <w:color w:val="6C757D"/>
                <w:sz w:val="19"/>
                <w:szCs w:val="19"/>
              </w:rPr>
              <w:t xml:space="preserve">Pharmaceutical &amp; Bitcoin market study</w:t>
            </w:r>
          </w:p>
        </w:tc>
        <w:tc>
          <w:tcPr>
            <w:tcBorders>
              <w:top w:val="single" w:color="DDDDDD" w:sz="1"/>
              <w:left w:val="single" w:color="DDDDDD" w:sz="1"/>
              <w:bottom w:val="single" w:color="DDDDDD" w:sz="1"/>
              <w:right w:val="single" w:color="DDDDDD" w:sz="1"/>
            </w:tcBorders>
            <w:shd w:fill="F5F8FF" w:val="clear"/>
            <w:tcMar>
              <w:top w:type="dxa" w:w="100"/>
              <w:left w:type="dxa" w:w="160"/>
              <w:bottom w:type="dxa" w:w="100"/>
              <w:right w:type="dxa" w:w="160"/>
            </w:tcMar>
          </w:tcPr>
          <w:p>
            <w:pPr>
              <w:spacing w:after="20" w:before="0"/>
            </w:pPr>
            <w:r>
              <w:rPr>
                <w:rFonts w:ascii="Calibri" w:cs="Calibri" w:eastAsia="Calibri" w:hAnsi="Calibri"/>
                <w:b/>
                <w:bCs/>
                <w:color w:val="0D1B3E"/>
                <w:sz w:val="21"/>
                <w:szCs w:val="21"/>
              </w:rPr>
              <w:t xml:space="preserve">⚡ Lightning Payments</w:t>
            </w:r>
          </w:p>
          <w:p>
            <w:pPr>
              <w:spacing w:after="0" w:before="0"/>
            </w:pPr>
            <w:r>
              <w:rPr>
                <w:rFonts w:ascii="Calibri" w:cs="Calibri" w:eastAsia="Calibri" w:hAnsi="Calibri"/>
                <w:i/>
                <w:iCs/>
                <w:color w:val="6C757D"/>
                <w:sz w:val="19"/>
                <w:szCs w:val="19"/>
              </w:rPr>
              <w:t xml:space="preserve">Tiankii API integration best practices</w:t>
            </w:r>
          </w:p>
        </w:tc>
      </w:tr>
      <w:tr>
        <w:tc>
          <w:tcPr>
            <w:tcBorders>
              <w:top w:val="single" w:color="DDDDDD" w:sz="1"/>
              <w:left w:val="single" w:color="DDDDDD" w:sz="1"/>
              <w:bottom w:val="single" w:color="DDDDDD" w:sz="1"/>
              <w:right w:val="single" w:color="DDDDDD" w:sz="1"/>
            </w:tcBorders>
            <w:shd w:fill="F5F8FF" w:val="clear"/>
            <w:tcMar>
              <w:top w:type="dxa" w:w="100"/>
              <w:left w:type="dxa" w:w="160"/>
              <w:bottom w:type="dxa" w:w="100"/>
              <w:right w:type="dxa" w:w="160"/>
            </w:tcMar>
          </w:tcPr>
          <w:p>
            <w:pPr>
              <w:spacing w:after="20" w:before="0"/>
            </w:pPr>
            <w:r>
              <w:rPr>
                <w:rFonts w:ascii="Calibri" w:cs="Calibri" w:eastAsia="Calibri" w:hAnsi="Calibri"/>
                <w:b/>
                <w:bCs/>
                <w:color w:val="0D1B3E"/>
                <w:sz w:val="21"/>
                <w:szCs w:val="21"/>
              </w:rPr>
              <w:t xml:space="preserve">🖥 Railway Hosting</w:t>
            </w:r>
          </w:p>
          <w:p>
            <w:pPr>
              <w:spacing w:after="0" w:before="0"/>
            </w:pPr>
            <w:r>
              <w:rPr>
                <w:rFonts w:ascii="Calibri" w:cs="Calibri" w:eastAsia="Calibri" w:hAnsi="Calibri"/>
                <w:i/>
                <w:iCs/>
                <w:color w:val="6C757D"/>
                <w:sz w:val="19"/>
                <w:szCs w:val="19"/>
              </w:rPr>
              <w:t xml:space="preserve">Plan limits, concurrent users &amp; migration options</w:t>
            </w:r>
          </w:p>
        </w:tc>
        <w:tc>
          <w:tcPr>
            <w:tcBorders>
              <w:top w:val="single" w:color="DDDDDD" w:sz="1"/>
              <w:left w:val="single" w:color="DDDDDD" w:sz="1"/>
              <w:bottom w:val="single" w:color="DDDDDD" w:sz="1"/>
              <w:right w:val="single" w:color="DDDDDD" w:sz="1"/>
            </w:tcBorders>
            <w:shd w:fill="F5F8FF" w:val="clear"/>
            <w:tcMar>
              <w:top w:type="dxa" w:w="100"/>
              <w:left w:type="dxa" w:w="160"/>
              <w:bottom w:type="dxa" w:w="100"/>
              <w:right w:type="dxa" w:w="160"/>
            </w:tcMar>
          </w:tcPr>
          <w:p>
            <w:pPr>
              <w:spacing w:after="20" w:before="0"/>
            </w:pPr>
            <w:r>
              <w:rPr>
                <w:rFonts w:ascii="Calibri" w:cs="Calibri" w:eastAsia="Calibri" w:hAnsi="Calibri"/>
                <w:b/>
                <w:bCs/>
                <w:color w:val="0D1B3E"/>
                <w:sz w:val="21"/>
                <w:szCs w:val="21"/>
              </w:rPr>
              <w:t xml:space="preserve">🚀 App Improvements</w:t>
            </w:r>
          </w:p>
          <w:p>
            <w:pPr>
              <w:spacing w:after="0" w:before="0"/>
            </w:pPr>
            <w:r>
              <w:rPr>
                <w:rFonts w:ascii="Calibri" w:cs="Calibri" w:eastAsia="Calibri" w:hAnsi="Calibri"/>
                <w:i/>
                <w:iCs/>
                <w:color w:val="6C757D"/>
                <w:sz w:val="19"/>
                <w:szCs w:val="19"/>
              </w:rPr>
              <w:t xml:space="preserve">Feature &amp; scalability roadmap</w:t>
            </w:r>
          </w:p>
        </w:tc>
      </w:tr>
    </w:tbl>
    <w:p>
      <w:pPr>
        <w:spacing w:after="300" w:before="0"/>
      </w:pPr>
    </w:p>
    <w:p>
      <w:pPr>
        <w:spacing w:after="140" w:before="0" w:line="360"/>
        <w:jc w:val="center"/>
      </w:pPr>
      <w:r>
        <w:rPr>
          <w:rFonts w:ascii="Calibri" w:cs="Calibri" w:eastAsia="Calibri" w:hAnsi="Calibri"/>
          <w:b w:val="false"/>
          <w:bCs w:val="false"/>
          <w:i/>
          <w:iCs/>
          <w:color w:val="6C757D"/>
          <w:sz w:val="22"/>
          <w:szCs w:val="22"/>
        </w:rPr>
        <w:t xml:space="preserve">El Salvador  ·  2026  ·  Based on current market data and verified sources</w:t>
      </w:r>
    </w:p>
    <w:p>
      <w:r>
        <w:br w:type="page"/>
      </w:r>
    </w:p>
    <w:p>
      <w:pPr>
        <w:pStyle w:val="Heading1"/>
        <w:spacing w:after="120" w:before="400"/>
      </w:pPr>
      <w:r>
        <w:rPr>
          <w:rFonts w:ascii="Calibri" w:cs="Calibri" w:eastAsia="Calibri" w:hAnsi="Calibri"/>
          <w:b/>
          <w:bCs/>
          <w:color w:val="0D1B3E"/>
          <w:sz w:val="34"/>
          <w:szCs w:val="34"/>
        </w:rPr>
        <w:t xml:space="preserve">1. Market Study — San Salvador, El Salvador</w:t>
      </w:r>
    </w:p>
    <w:p>
      <w:pPr>
        <w:pBdr>
          <w:bottom w:val="single" w:color="E87722" w:sz="8" w:space="1"/>
        </w:pBdr>
        <w:spacing w:after="160" w:before="0"/>
      </w:pPr>
    </w:p>
    <w:p>
      <w:pPr>
        <w:pStyle w:val="Heading2"/>
        <w:spacing w:after="80" w:before="280"/>
      </w:pPr>
      <w:r>
        <w:rPr>
          <w:rFonts w:ascii="Calibri" w:cs="Calibri" w:eastAsia="Calibri" w:hAnsi="Calibri"/>
          <w:b/>
          <w:bCs/>
          <w:color w:val="1E6DB4"/>
          <w:sz w:val="26"/>
          <w:szCs w:val="26"/>
        </w:rPr>
        <w:t xml:space="preserve">1.1 Demographic Overview</w:t>
      </w:r>
    </w:p>
    <w:p>
      <w:pPr>
        <w:spacing w:after="140" w:before="0" w:line="360"/>
        <w:jc w:val="both"/>
      </w:pPr>
      <w:r>
        <w:rPr>
          <w:rFonts w:ascii="Calibri" w:cs="Calibri" w:eastAsia="Calibri" w:hAnsi="Calibri"/>
          <w:b w:val="false"/>
          <w:bCs w:val="false"/>
          <w:i w:val="false"/>
          <w:iCs w:val="false"/>
          <w:color w:val="1A1A2E"/>
          <w:sz w:val="22"/>
          <w:szCs w:val="22"/>
        </w:rPr>
        <w:t xml:space="preserve">San Salvador is the capital and largest city of El Salvador, serving as the country's political, economic, and commercial hub. Understanding its demographic and economic profile is essential for validating the BitFarma market opportunity.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Indicator</w:t>
            </w:r>
          </w:p>
        </w:tc>
        <w:tc>
          <w:tcPr>
            <w:tcW w:type="dxa" w:w="31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San Salvador Metro</w:t>
            </w:r>
          </w:p>
        </w:tc>
        <w:tc>
          <w:tcPr>
            <w:tcW w:type="dxa" w:w="31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El Salvador Total</w:t>
            </w:r>
          </w:p>
        </w:tc>
      </w:tr>
      <w:tr>
        <w:tc>
          <w:tcPr>
            <w:tcW w:type="dxa" w:w="312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Population (2025)</w:t>
            </w:r>
          </w:p>
        </w:tc>
        <w:tc>
          <w:tcPr>
            <w:tcW w:type="dxa" w:w="312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~1,132,000</w:t>
            </w:r>
          </w:p>
        </w:tc>
        <w:tc>
          <w:tcPr>
            <w:tcW w:type="dxa" w:w="312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~6.37 million</w:t>
            </w:r>
          </w:p>
        </w:tc>
      </w:tr>
      <w:tr>
        <w:tc>
          <w:tcPr>
            <w:tcW w:type="dxa" w:w="312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Population Growth</w:t>
            </w:r>
          </w:p>
        </w:tc>
        <w:tc>
          <w:tcPr>
            <w:tcW w:type="dxa" w:w="312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0.8% annually</w:t>
            </w:r>
          </w:p>
        </w:tc>
        <w:tc>
          <w:tcPr>
            <w:tcW w:type="dxa" w:w="312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~1.4% annually</w:t>
            </w:r>
          </w:p>
        </w:tc>
      </w:tr>
      <w:tr>
        <w:tc>
          <w:tcPr>
            <w:tcW w:type="dxa" w:w="312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Median Age</w:t>
            </w:r>
          </w:p>
        </w:tc>
        <w:tc>
          <w:tcPr>
            <w:tcW w:type="dxa" w:w="312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28.4 years</w:t>
            </w:r>
          </w:p>
        </w:tc>
        <w:tc>
          <w:tcPr>
            <w:tcW w:type="dxa" w:w="312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28.4 years</w:t>
            </w:r>
          </w:p>
        </w:tc>
      </w:tr>
      <w:tr>
        <w:tc>
          <w:tcPr>
            <w:tcW w:type="dxa" w:w="312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Urbanization Rate</w:t>
            </w:r>
          </w:p>
        </w:tc>
        <w:tc>
          <w:tcPr>
            <w:tcW w:type="dxa" w:w="312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~73%</w:t>
            </w:r>
          </w:p>
        </w:tc>
        <w:tc>
          <w:tcPr>
            <w:tcW w:type="dxa" w:w="312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N/A — metro figure</w:t>
            </w:r>
          </w:p>
        </w:tc>
      </w:tr>
      <w:tr>
        <w:tc>
          <w:tcPr>
            <w:tcW w:type="dxa" w:w="312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Share of National GDP</w:t>
            </w:r>
          </w:p>
        </w:tc>
        <w:tc>
          <w:tcPr>
            <w:tcW w:type="dxa" w:w="312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~65%</w:t>
            </w:r>
          </w:p>
        </w:tc>
        <w:tc>
          <w:tcPr>
            <w:tcW w:type="dxa" w:w="312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w:t>
            </w:r>
          </w:p>
        </w:tc>
      </w:tr>
    </w:tbl>
    <w:p>
      <w:pPr>
        <w:spacing w:after="80" w:before="0"/>
      </w:pPr>
    </w:p>
    <w:p>
      <w:pPr>
        <w:spacing w:after="80" w:before="0" w:line="340"/>
        <w:jc w:val="both"/>
      </w:pPr>
      <w:r>
        <w:rPr>
          <w:rFonts w:ascii="Calibri" w:cs="Calibri" w:eastAsia="Calibri" w:hAnsi="Calibri"/>
          <w:sz w:val="20"/>
          <w:szCs w:val="20"/>
        </w:rPr>
        <w:t xml:space="preserve">  </w:t>
      </w:r>
      <w:r>
        <w:rPr>
          <w:rFonts w:ascii="Calibri" w:cs="Calibri" w:eastAsia="Calibri" w:hAnsi="Calibri"/>
          <w:i/>
          <w:iCs/>
          <w:color w:val="6C757D"/>
          <w:sz w:val="19"/>
          <w:szCs w:val="19"/>
        </w:rPr>
        <w:t xml:space="preserve">Sources: MacroTrends / UN World Population Prospects 2024; Worldometer 2026; IMF / Statista 2024</w:t>
      </w:r>
    </w:p>
    <w:p>
      <w:pPr>
        <w:spacing w:after="80" w:before="0"/>
      </w:pPr>
    </w:p>
    <w:p>
      <w:pPr>
        <w:spacing w:after="140" w:before="0" w:line="360"/>
        <w:jc w:val="both"/>
      </w:pPr>
      <w:r>
        <w:rPr>
          <w:rFonts w:ascii="Calibri" w:cs="Calibri" w:eastAsia="Calibri" w:hAnsi="Calibri"/>
          <w:b w:val="false"/>
          <w:bCs w:val="false"/>
          <w:i w:val="false"/>
          <w:iCs w:val="false"/>
          <w:color w:val="1A1A2E"/>
          <w:sz w:val="22"/>
          <w:szCs w:val="22"/>
        </w:rPr>
        <w:t xml:space="preserve">San Salvador concentrates the majority of El Salvador's economic activity, banking infrastructure, and technology adoption. For a digital pharmacy platform targeting Bitcoin-paying customers, the capital city represents the most viable initial launch market given its higher rates of smartphone penetration, Bitcoin wallet use, and digital literacy.</w:t>
      </w:r>
    </w:p>
    <w:p>
      <w:pPr>
        <w:pStyle w:val="Heading2"/>
        <w:spacing w:after="80" w:before="280"/>
      </w:pPr>
      <w:r>
        <w:rPr>
          <w:rFonts w:ascii="Calibri" w:cs="Calibri" w:eastAsia="Calibri" w:hAnsi="Calibri"/>
          <w:b/>
          <w:bCs/>
          <w:color w:val="1E6DB4"/>
          <w:sz w:val="26"/>
          <w:szCs w:val="26"/>
        </w:rPr>
        <w:t xml:space="preserve">1.2 Pharmaceutical Market</w:t>
      </w:r>
    </w:p>
    <w:p>
      <w:pPr>
        <w:spacing w:after="140" w:before="0" w:line="360"/>
        <w:jc w:val="both"/>
      </w:pPr>
      <w:r>
        <w:rPr>
          <w:rFonts w:ascii="Calibri" w:cs="Calibri" w:eastAsia="Calibri" w:hAnsi="Calibri"/>
          <w:b w:val="false"/>
          <w:bCs w:val="false"/>
          <w:i w:val="false"/>
          <w:iCs w:val="false"/>
          <w:color w:val="1A1A2E"/>
          <w:sz w:val="22"/>
          <w:szCs w:val="22"/>
        </w:rPr>
        <w:t xml:space="preserve">El Salvador's pharmaceutical sector represents a well-defined, stable, and growing market opportunity. The following data provides the framework for estimating BitFarma's addressable market: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Metric</w:t>
            </w:r>
          </w:p>
        </w:tc>
        <w:tc>
          <w:tcPr>
            <w:tcW w:type="dxa" w:w="5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Value</w:t>
            </w:r>
          </w:p>
        </w:tc>
      </w:tr>
      <w:tr>
        <w:tc>
          <w:tcPr>
            <w:tcW w:type="dxa" w:w="40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Pharmacy Market Revenue (El Salvador, 2025)</w:t>
            </w:r>
          </w:p>
        </w:tc>
        <w:tc>
          <w:tcPr>
            <w:tcW w:type="dxa" w:w="5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US$251.85 million</w:t>
            </w:r>
          </w:p>
        </w:tc>
      </w:tr>
      <w:tr>
        <w:tc>
          <w:tcPr>
            <w:tcW w:type="dxa" w:w="40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Projected CAGR (2025–2029)</w:t>
            </w:r>
          </w:p>
        </w:tc>
        <w:tc>
          <w:tcPr>
            <w:tcW w:type="dxa" w:w="5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3.70%</w:t>
            </w:r>
          </w:p>
        </w:tc>
      </w:tr>
      <w:tr>
        <w:tc>
          <w:tcPr>
            <w:tcW w:type="dxa" w:w="40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Projected Market Size by 2029</w:t>
            </w:r>
          </w:p>
        </w:tc>
        <w:tc>
          <w:tcPr>
            <w:tcW w:type="dxa" w:w="5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US$291.24 million</w:t>
            </w:r>
          </w:p>
        </w:tc>
      </w:tr>
      <w:tr>
        <w:tc>
          <w:tcPr>
            <w:tcW w:type="dxa" w:w="40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Revenue per capita (2025)</w:t>
            </w:r>
          </w:p>
        </w:tc>
        <w:tc>
          <w:tcPr>
            <w:tcW w:type="dxa" w:w="5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~US$39.19 per person</w:t>
            </w:r>
          </w:p>
        </w:tc>
      </w:tr>
      <w:tr>
        <w:tc>
          <w:tcPr>
            <w:tcW w:type="dxa" w:w="40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Pharmaceuticals Market (B2C+B2B+B2G, 2023)</w:t>
            </w:r>
          </w:p>
        </w:tc>
        <w:tc>
          <w:tcPr>
            <w:tcW w:type="dxa" w:w="5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US$181.50 million</w:t>
            </w:r>
          </w:p>
        </w:tc>
      </w:tr>
      <w:tr>
        <w:tc>
          <w:tcPr>
            <w:tcW w:type="dxa" w:w="40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Pharmaceuticals CAGR (2023–2028)</w:t>
            </w:r>
          </w:p>
        </w:tc>
        <w:tc>
          <w:tcPr>
            <w:tcW w:type="dxa" w:w="5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4.71%</w:t>
            </w:r>
          </w:p>
        </w:tc>
      </w:tr>
      <w:tr>
        <w:tc>
          <w:tcPr>
            <w:tcW w:type="dxa" w:w="40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San Salvador share (est. ~45% of national)</w:t>
            </w:r>
          </w:p>
        </w:tc>
        <w:tc>
          <w:tcPr>
            <w:tcW w:type="dxa" w:w="5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~US$113 million</w:t>
            </w:r>
          </w:p>
        </w:tc>
      </w:tr>
    </w:tbl>
    <w:p>
      <w:pPr>
        <w:spacing w:after="80" w:before="0"/>
      </w:pPr>
    </w:p>
    <w:p>
      <w:pPr>
        <w:spacing w:after="80" w:before="0" w:line="340"/>
        <w:jc w:val="both"/>
      </w:pPr>
      <w:r>
        <w:rPr>
          <w:rFonts w:ascii="Calibri" w:cs="Calibri" w:eastAsia="Calibri" w:hAnsi="Calibri"/>
          <w:sz w:val="20"/>
          <w:szCs w:val="20"/>
        </w:rPr>
        <w:t xml:space="preserve">  </w:t>
      </w:r>
      <w:r>
        <w:rPr>
          <w:rFonts w:ascii="Calibri" w:cs="Calibri" w:eastAsia="Calibri" w:hAnsi="Calibri"/>
          <w:i/>
          <w:iCs/>
          <w:color w:val="6C757D"/>
          <w:sz w:val="19"/>
          <w:szCs w:val="19"/>
        </w:rPr>
        <w:t xml:space="preserve">Sources: Statista Market Forecast — Pharmacies El Salvador 2025; Statista — Pharmaceuticals El Salvador 2023</w:t>
      </w:r>
    </w:p>
    <w:p>
      <w:pPr>
        <w:spacing w:after="80" w:before="0"/>
      </w:pPr>
    </w:p>
    <w:p>
      <w:pPr>
        <w:spacing w:after="140" w:before="0" w:line="360"/>
        <w:jc w:val="both"/>
      </w:pPr>
      <w:r>
        <w:rPr>
          <w:rFonts w:ascii="Calibri" w:cs="Calibri" w:eastAsia="Calibri" w:hAnsi="Calibri"/>
          <w:b w:val="false"/>
          <w:bCs w:val="false"/>
          <w:i w:val="false"/>
          <w:iCs w:val="false"/>
          <w:color w:val="1A1A2E"/>
          <w:sz w:val="22"/>
          <w:szCs w:val="22"/>
        </w:rPr>
        <w:t xml:space="preserve">San Salvador's estimated share of the national pharmacy market (~45%, based on its proportion of national GDP and population) places the city's addressable pharmaceutical retail market at approximately US$113 million annually. Even capturing a fraction of 1% of this market would generate meaningful revenue for BitFarma at launch.</w:t>
      </w:r>
    </w:p>
    <w:p>
      <w:pPr>
        <w:pStyle w:val="Heading3"/>
        <w:spacing w:after="60" w:before="180"/>
      </w:pPr>
      <w:r>
        <w:rPr>
          <w:rFonts w:ascii="Calibri" w:cs="Calibri" w:eastAsia="Calibri" w:hAnsi="Calibri"/>
          <w:b/>
          <w:bCs/>
          <w:color w:val="1A2F5E"/>
          <w:sz w:val="23"/>
          <w:szCs w:val="23"/>
        </w:rPr>
        <w:t xml:space="preserve">Key Market Characteristics</w:t>
      </w:r>
    </w:p>
    <w:p>
      <w:pPr>
        <w:pStyle w:val="ListParagraph"/>
        <w:numPr>
          <w:ilvl w:val="0"/>
          <w:numId w:val="2"/>
        </w:numPr>
        <w:spacing w:after="60" w:before="40" w:line="340"/>
      </w:pPr>
      <w:r>
        <w:rPr>
          <w:rFonts w:ascii="Calibri" w:cs="Calibri" w:eastAsia="Calibri" w:hAnsi="Calibri"/>
          <w:color w:val="1A1A2E"/>
          <w:sz w:val="22"/>
          <w:szCs w:val="22"/>
        </w:rPr>
        <w:t xml:space="preserve">High prevalence of chronic diseases (diabetes, hypertension) drives recurring, predictable medication demand — ideal for a subscription-style pharmacy relationship.</w:t>
      </w:r>
    </w:p>
    <w:p>
      <w:pPr>
        <w:pStyle w:val="ListParagraph"/>
        <w:numPr>
          <w:ilvl w:val="0"/>
          <w:numId w:val="2"/>
        </w:numPr>
        <w:spacing w:after="60" w:before="40" w:line="340"/>
      </w:pPr>
      <w:r>
        <w:rPr>
          <w:rFonts w:ascii="Calibri" w:cs="Calibri" w:eastAsia="Calibri" w:hAnsi="Calibri"/>
          <w:color w:val="1A1A2E"/>
          <w:sz w:val="22"/>
          <w:szCs w:val="22"/>
        </w:rPr>
        <w:t xml:space="preserve">Growing consumer preference for convenience and home delivery — demand for digital pharmacy services is increasing.</w:t>
      </w:r>
    </w:p>
    <w:p>
      <w:pPr>
        <w:pStyle w:val="ListParagraph"/>
        <w:numPr>
          <w:ilvl w:val="0"/>
          <w:numId w:val="2"/>
        </w:numPr>
        <w:spacing w:after="60" w:before="40" w:line="340"/>
      </w:pPr>
      <w:r>
        <w:rPr>
          <w:rFonts w:ascii="Calibri" w:cs="Calibri" w:eastAsia="Calibri" w:hAnsi="Calibri"/>
          <w:color w:val="1A1A2E"/>
          <w:sz w:val="22"/>
          <w:szCs w:val="22"/>
        </w:rPr>
        <w:t xml:space="preserve">Predominantly cash-dependent market — BitFarma's Bitcoin-only model represents genuine innovation, not just replication of existing digital payments.</w:t>
      </w:r>
    </w:p>
    <w:p>
      <w:pPr>
        <w:pStyle w:val="ListParagraph"/>
        <w:numPr>
          <w:ilvl w:val="0"/>
          <w:numId w:val="2"/>
        </w:numPr>
        <w:spacing w:after="60" w:before="40" w:line="340"/>
      </w:pPr>
      <w:r>
        <w:rPr>
          <w:rFonts w:ascii="Calibri" w:cs="Calibri" w:eastAsia="Calibri" w:hAnsi="Calibri"/>
          <w:color w:val="1A1A2E"/>
          <w:sz w:val="22"/>
          <w:szCs w:val="22"/>
        </w:rPr>
        <w:t xml:space="preserve">Low digital penetration among existing pharmacies — no established competitor for digital prescription management or Bitcoin payments.</w:t>
      </w:r>
    </w:p>
    <w:p>
      <w:pPr>
        <w:pStyle w:val="ListParagraph"/>
        <w:numPr>
          <w:ilvl w:val="0"/>
          <w:numId w:val="2"/>
        </w:numPr>
        <w:spacing w:after="60" w:before="40" w:line="340"/>
      </w:pPr>
      <w:r>
        <w:rPr>
          <w:rFonts w:ascii="Calibri" w:cs="Calibri" w:eastAsia="Calibri" w:hAnsi="Calibri"/>
          <w:color w:val="1A1A2E"/>
          <w:sz w:val="22"/>
          <w:szCs w:val="22"/>
        </w:rPr>
        <w:t xml:space="preserve">Aging population increases per-capita medication spend annually.</w:t>
      </w:r>
    </w:p>
    <w:p>
      <w:pPr>
        <w:spacing w:after="80" w:before="0"/>
      </w:pPr>
    </w:p>
    <w:p>
      <w:pPr>
        <w:spacing w:after="80" w:before="0" w:line="340"/>
        <w:jc w:val="both"/>
      </w:pPr>
      <w:r>
        <w:rPr>
          <w:rFonts w:ascii="Calibri" w:cs="Calibri" w:eastAsia="Calibri" w:hAnsi="Calibri"/>
          <w:sz w:val="20"/>
          <w:szCs w:val="20"/>
        </w:rPr>
        <w:t xml:space="preserve">  </w:t>
      </w:r>
      <w:r>
        <w:rPr>
          <w:rFonts w:ascii="Calibri" w:cs="Calibri" w:eastAsia="Calibri" w:hAnsi="Calibri"/>
          <w:i/>
          <w:iCs/>
          <w:color w:val="6C757D"/>
          <w:sz w:val="19"/>
          <w:szCs w:val="19"/>
        </w:rPr>
        <w:t xml:space="preserve">Sources: Statista Market Forecast — Pharmacies El Salvador 2025</w:t>
      </w:r>
    </w:p>
    <w:p>
      <w:pPr>
        <w:pStyle w:val="Heading2"/>
        <w:spacing w:after="80" w:before="280"/>
      </w:pPr>
      <w:r>
        <w:rPr>
          <w:rFonts w:ascii="Calibri" w:cs="Calibri" w:eastAsia="Calibri" w:hAnsi="Calibri"/>
          <w:b/>
          <w:bCs/>
          <w:color w:val="1E6DB4"/>
          <w:sz w:val="26"/>
          <w:szCs w:val="26"/>
        </w:rPr>
        <w:t xml:space="preserve">1.3 Bitcoin Adoption in El Salvador</w:t>
      </w:r>
    </w:p>
    <w:p>
      <w:pPr>
        <w:spacing w:after="140" w:before="0" w:line="360"/>
        <w:jc w:val="both"/>
      </w:pPr>
      <w:r>
        <w:rPr>
          <w:rFonts w:ascii="Calibri" w:cs="Calibri" w:eastAsia="Calibri" w:hAnsi="Calibri"/>
          <w:b w:val="false"/>
          <w:bCs w:val="false"/>
          <w:i w:val="false"/>
          <w:iCs w:val="false"/>
          <w:color w:val="1A1A2E"/>
          <w:sz w:val="22"/>
          <w:szCs w:val="22"/>
        </w:rPr>
        <w:t xml:space="preserve">Bitcoin's legal tender status in El Salvador since September 7, 2021 (Decree 57, Bitcoin Law) creates a uniquely favorable regulatory environment for BitFarma. However, the landscape has evolved since 2021 and must be understood accurately.</w:t>
      </w:r>
    </w:p>
    <w:p>
      <w:pPr>
        <w:pStyle w:val="Heading3"/>
        <w:spacing w:after="60" w:before="180"/>
      </w:pPr>
      <w:r>
        <w:rPr>
          <w:rFonts w:ascii="Calibri" w:cs="Calibri" w:eastAsia="Calibri" w:hAnsi="Calibri"/>
          <w:b/>
          <w:bCs/>
          <w:color w:val="1A2F5E"/>
          <w:sz w:val="23"/>
          <w:szCs w:val="23"/>
        </w:rPr>
        <w:t xml:space="preserve">Current Regulatory Status (2026)</w:t>
      </w:r>
    </w:p>
    <w:p>
      <w:pPr>
        <w:spacing w:after="140" w:before="0" w:line="360"/>
        <w:jc w:val="both"/>
      </w:pPr>
      <w:r>
        <w:rPr>
          <w:rFonts w:ascii="Calibri" w:cs="Calibri" w:eastAsia="Calibri" w:hAnsi="Calibri"/>
          <w:b w:val="false"/>
          <w:bCs w:val="false"/>
          <w:i w:val="false"/>
          <w:iCs w:val="false"/>
          <w:color w:val="1A1A2E"/>
          <w:sz w:val="22"/>
          <w:szCs w:val="22"/>
        </w:rPr>
        <w:t xml:space="preserve">In late 2024, El Salvador modified aspects of its Bitcoin Law as part of a US$1.4 billion IMF loan agreement. Merchants are no longer legally required to accept Bitcoin, and the government's Chivo Wallet is being wound down. However, Bitcoin remains legal tender, and private merchants — including BitFarma — are fully permitted to accept it and to operate Bitcoin-only businesses. This shift, if anything, improves BitFarma's positioning: the market is now driven by genuine adoption rather than government mandate.</w:t>
      </w:r>
    </w:p>
    <w:p>
      <w:pPr>
        <w:spacing w:after="60" w:before="0"/>
      </w:pPr>
    </w:p>
    <w:p>
      <w:pPr>
        <w:spacing w:after="80" w:before="0" w:line="340"/>
        <w:jc w:val="both"/>
      </w:pPr>
      <w:r>
        <w:rPr>
          <w:rFonts w:ascii="Calibri" w:cs="Calibri" w:eastAsia="Calibri" w:hAnsi="Calibri"/>
          <w:sz w:val="20"/>
          <w:szCs w:val="20"/>
        </w:rPr>
        <w:t xml:space="preserve">  </w:t>
      </w:r>
      <w:r>
        <w:rPr>
          <w:rFonts w:ascii="Calibri" w:cs="Calibri" w:eastAsia="Calibri" w:hAnsi="Calibri"/>
          <w:i/>
          <w:iCs/>
          <w:color w:val="6C757D"/>
          <w:sz w:val="19"/>
          <w:szCs w:val="19"/>
        </w:rPr>
        <w:t xml:space="preserve">Source: Wikipedia — Bitcoin in El Salvador (updated March 2026); IMF Agreement December 2024</w:t>
      </w:r>
    </w:p>
    <w:p>
      <w:pPr>
        <w:pStyle w:val="Heading3"/>
        <w:spacing w:after="60" w:before="180"/>
      </w:pPr>
      <w:r>
        <w:rPr>
          <w:rFonts w:ascii="Calibri" w:cs="Calibri" w:eastAsia="Calibri" w:hAnsi="Calibri"/>
          <w:b/>
          <w:bCs/>
          <w:color w:val="1A2F5E"/>
          <w:sz w:val="23"/>
          <w:szCs w:val="23"/>
        </w:rPr>
        <w:t xml:space="preserve">Adoption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Metric</w:t>
            </w:r>
          </w:p>
        </w:tc>
        <w:tc>
          <w:tcPr>
            <w:tcW w:type="dxa" w:w="45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Data</w:t>
            </w:r>
          </w:p>
        </w:tc>
      </w:tr>
      <w:tr>
        <w:tc>
          <w:tcPr>
            <w:tcW w:type="dxa" w:w="4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Bitcoin Lightning wallet users (early adoption peak)</w:t>
            </w:r>
          </w:p>
        </w:tc>
        <w:tc>
          <w:tcPr>
            <w:tcW w:type="dxa" w:w="4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~2.1 million (Chivo wallet, Sept 2021)</w:t>
            </w:r>
          </w:p>
        </w:tc>
      </w:tr>
      <w:tr>
        <w:tc>
          <w:tcPr>
            <w:tcW w:type="dxa" w:w="4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Population with Lightning access (within 3 weeks of law)</w:t>
            </w:r>
          </w:p>
        </w:tc>
        <w:tc>
          <w:tcPr>
            <w:tcW w:type="dxa" w:w="4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32% of total population</w:t>
            </w:r>
          </w:p>
        </w:tc>
      </w:tr>
      <w:tr>
        <w:tc>
          <w:tcPr>
            <w:tcW w:type="dxa" w:w="4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Merchants accepting Bitcoin (early 2025)</w:t>
            </w:r>
          </w:p>
        </w:tc>
        <w:tc>
          <w:tcPr>
            <w:tcW w:type="dxa" w:w="4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Thousands — from street vendors to chains</w:t>
            </w:r>
          </w:p>
        </w:tc>
      </w:tr>
      <w:tr>
        <w:tc>
          <w:tcPr>
            <w:tcW w:type="dxa" w:w="4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McDonald's &amp; Starbucks</w:t>
            </w:r>
          </w:p>
        </w:tc>
        <w:tc>
          <w:tcPr>
            <w:tcW w:type="dxa" w:w="4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Accept Lightning in El Salvador</w:t>
            </w:r>
          </w:p>
        </w:tc>
      </w:tr>
      <w:tr>
        <w:tc>
          <w:tcPr>
            <w:tcW w:type="dxa" w:w="4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Lightning Network global capacity (Aug 2024)</w:t>
            </w:r>
          </w:p>
        </w:tc>
        <w:tc>
          <w:tcPr>
            <w:tcW w:type="dxa" w:w="4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~5,025 BTC / ~$270M USD</w:t>
            </w:r>
          </w:p>
        </w:tc>
      </w:tr>
      <w:tr>
        <w:tc>
          <w:tcPr>
            <w:tcW w:type="dxa" w:w="4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LN share of Bitcoin payments (2024 trend)</w:t>
            </w:r>
          </w:p>
        </w:tc>
        <w:tc>
          <w:tcPr>
            <w:tcW w:type="dxa" w:w="4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Growing to 14.5–16.6% of BTC transactions</w:t>
            </w:r>
          </w:p>
        </w:tc>
      </w:tr>
    </w:tbl>
    <w:p>
      <w:pPr>
        <w:spacing w:after="80" w:before="0"/>
      </w:pPr>
    </w:p>
    <w:p>
      <w:pPr>
        <w:spacing w:after="80" w:before="0" w:line="340"/>
        <w:jc w:val="both"/>
      </w:pPr>
      <w:r>
        <w:rPr>
          <w:rFonts w:ascii="Calibri" w:cs="Calibri" w:eastAsia="Calibri" w:hAnsi="Calibri"/>
          <w:sz w:val="20"/>
          <w:szCs w:val="20"/>
        </w:rPr>
        <w:t xml:space="preserve">  </w:t>
      </w:r>
      <w:r>
        <w:rPr>
          <w:rFonts w:ascii="Calibri" w:cs="Calibri" w:eastAsia="Calibri" w:hAnsi="Calibri"/>
          <w:i/>
          <w:iCs/>
          <w:color w:val="6C757D"/>
          <w:sz w:val="19"/>
          <w:szCs w:val="19"/>
        </w:rPr>
        <w:t xml:space="preserve">Sources: CryptoNews.net Sept 2021; CoinGate Lightning Network Data 2024; Medium/UTXOStack Aug 2024; ElSalvadorInfo.net Oct 2025</w:t>
      </w:r>
    </w:p>
    <w:p>
      <w:pPr>
        <w:spacing w:after="80" w:before="0"/>
      </w:pPr>
    </w:p>
    <w:p>
      <w:pPr>
        <w:spacing w:after="140" w:before="0" w:line="360"/>
        <w:jc w:val="both"/>
      </w:pPr>
      <w:r>
        <w:rPr>
          <w:rFonts w:ascii="Calibri" w:cs="Calibri" w:eastAsia="Calibri" w:hAnsi="Calibri"/>
          <w:b w:val="false"/>
          <w:bCs w:val="false"/>
          <w:i w:val="false"/>
          <w:iCs w:val="false"/>
          <w:color w:val="1A1A2E"/>
          <w:sz w:val="22"/>
          <w:szCs w:val="22"/>
        </w:rPr>
        <w:t xml:space="preserve">In 2022, more Salvadorans reportedly held Bitcoin Lightning wallets than traditional bank accounts — a remarkable indicator of the population's willingness to engage with Bitcoin for daily transactions. With merchants like McDonald's and Starbucks accepting Lightning payments, the infrastructure for a Bitcoin-only pharmacy is already normalized in San Salvador's commercial environment.</w:t>
      </w:r>
    </w:p>
    <w:p>
      <w:pPr>
        <w:pStyle w:val="Heading2"/>
        <w:spacing w:after="80" w:before="280"/>
      </w:pPr>
      <w:r>
        <w:rPr>
          <w:rFonts w:ascii="Calibri" w:cs="Calibri" w:eastAsia="Calibri" w:hAnsi="Calibri"/>
          <w:b/>
          <w:bCs/>
          <w:color w:val="1E6DB4"/>
          <w:sz w:val="26"/>
          <w:szCs w:val="26"/>
        </w:rPr>
        <w:t xml:space="preserve">1.4 Target Market Sizing — San Salvador</w:t>
      </w:r>
    </w:p>
    <w:p>
      <w:pPr>
        <w:spacing w:after="140" w:before="0" w:line="360"/>
        <w:jc w:val="both"/>
      </w:pPr>
      <w:r>
        <w:rPr>
          <w:rFonts w:ascii="Calibri" w:cs="Calibri" w:eastAsia="Calibri" w:hAnsi="Calibri"/>
          <w:b w:val="false"/>
          <w:bCs w:val="false"/>
          <w:i w:val="false"/>
          <w:iCs w:val="false"/>
          <w:color w:val="1A1A2E"/>
          <w:sz w:val="22"/>
          <w:szCs w:val="22"/>
        </w:rPr>
        <w:t xml:space="preserve">The following is a bottom-up estimate of BitFarma's addressable market in San Salvador at launch:</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Segment</w:t>
            </w:r>
          </w:p>
        </w:tc>
        <w:tc>
          <w:tcPr>
            <w:tcW w:type="dxa" w:w="4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Estimate</w:t>
            </w:r>
          </w:p>
        </w:tc>
      </w:tr>
      <w:tr>
        <w:tc>
          <w:tcPr>
            <w:tcW w:type="dxa" w:w="4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San Salvador metro population</w:t>
            </w:r>
          </w:p>
        </w:tc>
        <w:tc>
          <w:tcPr>
            <w:tcW w:type="dxa" w:w="4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~1,132,000</w:t>
            </w:r>
          </w:p>
        </w:tc>
      </w:tr>
      <w:tr>
        <w:tc>
          <w:tcPr>
            <w:tcW w:type="dxa" w:w="4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Estimated Bitcoin wallet holders (20% of metro)</w:t>
            </w:r>
          </w:p>
        </w:tc>
        <w:tc>
          <w:tcPr>
            <w:tcW w:type="dxa" w:w="4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~226,400 potential users</w:t>
            </w:r>
          </w:p>
        </w:tc>
      </w:tr>
      <w:tr>
        <w:tc>
          <w:tcPr>
            <w:tcW w:type="dxa" w:w="4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Chronic medication users (est. 25% of population)</w:t>
            </w:r>
          </w:p>
        </w:tc>
        <w:tc>
          <w:tcPr>
            <w:tcW w:type="dxa" w:w="4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~283,000 regular pharmacy customers</w:t>
            </w:r>
          </w:p>
        </w:tc>
      </w:tr>
      <w:tr>
        <w:tc>
          <w:tcPr>
            <w:tcW w:type="dxa" w:w="4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Bitcoin + chronic medication overlap (est. 8%)</w:t>
            </w:r>
          </w:p>
        </w:tc>
        <w:tc>
          <w:tcPr>
            <w:tcW w:type="dxa" w:w="4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~90,000 high-priority target customers</w:t>
            </w:r>
          </w:p>
        </w:tc>
      </w:tr>
      <w:tr>
        <w:tc>
          <w:tcPr>
            <w:tcW w:type="dxa" w:w="4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Pharmacy spend per capita per year</w:t>
            </w:r>
          </w:p>
        </w:tc>
        <w:tc>
          <w:tcPr>
            <w:tcW w:type="dxa" w:w="4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~US$39 nationally (higher in San Salvador)</w:t>
            </w:r>
          </w:p>
        </w:tc>
      </w:tr>
      <w:tr>
        <w:tc>
          <w:tcPr>
            <w:tcW w:type="dxa" w:w="4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Potential Year-1 TAM (5% of overlap segment)</w:t>
            </w:r>
          </w:p>
        </w:tc>
        <w:tc>
          <w:tcPr>
            <w:tcW w:type="dxa" w:w="4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~4,500 customers × ~$60/year = ~$270,000</w:t>
            </w:r>
          </w:p>
        </w:tc>
      </w:tr>
    </w:tbl>
    <w:p>
      <w:pPr>
        <w:spacing w:after="80" w:before="0"/>
      </w:pPr>
    </w:p>
    <w:p>
      <w:pPr>
        <w:spacing w:after="80" w:before="0" w:line="340"/>
        <w:jc w:val="both"/>
      </w:pPr>
      <w:r>
        <w:rPr>
          <w:rFonts w:ascii="Calibri" w:cs="Calibri" w:eastAsia="Calibri" w:hAnsi="Calibri"/>
          <w:sz w:val="20"/>
          <w:szCs w:val="20"/>
        </w:rPr>
        <w:t xml:space="preserve">  </w:t>
      </w:r>
      <w:r>
        <w:rPr>
          <w:rFonts w:ascii="Calibri" w:cs="Calibri" w:eastAsia="Calibri" w:hAnsi="Calibri"/>
          <w:i/>
          <w:iCs/>
          <w:color w:val="6C757D"/>
          <w:sz w:val="19"/>
          <w:szCs w:val="19"/>
        </w:rPr>
        <w:t xml:space="preserve">Sources: Statista El Salvador Pharmacy Market 2025; MacroTrends Population Data 2025; CryptoNews Lightning adoption figures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1"/>
              <w:left w:val="single" w:color="E87722" w:sz="1"/>
              <w:bottom w:val="single" w:color="E87722" w:sz="1"/>
              <w:right w:val="single" w:color="E87722" w:sz="1"/>
            </w:tcBorders>
            <w:shd w:fill="FFF8F0" w:val="clear"/>
            <w:tcMar>
              <w:top w:type="dxa" w:w="100"/>
              <w:left w:type="dxa" w:w="220"/>
              <w:bottom w:type="dxa" w:w="100"/>
              <w:right w:type="dxa" w:w="220"/>
            </w:tcMar>
          </w:tcPr>
          <w:p>
            <w:pPr>
              <w:spacing w:after="40" w:before="0"/>
            </w:pPr>
            <w:r>
              <w:rPr>
                <w:rFonts w:ascii="Calibri" w:cs="Calibri" w:eastAsia="Calibri" w:hAnsi="Calibri"/>
                <w:b/>
                <w:bCs/>
                <w:color w:val="E87722"/>
                <w:sz w:val="20"/>
                <w:szCs w:val="20"/>
              </w:rPr>
              <w:t xml:space="preserve">📌 Key Finding:  </w:t>
            </w:r>
            <w:r>
              <w:rPr>
                <w:rFonts w:ascii="Calibri" w:cs="Calibri" w:eastAsia="Calibri" w:hAnsi="Calibri"/>
                <w:i/>
                <w:iCs/>
                <w:color w:val="443300"/>
                <w:sz w:val="20"/>
                <w:szCs w:val="20"/>
              </w:rPr>
              <w:t xml:space="preserve">San Salvador represents a first-mover addressable market of ~90,000 high-probability customers at the intersection of Bitcoin adoption and recurring pharmaceutical need. A conservative 5% penetration in year 1 translates to ~4,500 active users and ~$270,000 in gross sales.</w:t>
            </w:r>
          </w:p>
        </w:tc>
      </w:tr>
    </w:tbl>
    <w:p>
      <w:pPr>
        <w:spacing w:after="120" w:before="0"/>
      </w:pPr>
    </w:p>
    <w:p>
      <w:r>
        <w:br w:type="page"/>
      </w:r>
    </w:p>
    <w:p>
      <w:pPr>
        <w:pStyle w:val="Heading1"/>
        <w:spacing w:after="120" w:before="400"/>
      </w:pPr>
      <w:r>
        <w:rPr>
          <w:rFonts w:ascii="Calibri" w:cs="Calibri" w:eastAsia="Calibri" w:hAnsi="Calibri"/>
          <w:b/>
          <w:bCs/>
          <w:color w:val="0D1B3E"/>
          <w:sz w:val="34"/>
          <w:szCs w:val="34"/>
        </w:rPr>
        <w:t xml:space="preserve">2. Bitcoin Lightning Payment — Best Implementation Approach</w:t>
      </w:r>
    </w:p>
    <w:p>
      <w:pPr>
        <w:pBdr>
          <w:bottom w:val="single" w:color="E87722" w:sz="8" w:space="1"/>
        </w:pBdr>
        <w:spacing w:after="160" w:before="0"/>
      </w:pPr>
    </w:p>
    <w:p>
      <w:pPr>
        <w:spacing w:after="140" w:before="0" w:line="360"/>
        <w:jc w:val="both"/>
      </w:pPr>
      <w:r>
        <w:rPr>
          <w:rFonts w:ascii="Calibri" w:cs="Calibri" w:eastAsia="Calibri" w:hAnsi="Calibri"/>
          <w:b w:val="false"/>
          <w:bCs w:val="false"/>
          <w:i w:val="false"/>
          <w:iCs w:val="false"/>
          <w:color w:val="1A1A2E"/>
          <w:sz w:val="22"/>
          <w:szCs w:val="22"/>
        </w:rPr>
        <w:t xml:space="preserve">BitFarma's Bitcoin QR Lightning payment via Tiankii is already live. This section documents the optimal technical implementation architecture, current Tiankii capabilities, and recommendations for deepening the integration as the platform scales.</w:t>
      </w:r>
    </w:p>
    <w:p>
      <w:pPr>
        <w:pStyle w:val="Heading2"/>
        <w:spacing w:after="80" w:before="280"/>
      </w:pPr>
      <w:r>
        <w:rPr>
          <w:rFonts w:ascii="Calibri" w:cs="Calibri" w:eastAsia="Calibri" w:hAnsi="Calibri"/>
          <w:b/>
          <w:bCs/>
          <w:color w:val="1E6DB4"/>
          <w:sz w:val="26"/>
          <w:szCs w:val="26"/>
        </w:rPr>
        <w:t xml:space="preserve">2.1 Why Tiankii Is the Right Choice for El Salvador</w:t>
      </w:r>
    </w:p>
    <w:p>
      <w:pPr>
        <w:spacing w:after="140" w:before="0" w:line="360"/>
        <w:jc w:val="both"/>
      </w:pPr>
      <w:r>
        <w:rPr>
          <w:rFonts w:ascii="Calibri" w:cs="Calibri" w:eastAsia="Calibri" w:hAnsi="Calibri"/>
          <w:b w:val="false"/>
          <w:bCs w:val="false"/>
          <w:i w:val="false"/>
          <w:iCs w:val="false"/>
          <w:color w:val="1A1A2E"/>
          <w:sz w:val="22"/>
          <w:szCs w:val="22"/>
        </w:rPr>
        <w:t xml:space="preserve">Tiankii is not simply a payment processor — it is the only Bitcoin-first, El Salvador-native fintech company with regulatory approval from both the Central Reserve Bank (BCR) and the Superintendencia del Sistema Financiero. This gives BitFarma a uniquely privileged position:</w:t>
      </w:r>
    </w:p>
    <w:p>
      <w:pPr>
        <w:pStyle w:val="ListParagraph"/>
        <w:numPr>
          <w:ilvl w:val="0"/>
          <w:numId w:val="2"/>
        </w:numPr>
        <w:spacing w:after="60" w:before="40" w:line="340"/>
      </w:pPr>
      <w:r>
        <w:rPr>
          <w:rFonts w:ascii="Calibri" w:cs="Calibri" w:eastAsia="Calibri" w:hAnsi="Calibri"/>
          <w:color w:val="1A1A2E"/>
          <w:sz w:val="22"/>
          <w:szCs w:val="22"/>
        </w:rPr>
        <w:t xml:space="preserve">Tiankii is regulated by BCR and Superintendencia del Sistema Financiero de El Salvador — full legal compliance.</w:t>
      </w:r>
    </w:p>
    <w:p>
      <w:pPr>
        <w:pStyle w:val="ListParagraph"/>
        <w:numPr>
          <w:ilvl w:val="0"/>
          <w:numId w:val="2"/>
        </w:numPr>
        <w:spacing w:after="60" w:before="40" w:line="340"/>
      </w:pPr>
      <w:r>
        <w:rPr>
          <w:rFonts w:ascii="Calibri" w:cs="Calibri" w:eastAsia="Calibri" w:hAnsi="Calibri"/>
          <w:color w:val="1A1A2E"/>
          <w:sz w:val="22"/>
          <w:szCs w:val="22"/>
        </w:rPr>
        <w:t xml:space="preserve">Self-custodial infrastructure: payments go directly to BitFarma's wallet with no intermediary holding funds.</w:t>
      </w:r>
    </w:p>
    <w:p>
      <w:pPr>
        <w:pStyle w:val="ListParagraph"/>
        <w:numPr>
          <w:ilvl w:val="0"/>
          <w:numId w:val="2"/>
        </w:numPr>
        <w:spacing w:after="60" w:before="40" w:line="340"/>
      </w:pPr>
      <w:r>
        <w:rPr>
          <w:rFonts w:ascii="Calibri" w:cs="Calibri" w:eastAsia="Calibri" w:hAnsi="Calibri"/>
          <w:color w:val="1A1A2E"/>
          <w:sz w:val="22"/>
          <w:szCs w:val="22"/>
        </w:rPr>
        <w:t xml:space="preserve">Supports Lightning Network, Bitcoin on-chain, and Chivo USD Network — maximum customer wallet compatibility.</w:t>
      </w:r>
    </w:p>
    <w:p>
      <w:pPr>
        <w:pStyle w:val="ListParagraph"/>
        <w:numPr>
          <w:ilvl w:val="0"/>
          <w:numId w:val="2"/>
        </w:numPr>
        <w:spacing w:after="60" w:before="40" w:line="340"/>
      </w:pPr>
      <w:r>
        <w:rPr>
          <w:rFonts w:ascii="Calibri" w:cs="Calibri" w:eastAsia="Calibri" w:hAnsi="Calibri"/>
          <w:color w:val="1A1A2E"/>
          <w:sz w:val="22"/>
          <w:szCs w:val="22"/>
        </w:rPr>
        <w:t xml:space="preserve">Payment links, QR codes, e-commerce API, and NFC card payments — all available under one integration.</w:t>
      </w:r>
    </w:p>
    <w:p>
      <w:pPr>
        <w:pStyle w:val="ListParagraph"/>
        <w:numPr>
          <w:ilvl w:val="0"/>
          <w:numId w:val="2"/>
        </w:numPr>
        <w:spacing w:after="60" w:before="40" w:line="340"/>
      </w:pPr>
      <w:r>
        <w:rPr>
          <w:rFonts w:ascii="Calibri" w:cs="Calibri" w:eastAsia="Calibri" w:hAnsi="Calibri"/>
          <w:color w:val="1A1A2E"/>
          <w:sz w:val="22"/>
          <w:szCs w:val="22"/>
        </w:rPr>
        <w:t xml:space="preserve">Developed and battle-tested in El Salvador since 2021 — local support, local expertise, local legal framework.</w:t>
      </w:r>
    </w:p>
    <w:p>
      <w:pPr>
        <w:spacing w:after="80" w:before="0"/>
      </w:pPr>
    </w:p>
    <w:p>
      <w:pPr>
        <w:spacing w:after="80" w:before="0" w:line="340"/>
        <w:jc w:val="both"/>
      </w:pPr>
      <w:r>
        <w:rPr>
          <w:rFonts w:ascii="Calibri" w:cs="Calibri" w:eastAsia="Calibri" w:hAnsi="Calibri"/>
          <w:sz w:val="20"/>
          <w:szCs w:val="20"/>
        </w:rPr>
        <w:t xml:space="preserve">  </w:t>
      </w:r>
      <w:r>
        <w:rPr>
          <w:rFonts w:ascii="Calibri" w:cs="Calibri" w:eastAsia="Calibri" w:hAnsi="Calibri"/>
          <w:i/>
          <w:iCs/>
          <w:color w:val="6C757D"/>
          <w:sz w:val="19"/>
          <w:szCs w:val="19"/>
        </w:rPr>
        <w:t xml:space="preserve">Sources: tiankii.com/merchant; tiankii.com/company; tiankii.com/enterprise — verified April 2026</w:t>
      </w:r>
    </w:p>
    <w:p>
      <w:pPr>
        <w:pStyle w:val="Heading2"/>
        <w:spacing w:after="80" w:before="280"/>
      </w:pPr>
      <w:r>
        <w:rPr>
          <w:rFonts w:ascii="Calibri" w:cs="Calibri" w:eastAsia="Calibri" w:hAnsi="Calibri"/>
          <w:b/>
          <w:bCs/>
          <w:color w:val="1E6DB4"/>
          <w:sz w:val="26"/>
          <w:szCs w:val="26"/>
        </w:rPr>
        <w:t xml:space="preserve">2.2 Tiankii Integration Architecture — Recommended for BitFarma</w:t>
      </w:r>
    </w:p>
    <w:p>
      <w:pPr>
        <w:pStyle w:val="Heading3"/>
        <w:spacing w:after="60" w:before="180"/>
      </w:pPr>
      <w:r>
        <w:rPr>
          <w:rFonts w:ascii="Calibri" w:cs="Calibri" w:eastAsia="Calibri" w:hAnsi="Calibri"/>
          <w:b/>
          <w:bCs/>
          <w:color w:val="1A2F5E"/>
          <w:sz w:val="23"/>
          <w:szCs w:val="23"/>
        </w:rPr>
        <w:t xml:space="preserve">Current Implementation (QR Payment Link)</w:t>
      </w:r>
    </w:p>
    <w:p>
      <w:pPr>
        <w:spacing w:after="140" w:before="0" w:line="360"/>
        <w:jc w:val="both"/>
      </w:pPr>
      <w:r>
        <w:rPr>
          <w:rFonts w:ascii="Calibri" w:cs="Calibri" w:eastAsia="Calibri" w:hAnsi="Calibri"/>
          <w:b w:val="false"/>
          <w:bCs w:val="false"/>
          <w:i w:val="false"/>
          <w:iCs w:val="false"/>
          <w:color w:val="1A1A2E"/>
          <w:sz w:val="22"/>
          <w:szCs w:val="22"/>
        </w:rPr>
        <w:t xml:space="preserve">The current implementation — generating a Tiankii payment link rendered as a QR code when an order reaches 'Ready' status — is sound for a launch-phase pharmacy. The flow is: order ready → Tiankii API generates invoice → QR displayed to patient → patient scans with any Lightning wallet → webhook confirms → order advances to Delivered.</w:t>
      </w:r>
    </w:p>
    <w:p>
      <w:pPr>
        <w:pStyle w:val="Heading3"/>
        <w:spacing w:after="60" w:before="180"/>
      </w:pPr>
      <w:r>
        <w:rPr>
          <w:rFonts w:ascii="Calibri" w:cs="Calibri" w:eastAsia="Calibri" w:hAnsi="Calibri"/>
          <w:b/>
          <w:bCs/>
          <w:color w:val="1A2F5E"/>
          <w:sz w:val="23"/>
          <w:szCs w:val="23"/>
        </w:rPr>
        <w:t xml:space="preserve">Recommended Enhancements as Volume Grows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Feature</w:t>
            </w:r>
          </w:p>
        </w:tc>
        <w:tc>
          <w:tcPr>
            <w:tcW w:type="dxa" w:w="47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How It Works</w:t>
            </w:r>
          </w:p>
        </w:tc>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Priority</w:t>
            </w:r>
          </w:p>
        </w:tc>
      </w:tr>
      <w:tr>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Payment Links API</w:t>
            </w:r>
          </w:p>
        </w:tc>
        <w:tc>
          <w:tcPr>
            <w:tcW w:type="dxa" w:w="4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Automate invoice creation via Tiankii Pay API. No manual step required from pharmacist — system generates QR automatically.</w:t>
            </w:r>
          </w:p>
        </w:tc>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Implement now</w:t>
            </w:r>
          </w:p>
        </w:tc>
      </w:tr>
      <w:tr>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Webhook Confirmation</w:t>
            </w:r>
          </w:p>
        </w:tc>
        <w:tc>
          <w:tcPr>
            <w:tcW w:type="dxa" w:w="4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Tiankii fires a POST to BitFarma's endpoint on payment success. Auto-advances workflow state without human action.</w:t>
            </w:r>
          </w:p>
        </w:tc>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Implement now</w:t>
            </w:r>
          </w:p>
        </w:tc>
      </w:tr>
      <w:tr>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Lightning Address</w:t>
            </w:r>
          </w:p>
        </w:tc>
        <w:tc>
          <w:tcPr>
            <w:tcW w:type="dxa" w:w="4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Give BitFarma a human-readable address (e.g. bitfarma@tiankii.com). Patients can pay without scanning — just type the address.</w:t>
            </w:r>
          </w:p>
        </w:tc>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Phase 2</w:t>
            </w:r>
          </w:p>
        </w:tc>
      </w:tr>
      <w:tr>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NFC / Bolt Card</w:t>
            </w:r>
          </w:p>
        </w:tc>
        <w:tc>
          <w:tcPr>
            <w:tcW w:type="dxa" w:w="4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In-pharmacy pickup: patients tap their Tiankii NFC card at a POS terminal. Zero friction for regular customers.</w:t>
            </w:r>
          </w:p>
        </w:tc>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Phase 2</w:t>
            </w:r>
          </w:p>
        </w:tc>
      </w:tr>
      <w:tr>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E-commerce Plugin</w:t>
            </w:r>
          </w:p>
        </w:tc>
        <w:tc>
          <w:tcPr>
            <w:tcW w:type="dxa" w:w="4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If BitFarma ever adds a product catalog page, Tiankii's WooCommerce-style plugin enables Bitcoin checkout at product level.</w:t>
            </w:r>
          </w:p>
        </w:tc>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Phase 3</w:t>
            </w:r>
          </w:p>
        </w:tc>
      </w:tr>
      <w:tr>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Sub-Accounts</w:t>
            </w:r>
          </w:p>
        </w:tc>
        <w:tc>
          <w:tcPr>
            <w:tcW w:type="dxa" w:w="4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Manage multiple pharmacy branches or licensees from one Tiankii dashboard. Essential for the SaaS licensing model.</w:t>
            </w:r>
          </w:p>
        </w:tc>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Phase 3</w:t>
            </w:r>
          </w:p>
        </w:tc>
      </w:tr>
    </w:tbl>
    <w:p>
      <w:pPr>
        <w:spacing w:after="80" w:before="0"/>
      </w:pPr>
    </w:p>
    <w:p>
      <w:pPr>
        <w:spacing w:after="80" w:before="0" w:line="340"/>
        <w:jc w:val="both"/>
      </w:pPr>
      <w:r>
        <w:rPr>
          <w:rFonts w:ascii="Calibri" w:cs="Calibri" w:eastAsia="Calibri" w:hAnsi="Calibri"/>
          <w:sz w:val="20"/>
          <w:szCs w:val="20"/>
        </w:rPr>
        <w:t xml:space="preserve">  </w:t>
      </w:r>
      <w:r>
        <w:rPr>
          <w:rFonts w:ascii="Calibri" w:cs="Calibri" w:eastAsia="Calibri" w:hAnsi="Calibri"/>
          <w:i/>
          <w:iCs/>
          <w:color w:val="6C757D"/>
          <w:sz w:val="19"/>
          <w:szCs w:val="19"/>
        </w:rPr>
        <w:t xml:space="preserve">Sources: tiankii.com/merchant; tiankii.com/apps; tiankii.com/enterprise — product pages verified April 2026</w:t>
      </w:r>
    </w:p>
    <w:p>
      <w:pPr>
        <w:spacing w:after="80" w:before="0"/>
      </w:pPr>
    </w:p>
    <w:p>
      <w:pPr>
        <w:pStyle w:val="Heading2"/>
        <w:spacing w:after="80" w:before="280"/>
      </w:pPr>
      <w:r>
        <w:rPr>
          <w:rFonts w:ascii="Calibri" w:cs="Calibri" w:eastAsia="Calibri" w:hAnsi="Calibri"/>
          <w:b/>
          <w:bCs/>
          <w:color w:val="1E6DB4"/>
          <w:sz w:val="26"/>
          <w:szCs w:val="26"/>
        </w:rPr>
        <w:t xml:space="preserve">2.3 Lightning Network Technical Advantages for a Pharmacy</w:t>
      </w:r>
    </w:p>
    <w:p>
      <w:pPr>
        <w:pStyle w:val="ListParagraph"/>
        <w:numPr>
          <w:ilvl w:val="0"/>
          <w:numId w:val="2"/>
        </w:numPr>
        <w:spacing w:after="60" w:before="40" w:line="340"/>
      </w:pPr>
      <w:r>
        <w:rPr>
          <w:rFonts w:ascii="Calibri" w:cs="Calibri" w:eastAsia="Calibri" w:hAnsi="Calibri"/>
          <w:color w:val="1A1A2E"/>
          <w:sz w:val="22"/>
          <w:szCs w:val="22"/>
        </w:rPr>
        <w:t xml:space="preserve">Transaction fees are near-zero — fractions of a cent per payment, vs. 2–4% for credit/debit card processors.</w:t>
      </w:r>
    </w:p>
    <w:p>
      <w:pPr>
        <w:pStyle w:val="ListParagraph"/>
        <w:numPr>
          <w:ilvl w:val="0"/>
          <w:numId w:val="2"/>
        </w:numPr>
        <w:spacing w:after="60" w:before="40" w:line="340"/>
      </w:pPr>
      <w:r>
        <w:rPr>
          <w:rFonts w:ascii="Calibri" w:cs="Calibri" w:eastAsia="Calibri" w:hAnsi="Calibri"/>
          <w:color w:val="1A1A2E"/>
          <w:sz w:val="22"/>
          <w:szCs w:val="22"/>
        </w:rPr>
        <w:t xml:space="preserve">Settlement is instant and final — no chargebacks, no payment reversals, no fraud risk for the merchant.</w:t>
      </w:r>
    </w:p>
    <w:p>
      <w:pPr>
        <w:pStyle w:val="ListParagraph"/>
        <w:numPr>
          <w:ilvl w:val="0"/>
          <w:numId w:val="2"/>
        </w:numPr>
        <w:spacing w:after="60" w:before="40" w:line="340"/>
      </w:pPr>
      <w:r>
        <w:rPr>
          <w:rFonts w:ascii="Calibri" w:cs="Calibri" w:eastAsia="Calibri" w:hAnsi="Calibri"/>
          <w:color w:val="1A1A2E"/>
          <w:sz w:val="22"/>
          <w:szCs w:val="22"/>
        </w:rPr>
        <w:t xml:space="preserve">Payments work 24/7 globally — no banking hours, no holidays, no failed authorizations.</w:t>
      </w:r>
    </w:p>
    <w:p>
      <w:pPr>
        <w:pStyle w:val="ListParagraph"/>
        <w:numPr>
          <w:ilvl w:val="0"/>
          <w:numId w:val="2"/>
        </w:numPr>
        <w:spacing w:after="60" w:before="40" w:line="340"/>
      </w:pPr>
      <w:r>
        <w:rPr>
          <w:rFonts w:ascii="Calibri" w:cs="Calibri" w:eastAsia="Calibri" w:hAnsi="Calibri"/>
          <w:color w:val="1A1A2E"/>
          <w:sz w:val="22"/>
          <w:szCs w:val="22"/>
        </w:rPr>
        <w:t xml:space="preserve">Compatible with all major wallets in El Salvador: Chivo, Blink, Phoenix, Blue Wallet, Muun, Strike.</w:t>
      </w:r>
    </w:p>
    <w:p>
      <w:pPr>
        <w:pStyle w:val="ListParagraph"/>
        <w:numPr>
          <w:ilvl w:val="0"/>
          <w:numId w:val="2"/>
        </w:numPr>
        <w:spacing w:after="60" w:before="40" w:line="340"/>
      </w:pPr>
      <w:r>
        <w:rPr>
          <w:rFonts w:ascii="Calibri" w:cs="Calibri" w:eastAsia="Calibri" w:hAnsi="Calibri"/>
          <w:color w:val="1A1A2E"/>
          <w:sz w:val="22"/>
          <w:szCs w:val="22"/>
        </w:rPr>
        <w:t xml:space="preserve">At the Lightning Network level (Aug 2024): 15,000+ nodes, 54,000+ channels, $270M+ USD in liquidity — a mature, reliable network.</w:t>
      </w:r>
    </w:p>
    <w:p>
      <w:pPr>
        <w:spacing w:after="80" w:before="0"/>
      </w:pPr>
    </w:p>
    <w:p>
      <w:pPr>
        <w:spacing w:after="80" w:before="0" w:line="340"/>
        <w:jc w:val="both"/>
      </w:pPr>
      <w:r>
        <w:rPr>
          <w:rFonts w:ascii="Calibri" w:cs="Calibri" w:eastAsia="Calibri" w:hAnsi="Calibri"/>
          <w:sz w:val="20"/>
          <w:szCs w:val="20"/>
        </w:rPr>
        <w:t xml:space="preserve">  </w:t>
      </w:r>
      <w:r>
        <w:rPr>
          <w:rFonts w:ascii="Calibri" w:cs="Calibri" w:eastAsia="Calibri" w:hAnsi="Calibri"/>
          <w:i/>
          <w:iCs/>
          <w:color w:val="6C757D"/>
          <w:sz w:val="19"/>
          <w:szCs w:val="19"/>
        </w:rPr>
        <w:t xml:space="preserve">Sources: Medium/UTXOStack — Past, Present and Future of Lightning Network, Aug 2024</w:t>
      </w:r>
    </w:p>
    <w:p>
      <w:pPr>
        <w:pStyle w:val="Heading2"/>
        <w:spacing w:after="80" w:before="280"/>
      </w:pPr>
      <w:r>
        <w:rPr>
          <w:rFonts w:ascii="Calibri" w:cs="Calibri" w:eastAsia="Calibri" w:hAnsi="Calibri"/>
          <w:b/>
          <w:bCs/>
          <w:color w:val="1E6DB4"/>
          <w:sz w:val="26"/>
          <w:szCs w:val="26"/>
        </w:rPr>
        <w:t xml:space="preserve">2.4 Alternative Payment Options — Comparison</w:t>
      </w:r>
    </w:p>
    <w:p>
      <w:pPr>
        <w:spacing w:after="140" w:before="0" w:line="360"/>
        <w:jc w:val="both"/>
      </w:pPr>
      <w:r>
        <w:rPr>
          <w:rFonts w:ascii="Calibri" w:cs="Calibri" w:eastAsia="Calibri" w:hAnsi="Calibri"/>
          <w:b w:val="false"/>
          <w:bCs w:val="false"/>
          <w:i w:val="false"/>
          <w:iCs w:val="false"/>
          <w:color w:val="1A1A2E"/>
          <w:sz w:val="22"/>
          <w:szCs w:val="22"/>
        </w:rPr>
        <w:t xml:space="preserve">For reference, here is how Tiankii compares to alternative Bitcoin payment solutions BitFarma could consider: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Solution</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El Salvador Regulated</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Self-Custodial</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Lightning Support</w:t>
            </w:r>
          </w:p>
        </w:tc>
        <w:tc>
          <w:tcPr>
            <w:tcW w:type="dxa" w:w="17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Ease of Integration</w:t>
            </w:r>
          </w:p>
        </w:tc>
      </w:tr>
      <w:tr>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Tiankii (current)</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Yes</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Yes</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Full</w:t>
            </w:r>
          </w:p>
        </w:tc>
        <w:tc>
          <w:tcPr>
            <w:tcW w:type="dxa" w:w="1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API + QR + NFC</w:t>
            </w:r>
          </w:p>
        </w:tc>
      </w:tr>
      <w:tr>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BTCPay Server</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No (self-hosted)</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Yes</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Full</w:t>
            </w:r>
          </w:p>
        </w:tc>
        <w:tc>
          <w:tcPr>
            <w:tcW w:type="dxa" w:w="1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Requires own node</w:t>
            </w:r>
          </w:p>
        </w:tc>
      </w:tr>
      <w:tr>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OpenNode</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No (US-based)</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Custodial</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Full</w:t>
            </w:r>
          </w:p>
        </w:tc>
        <w:tc>
          <w:tcPr>
            <w:tcW w:type="dxa" w:w="1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Easy API</w:t>
            </w:r>
          </w:p>
        </w:tc>
      </w:tr>
      <w:tr>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Strike API</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No (US-based)</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Custodial</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Full</w:t>
            </w:r>
          </w:p>
        </w:tc>
        <w:tc>
          <w:tcPr>
            <w:tcW w:type="dxa" w:w="1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Easy API</w:t>
            </w:r>
          </w:p>
        </w:tc>
      </w:tr>
      <w:tr>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Blink (former BB Wallet)</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El Salvador base</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Custodial</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Full</w:t>
            </w:r>
          </w:p>
        </w:tc>
        <w:tc>
          <w:tcPr>
            <w:tcW w:type="dxa" w:w="1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Easy</w:t>
            </w:r>
          </w:p>
        </w:tc>
      </w:tr>
    </w:tbl>
    <w:p>
      <w:pPr>
        <w:spacing w:after="80" w:before="0"/>
      </w:pPr>
    </w:p>
    <w:p>
      <w:pPr>
        <w:spacing w:after="140" w:before="0" w:line="360"/>
        <w:jc w:val="both"/>
      </w:pPr>
      <w:r>
        <w:rPr>
          <w:rFonts w:ascii="Calibri" w:cs="Calibri" w:eastAsia="Calibri" w:hAnsi="Calibri"/>
          <w:b w:val="false"/>
          <w:bCs w:val="false"/>
          <w:i/>
          <w:iCs/>
          <w:color w:val="6C757D"/>
          <w:sz w:val="22"/>
          <w:szCs w:val="22"/>
        </w:rPr>
        <w:t xml:space="preserve">Tiankii remains the clear best choice for BitFarma: it is the only option that is both El Salvador-regulated and fully self-custodial. This combination is critical for a healthcare business — regulatory compliance protects the business, and self-custody protects the funds.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1"/>
              <w:left w:val="single" w:color="2A9D3A" w:sz="1"/>
              <w:bottom w:val="single" w:color="2A9D3A" w:sz="1"/>
              <w:right w:val="single" w:color="2A9D3A" w:sz="1"/>
            </w:tcBorders>
            <w:shd w:fill="F0FFF4" w:val="clear"/>
            <w:tcMar>
              <w:top w:type="dxa" w:w="100"/>
              <w:left w:type="dxa" w:w="220"/>
              <w:bottom w:type="dxa" w:w="100"/>
              <w:right w:type="dxa" w:w="220"/>
            </w:tcMar>
          </w:tcPr>
          <w:p>
            <w:pPr>
              <w:spacing w:after="40" w:before="0"/>
            </w:pPr>
            <w:r>
              <w:rPr>
                <w:rFonts w:ascii="Calibri" w:cs="Calibri" w:eastAsia="Calibri" w:hAnsi="Calibri"/>
                <w:b/>
                <w:bCs/>
                <w:color w:val="2A9D3A"/>
                <w:sz w:val="20"/>
                <w:szCs w:val="20"/>
              </w:rPr>
              <w:t xml:space="preserve">✅ Recommendation:  </w:t>
            </w:r>
            <w:r>
              <w:rPr>
                <w:rFonts w:ascii="Calibri" w:cs="Calibri" w:eastAsia="Calibri" w:hAnsi="Calibri"/>
                <w:i/>
                <w:iCs/>
                <w:color w:val="443300"/>
                <w:sz w:val="20"/>
                <w:szCs w:val="20"/>
              </w:rPr>
              <w:t xml:space="preserve">Continue with Tiankii as the primary payment infrastructure. Prioritize automating the API-based invoice generation and webhook confirmation flow to reduce pharmacist touchpoints and enable higher transaction volume without adding operational overhead.</w:t>
            </w:r>
          </w:p>
        </w:tc>
      </w:tr>
    </w:tbl>
    <w:p>
      <w:pPr>
        <w:spacing w:after="120" w:before="0"/>
      </w:pPr>
    </w:p>
    <w:p>
      <w:r>
        <w:br w:type="page"/>
      </w:r>
    </w:p>
    <w:p>
      <w:pPr>
        <w:pStyle w:val="Heading1"/>
        <w:spacing w:after="120" w:before="400"/>
      </w:pPr>
      <w:r>
        <w:rPr>
          <w:rFonts w:ascii="Calibri" w:cs="Calibri" w:eastAsia="Calibri" w:hAnsi="Calibri"/>
          <w:b/>
          <w:bCs/>
          <w:color w:val="0D1B3E"/>
          <w:sz w:val="34"/>
          <w:szCs w:val="34"/>
        </w:rPr>
        <w:t xml:space="preserve">3. Railway Hosting — Capacity, Limits &amp; Migration Options</w:t>
      </w:r>
    </w:p>
    <w:p>
      <w:pPr>
        <w:pBdr>
          <w:bottom w:val="single" w:color="E87722" w:sz="8" w:space="1"/>
        </w:pBdr>
        <w:spacing w:after="160" w:before="0"/>
      </w:pPr>
    </w:p>
    <w:p>
      <w:pPr>
        <w:spacing w:after="140" w:before="0" w:line="360"/>
        <w:jc w:val="both"/>
      </w:pPr>
      <w:r>
        <w:rPr>
          <w:rFonts w:ascii="Calibri" w:cs="Calibri" w:eastAsia="Calibri" w:hAnsi="Calibri"/>
          <w:b w:val="false"/>
          <w:bCs w:val="false"/>
          <w:i w:val="false"/>
          <w:iCs w:val="false"/>
          <w:color w:val="1A1A2E"/>
          <w:sz w:val="22"/>
          <w:szCs w:val="22"/>
        </w:rPr>
        <w:t xml:space="preserve">BitFarma is currently deployed on Railway, a modern Platform-as-a-Service (PaaS). This section analyzes Railway's capacity at each plan tier, estimates how many concurrent users the platform can support, and evaluates whether and when migration to an alternative host would be warranted.</w:t>
      </w:r>
    </w:p>
    <w:p>
      <w:pPr>
        <w:pStyle w:val="Heading2"/>
        <w:spacing w:after="80" w:before="280"/>
      </w:pPr>
      <w:r>
        <w:rPr>
          <w:rFonts w:ascii="Calibri" w:cs="Calibri" w:eastAsia="Calibri" w:hAnsi="Calibri"/>
          <w:b/>
          <w:bCs/>
          <w:color w:val="1E6DB4"/>
          <w:sz w:val="26"/>
          <w:szCs w:val="26"/>
        </w:rPr>
        <w:t xml:space="preserve">3.1 Railway Plan Comparison (Current as of 2026)</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Feature</w:t>
            </w:r>
          </w:p>
        </w:tc>
        <w:tc>
          <w:tcPr>
            <w:tcW w:type="dxa" w:w="17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Trial</w:t>
            </w:r>
          </w:p>
        </w:tc>
        <w:tc>
          <w:tcPr>
            <w:tcW w:type="dxa" w:w="17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Hobby</w:t>
            </w:r>
          </w:p>
        </w:tc>
        <w:tc>
          <w:tcPr>
            <w:tcW w:type="dxa" w:w="17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Pro</w:t>
            </w:r>
          </w:p>
        </w:tc>
        <w:tc>
          <w:tcPr>
            <w:tcW w:type="dxa" w:w="174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Enterprise</w:t>
            </w:r>
          </w:p>
        </w:tc>
      </w:tr>
      <w:tr>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Price</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$0 (30 days)</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$5/mo</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$20/mo</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Custom ($2K+ min)</w:t>
            </w:r>
          </w:p>
        </w:tc>
      </w:tr>
      <w:tr>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Included Credits</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$5 one-time</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$5/mo</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$20/mo</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Custom</w:t>
            </w:r>
          </w:p>
        </w:tc>
      </w:tr>
      <w:tr>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Max RAM / service</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0.5 GB</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48 GB</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1 TB</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2.4 TB</w:t>
            </w:r>
          </w:p>
        </w:tc>
      </w:tr>
      <w:tr>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Max vCPU / service</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1 vCPU</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48 vCPU</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1,000 vCPU</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2,400 vCPU</w:t>
            </w:r>
          </w:p>
        </w:tc>
      </w:tr>
      <w:tr>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Volume Storage</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0.5 GB</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Up to 5 GB</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Up to 1 TB</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Up to 5 TB</w:t>
            </w:r>
          </w:p>
        </w:tc>
      </w:tr>
      <w:tr>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Max Projects</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1</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50</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100</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Unlimited</w:t>
            </w:r>
          </w:p>
        </w:tc>
      </w:tr>
      <w:tr>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Max Replicas / service</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1</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6</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High</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Highest</w:t>
            </w:r>
          </w:p>
        </w:tc>
      </w:tr>
      <w:tr>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Team Members</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1</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3</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Unlimited</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Unlimited</w:t>
            </w:r>
          </w:p>
        </w:tc>
      </w:tr>
      <w:tr>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Log Retention</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7 days</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7 days</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30 days</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90 days</w:t>
            </w:r>
          </w:p>
        </w:tc>
      </w:tr>
      <w:tr>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SLA / Support</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Community</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Community</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Railway Support</w:t>
            </w:r>
          </w:p>
        </w:tc>
        <w:tc>
          <w:tcPr>
            <w:tcW w:type="dxa" w:w="174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Enterprise SLA</w:t>
            </w:r>
          </w:p>
        </w:tc>
      </w:tr>
    </w:tbl>
    <w:p>
      <w:pPr>
        <w:spacing w:after="80" w:before="0"/>
      </w:pPr>
    </w:p>
    <w:p>
      <w:pPr>
        <w:spacing w:after="80" w:before="0" w:line="340"/>
        <w:jc w:val="both"/>
      </w:pPr>
      <w:r>
        <w:rPr>
          <w:rFonts w:ascii="Calibri" w:cs="Calibri" w:eastAsia="Calibri" w:hAnsi="Calibri"/>
          <w:sz w:val="20"/>
          <w:szCs w:val="20"/>
        </w:rPr>
        <w:t xml:space="preserve">  </w:t>
      </w:r>
      <w:r>
        <w:rPr>
          <w:rFonts w:ascii="Calibri" w:cs="Calibri" w:eastAsia="Calibri" w:hAnsi="Calibri"/>
          <w:i/>
          <w:iCs/>
          <w:color w:val="6C757D"/>
          <w:sz w:val="19"/>
          <w:szCs w:val="19"/>
        </w:rPr>
        <w:t xml:space="preserve">Sources: Railway Docs — Pricing Plans (docs.railway.com/pricing/plans, updated April 2026); PulseSignal Railway Pricing 2026; SaaSPricePulse Railway 2026</w:t>
      </w:r>
    </w:p>
    <w:p>
      <w:pPr>
        <w:spacing w:after="80" w:before="0"/>
      </w:pPr>
    </w:p>
    <w:p>
      <w:pPr>
        <w:pStyle w:val="Heading2"/>
        <w:spacing w:after="80" w:before="280"/>
      </w:pPr>
      <w:r>
        <w:rPr>
          <w:rFonts w:ascii="Calibri" w:cs="Calibri" w:eastAsia="Calibri" w:hAnsi="Calibri"/>
          <w:b/>
          <w:bCs/>
          <w:color w:val="1E6DB4"/>
          <w:sz w:val="26"/>
          <w:szCs w:val="26"/>
        </w:rPr>
        <w:t xml:space="preserve">3.2 How Many Users Can Railway Handle?</w:t>
      </w:r>
    </w:p>
    <w:p>
      <w:pPr>
        <w:spacing w:after="140" w:before="0" w:line="360"/>
        <w:jc w:val="both"/>
      </w:pPr>
      <w:r>
        <w:rPr>
          <w:rFonts w:ascii="Calibri" w:cs="Calibri" w:eastAsia="Calibri" w:hAnsi="Calibri"/>
          <w:b w:val="false"/>
          <w:bCs w:val="false"/>
          <w:i w:val="false"/>
          <w:iCs w:val="false"/>
          <w:color w:val="1A1A2E"/>
          <w:sz w:val="22"/>
          <w:szCs w:val="22"/>
        </w:rPr>
        <w:t xml:space="preserve">Railway does not set a fixed 'user limit' — it scales based on CPU, RAM, and memory consumption. The real constraint is the resource cap and your monthly spend budget. Here is a practical estimation for BitFarma's workload: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Scenario</w:t>
            </w:r>
          </w:p>
        </w:tc>
        <w:tc>
          <w:tcPr>
            <w:tcW w:type="dxa" w:w="2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Monthly Users (est.)</w:t>
            </w:r>
          </w:p>
        </w:tc>
        <w:tc>
          <w:tcPr>
            <w:tcW w:type="dxa" w:w="2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Resources Needed</w:t>
            </w:r>
          </w:p>
        </w:tc>
        <w:tc>
          <w:tcPr>
            <w:tcW w:type="dxa" w:w="2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Railway Plan &amp; Cost</w:t>
            </w:r>
          </w:p>
        </w:tc>
      </w:tr>
      <w:tr>
        <w:tc>
          <w:tcPr>
            <w:tcW w:type="dxa" w:w="26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MVP / Launch</w:t>
            </w:r>
          </w:p>
        </w:tc>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Up to ~500 active users</w:t>
            </w:r>
          </w:p>
        </w:tc>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0.5 vCPU / 512MB RAM</w:t>
            </w:r>
          </w:p>
        </w:tc>
        <w:tc>
          <w:tcPr>
            <w:tcW w:type="dxa" w:w="2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Hobby — ~$5–10/mo</w:t>
            </w:r>
          </w:p>
        </w:tc>
      </w:tr>
      <w:tr>
        <w:tc>
          <w:tcPr>
            <w:tcW w:type="dxa" w:w="26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Early Growth</w:t>
            </w:r>
          </w:p>
        </w:tc>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500–2,000 active users</w:t>
            </w:r>
          </w:p>
        </w:tc>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1 vCPU / 1–2 GB RAM</w:t>
            </w:r>
          </w:p>
        </w:tc>
        <w:tc>
          <w:tcPr>
            <w:tcW w:type="dxa" w:w="2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Hobby overages — ~$15–25/mo</w:t>
            </w:r>
          </w:p>
        </w:tc>
      </w:tr>
      <w:tr>
        <w:tc>
          <w:tcPr>
            <w:tcW w:type="dxa" w:w="26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Scaling Phase</w:t>
            </w:r>
          </w:p>
        </w:tc>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2,000–10,000 active users</w:t>
            </w:r>
          </w:p>
        </w:tc>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2–4 vCPU / 4–8 GB RAM</w:t>
            </w:r>
          </w:p>
        </w:tc>
        <w:tc>
          <w:tcPr>
            <w:tcW w:type="dxa" w:w="2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Pro — ~$45–80/mo</w:t>
            </w:r>
          </w:p>
        </w:tc>
      </w:tr>
      <w:tr>
        <w:tc>
          <w:tcPr>
            <w:tcW w:type="dxa" w:w="26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High Traffic</w:t>
            </w:r>
          </w:p>
        </w:tc>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10,000–50,000 active users</w:t>
            </w:r>
          </w:p>
        </w:tc>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8–16 vCPU / 16–32 GB RAM</w:t>
            </w:r>
          </w:p>
        </w:tc>
        <w:tc>
          <w:tcPr>
            <w:tcW w:type="dxa" w:w="2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Pro + overages ~$150–300/mo</w:t>
            </w:r>
          </w:p>
        </w:tc>
      </w:tr>
      <w:tr>
        <w:tc>
          <w:tcPr>
            <w:tcW w:type="dxa" w:w="26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Enterprise Scale</w:t>
            </w:r>
          </w:p>
        </w:tc>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50,000+ active users</w:t>
            </w:r>
          </w:p>
        </w:tc>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Custom infrastructure</w:t>
            </w:r>
          </w:p>
        </w:tc>
        <w:tc>
          <w:tcPr>
            <w:tcW w:type="dxa" w:w="2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Enterprise or migrate to VPS</w:t>
            </w:r>
          </w:p>
        </w:tc>
      </w:tr>
    </w:tbl>
    <w:p>
      <w:pPr>
        <w:spacing w:after="80" w:before="0"/>
      </w:pPr>
    </w:p>
    <w:p>
      <w:pPr>
        <w:spacing w:after="80" w:before="0" w:line="340"/>
        <w:jc w:val="both"/>
      </w:pPr>
      <w:r>
        <w:rPr>
          <w:rFonts w:ascii="Calibri" w:cs="Calibri" w:eastAsia="Calibri" w:hAnsi="Calibri"/>
          <w:sz w:val="20"/>
          <w:szCs w:val="20"/>
        </w:rPr>
        <w:t xml:space="preserve">  </w:t>
      </w:r>
      <w:r>
        <w:rPr>
          <w:rFonts w:ascii="Calibri" w:cs="Calibri" w:eastAsia="Calibri" w:hAnsi="Calibri"/>
          <w:i/>
          <w:iCs/>
          <w:color w:val="6C757D"/>
          <w:sz w:val="19"/>
          <w:szCs w:val="19"/>
        </w:rPr>
        <w:t xml:space="preserve">Source: CheckThat.ai — Railway Pricing 2026 (real-world cost examples); TheSoftwareScout — Railway Pricing 2026</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DB4" w:sz="1"/>
              <w:left w:val="single" w:color="1E6DB4" w:sz="1"/>
              <w:bottom w:val="single" w:color="1E6DB4" w:sz="1"/>
              <w:right w:val="single" w:color="1E6DB4" w:sz="1"/>
            </w:tcBorders>
            <w:shd w:fill="EBF4FF" w:val="clear"/>
            <w:tcMar>
              <w:top w:type="dxa" w:w="100"/>
              <w:left w:type="dxa" w:w="220"/>
              <w:bottom w:type="dxa" w:w="100"/>
              <w:right w:type="dxa" w:w="220"/>
            </w:tcMar>
          </w:tcPr>
          <w:p>
            <w:pPr>
              <w:spacing w:after="40" w:before="0"/>
            </w:pPr>
            <w:r>
              <w:rPr>
                <w:rFonts w:ascii="Calibri" w:cs="Calibri" w:eastAsia="Calibri" w:hAnsi="Calibri"/>
                <w:b/>
                <w:bCs/>
                <w:color w:val="1E6DB4"/>
                <w:sz w:val="20"/>
                <w:szCs w:val="20"/>
              </w:rPr>
              <w:t xml:space="preserve">📊 Practical Reality:  </w:t>
            </w:r>
            <w:r>
              <w:rPr>
                <w:rFonts w:ascii="Calibri" w:cs="Calibri" w:eastAsia="Calibri" w:hAnsi="Calibri"/>
                <w:i/>
                <w:iCs/>
                <w:color w:val="443300"/>
                <w:sz w:val="20"/>
                <w:szCs w:val="20"/>
              </w:rPr>
              <w:t xml:space="preserve">A Node.js app with PostgreSQL running 24/7 on 0.5 vCPU / 512MB RAM costs ~$15/month total on Railway. BitFarma at launch (up to 500 concurrent users in a pharmacy workflow app) will comfortably fit within the Hobby or low-Pro plan at $5–20/month.</w:t>
            </w:r>
          </w:p>
        </w:tc>
      </w:tr>
    </w:tbl>
    <w:p>
      <w:pPr>
        <w:spacing w:after="80" w:before="0"/>
      </w:pPr>
    </w:p>
    <w:p>
      <w:pPr>
        <w:pStyle w:val="Heading2"/>
        <w:spacing w:after="80" w:before="280"/>
      </w:pPr>
      <w:r>
        <w:rPr>
          <w:rFonts w:ascii="Calibri" w:cs="Calibri" w:eastAsia="Calibri" w:hAnsi="Calibri"/>
          <w:b/>
          <w:bCs/>
          <w:color w:val="1E6DB4"/>
          <w:sz w:val="26"/>
          <w:szCs w:val="26"/>
        </w:rPr>
        <w:t xml:space="preserve">3.3 Should BitFarma Stay on Railway?</w:t>
      </w:r>
    </w:p>
    <w:p>
      <w:pPr>
        <w:pStyle w:val="Heading3"/>
        <w:spacing w:after="60" w:before="180"/>
      </w:pPr>
      <w:r>
        <w:rPr>
          <w:rFonts w:ascii="Calibri" w:cs="Calibri" w:eastAsia="Calibri" w:hAnsi="Calibri"/>
          <w:b/>
          <w:bCs/>
          <w:color w:val="1A2F5E"/>
          <w:sz w:val="23"/>
          <w:szCs w:val="23"/>
        </w:rPr>
        <w:t xml:space="preserve">Short Answer: Yes, for now. With a clear migration trigger.</w:t>
      </w:r>
    </w:p>
    <w:p>
      <w:pPr>
        <w:spacing w:after="140" w:before="0" w:line="360"/>
        <w:jc w:val="both"/>
      </w:pPr>
      <w:r>
        <w:rPr>
          <w:rFonts w:ascii="Calibri" w:cs="Calibri" w:eastAsia="Calibri" w:hAnsi="Calibri"/>
          <w:b w:val="false"/>
          <w:bCs w:val="false"/>
          <w:i w:val="false"/>
          <w:iCs w:val="false"/>
          <w:color w:val="1A1A2E"/>
          <w:sz w:val="22"/>
          <w:szCs w:val="22"/>
        </w:rPr>
        <w:t xml:space="preserve">Railway is the right platform for BitFarma through the launch phase and early growth (up to ~2,000–5,000 active users). The following table summarizes the decision framework:</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Stage</w:t>
            </w:r>
          </w:p>
        </w:tc>
        <w:tc>
          <w:tcPr>
            <w:tcW w:type="dxa" w:w="348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Stay on Railway</w:t>
            </w:r>
          </w:p>
        </w:tc>
        <w:tc>
          <w:tcPr>
            <w:tcW w:type="dxa" w:w="348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Consider Migration</w:t>
            </w:r>
          </w:p>
        </w:tc>
      </w:tr>
      <w:tr>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Launch (~0–500 users)</w:t>
            </w:r>
          </w:p>
        </w:tc>
        <w:tc>
          <w:tcPr>
            <w:tcW w:type="dxa" w:w="348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Ideal — $5–15/mo, zero ops overhead</w:t>
            </w:r>
          </w:p>
        </w:tc>
        <w:tc>
          <w:tcPr>
            <w:tcW w:type="dxa" w:w="348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w:t>
            </w:r>
          </w:p>
        </w:tc>
      </w:tr>
      <w:tr>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Growth (~500–5,000 users)</w:t>
            </w:r>
          </w:p>
        </w:tc>
        <w:tc>
          <w:tcPr>
            <w:tcW w:type="dxa" w:w="348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Pro plan handles this well</w:t>
            </w:r>
          </w:p>
        </w:tc>
        <w:tc>
          <w:tcPr>
            <w:tcW w:type="dxa" w:w="348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Monitor costs monthly</w:t>
            </w:r>
          </w:p>
        </w:tc>
      </w:tr>
      <w:tr>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Scaling (~5,000–20,000 users)</w:t>
            </w:r>
          </w:p>
        </w:tc>
        <w:tc>
          <w:tcPr>
            <w:tcW w:type="dxa" w:w="348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Costs $80–200/mo, still viable</w:t>
            </w:r>
          </w:p>
        </w:tc>
        <w:tc>
          <w:tcPr>
            <w:tcW w:type="dxa" w:w="348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Consider VPS or DigitalOcean</w:t>
            </w:r>
          </w:p>
        </w:tc>
      </w:tr>
      <w:tr>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Enterprise (20,000+ users)</w:t>
            </w:r>
          </w:p>
        </w:tc>
        <w:tc>
          <w:tcPr>
            <w:tcW w:type="dxa" w:w="348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Cost inefficient at this scale</w:t>
            </w:r>
          </w:p>
        </w:tc>
        <w:tc>
          <w:tcPr>
            <w:tcW w:type="dxa" w:w="348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Migrate to AWS/GCP/DO</w:t>
            </w:r>
          </w:p>
        </w:tc>
      </w:tr>
    </w:tbl>
    <w:p>
      <w:pPr>
        <w:spacing w:after="80" w:before="0"/>
      </w:pPr>
    </w:p>
    <w:p>
      <w:pPr>
        <w:pStyle w:val="Heading2"/>
        <w:spacing w:after="80" w:before="280"/>
      </w:pPr>
      <w:r>
        <w:rPr>
          <w:rFonts w:ascii="Calibri" w:cs="Calibri" w:eastAsia="Calibri" w:hAnsi="Calibri"/>
          <w:b/>
          <w:bCs/>
          <w:color w:val="1E6DB4"/>
          <w:sz w:val="26"/>
          <w:szCs w:val="26"/>
        </w:rPr>
        <w:t xml:space="preserve">3.4 Migration Options — When You Outgrow Railway</w:t>
      </w:r>
    </w:p>
    <w:p>
      <w:pPr>
        <w:spacing w:after="140" w:before="0" w:line="360"/>
        <w:jc w:val="both"/>
      </w:pPr>
      <w:r>
        <w:rPr>
          <w:rFonts w:ascii="Calibri" w:cs="Calibri" w:eastAsia="Calibri" w:hAnsi="Calibri"/>
          <w:b w:val="false"/>
          <w:bCs w:val="false"/>
          <w:i w:val="false"/>
          <w:iCs w:val="false"/>
          <w:color w:val="1A1A2E"/>
          <w:sz w:val="22"/>
          <w:szCs w:val="22"/>
        </w:rPr>
        <w:t xml:space="preserve">If and when BitFarma scales beyond Railway's cost-effective range, here are the best migration targets: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Platform</w:t>
            </w:r>
          </w:p>
        </w:tc>
        <w:tc>
          <w:tcPr>
            <w:tcW w:type="dxa" w:w="2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Best For</w:t>
            </w:r>
          </w:p>
        </w:tc>
        <w:tc>
          <w:tcPr>
            <w:tcW w:type="dxa" w:w="2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Cost Range</w:t>
            </w:r>
          </w:p>
        </w:tc>
        <w:tc>
          <w:tcPr>
            <w:tcW w:type="dxa" w:w="25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Key Advantage</w:t>
            </w:r>
          </w:p>
        </w:tc>
      </w:tr>
      <w:tr>
        <w:tc>
          <w:tcPr>
            <w:tcW w:type="dxa" w:w="20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DigitalOcean App Platform</w:t>
            </w:r>
          </w:p>
        </w:tc>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Medium-scale production</w:t>
            </w:r>
          </w:p>
        </w:tc>
        <w:tc>
          <w:tcPr>
            <w:tcW w:type="dxa" w:w="26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$12–$50/mo</w:t>
            </w:r>
          </w:p>
        </w:tc>
        <w:tc>
          <w:tcPr>
            <w:tcW w:type="dxa" w:w="2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Simple, predictable pricing; great docs</w:t>
            </w:r>
          </w:p>
        </w:tc>
      </w:tr>
      <w:tr>
        <w:tc>
          <w:tcPr>
            <w:tcW w:type="dxa" w:w="20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Fly.io</w:t>
            </w:r>
          </w:p>
        </w:tc>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Global low-latency apps</w:t>
            </w:r>
          </w:p>
        </w:tc>
        <w:tc>
          <w:tcPr>
            <w:tcW w:type="dxa" w:w="26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$0–$50/mo</w:t>
            </w:r>
          </w:p>
        </w:tc>
        <w:tc>
          <w:tcPr>
            <w:tcW w:type="dxa" w:w="2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30+ global regions, closest to LatAm users</w:t>
            </w:r>
          </w:p>
        </w:tc>
      </w:tr>
      <w:tr>
        <w:tc>
          <w:tcPr>
            <w:tcW w:type="dxa" w:w="20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Render</w:t>
            </w:r>
          </w:p>
        </w:tc>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Railway-like UX + free tier</w:t>
            </w:r>
          </w:p>
        </w:tc>
        <w:tc>
          <w:tcPr>
            <w:tcW w:type="dxa" w:w="26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$7–$85/mo</w:t>
            </w:r>
          </w:p>
        </w:tc>
        <w:tc>
          <w:tcPr>
            <w:tcW w:type="dxa" w:w="2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Free tier for testing; familiar DX</w:t>
            </w:r>
          </w:p>
        </w:tc>
      </w:tr>
      <w:tr>
        <w:tc>
          <w:tcPr>
            <w:tcW w:type="dxa" w:w="20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Coolify (self-hosted)</w:t>
            </w:r>
          </w:p>
        </w:tc>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Full control on your VPS</w:t>
            </w:r>
          </w:p>
        </w:tc>
        <w:tc>
          <w:tcPr>
            <w:tcW w:type="dxa" w:w="26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$5–$20/mo (VPS cost only)</w:t>
            </w:r>
          </w:p>
        </w:tc>
        <w:tc>
          <w:tcPr>
            <w:tcW w:type="dxa" w:w="2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No platform fees; total data control</w:t>
            </w:r>
          </w:p>
        </w:tc>
      </w:tr>
      <w:tr>
        <w:tc>
          <w:tcPr>
            <w:tcW w:type="dxa" w:w="20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AWS / GCP</w:t>
            </w:r>
          </w:p>
        </w:tc>
        <w:tc>
          <w:tcPr>
            <w:tcW w:type="dxa" w:w="2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Enterprise scale</w:t>
            </w:r>
          </w:p>
        </w:tc>
        <w:tc>
          <w:tcPr>
            <w:tcW w:type="dxa" w:w="26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$50–$500+/mo</w:t>
            </w:r>
          </w:p>
        </w:tc>
        <w:tc>
          <w:tcPr>
            <w:tcW w:type="dxa" w:w="25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Maximum power, regions, compliance</w:t>
            </w:r>
          </w:p>
        </w:tc>
      </w:tr>
    </w:tbl>
    <w:p>
      <w:pPr>
        <w:spacing w:after="80" w:before="0"/>
      </w:pPr>
    </w:p>
    <w:p>
      <w:pPr>
        <w:spacing w:after="80" w:before="0" w:line="340"/>
        <w:jc w:val="both"/>
      </w:pPr>
      <w:r>
        <w:rPr>
          <w:rFonts w:ascii="Calibri" w:cs="Calibri" w:eastAsia="Calibri" w:hAnsi="Calibri"/>
          <w:sz w:val="20"/>
          <w:szCs w:val="20"/>
        </w:rPr>
        <w:t xml:space="preserve">  </w:t>
      </w:r>
      <w:r>
        <w:rPr>
          <w:rFonts w:ascii="Calibri" w:cs="Calibri" w:eastAsia="Calibri" w:hAnsi="Calibri"/>
          <w:i/>
          <w:iCs/>
          <w:color w:val="6C757D"/>
          <w:sz w:val="19"/>
          <w:szCs w:val="19"/>
        </w:rPr>
        <w:t xml:space="preserve">Sources: Northflank Blog — Railway Alternatives 2025; SrvrlSS.io Railway Review 2026</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3A" w:sz="1"/>
              <w:left w:val="single" w:color="2A9D3A" w:sz="1"/>
              <w:bottom w:val="single" w:color="2A9D3A" w:sz="1"/>
              <w:right w:val="single" w:color="2A9D3A" w:sz="1"/>
            </w:tcBorders>
            <w:shd w:fill="F0FFF4" w:val="clear"/>
            <w:tcMar>
              <w:top w:type="dxa" w:w="100"/>
              <w:left w:type="dxa" w:w="220"/>
              <w:bottom w:type="dxa" w:w="100"/>
              <w:right w:type="dxa" w:w="220"/>
            </w:tcMar>
          </w:tcPr>
          <w:p>
            <w:pPr>
              <w:spacing w:after="40" w:before="0"/>
            </w:pPr>
            <w:r>
              <w:rPr>
                <w:rFonts w:ascii="Calibri" w:cs="Calibri" w:eastAsia="Calibri" w:hAnsi="Calibri"/>
                <w:b/>
                <w:bCs/>
                <w:color w:val="2A9D3A"/>
                <w:sz w:val="20"/>
                <w:szCs w:val="20"/>
              </w:rPr>
              <w:t xml:space="preserve">✅ Recommendation:  </w:t>
            </w:r>
            <w:r>
              <w:rPr>
                <w:rFonts w:ascii="Calibri" w:cs="Calibri" w:eastAsia="Calibri" w:hAnsi="Calibri"/>
                <w:i/>
                <w:iCs/>
                <w:color w:val="443300"/>
                <w:sz w:val="20"/>
                <w:szCs w:val="20"/>
              </w:rPr>
              <w:t xml:space="preserve">Keep Railway for now. Set up Railway's cost control (spend limit feature on Pro plan) to avoid billing surprises. Define a migration trigger: if monthly Railway costs exceed $150/month for 3 consecutive months, evaluate Fly.io or DigitalOcean App Platform as cost-effective alternatives.</w:t>
            </w:r>
          </w:p>
        </w:tc>
      </w:tr>
    </w:tbl>
    <w:p>
      <w:pPr>
        <w:spacing w:after="120" w:before="0"/>
      </w:pPr>
    </w:p>
    <w:p>
      <w:r>
        <w:br w:type="page"/>
      </w:r>
    </w:p>
    <w:p>
      <w:pPr>
        <w:pStyle w:val="Heading1"/>
        <w:spacing w:after="120" w:before="400"/>
      </w:pPr>
      <w:r>
        <w:rPr>
          <w:rFonts w:ascii="Calibri" w:cs="Calibri" w:eastAsia="Calibri" w:hAnsi="Calibri"/>
          <w:b/>
          <w:bCs/>
          <w:color w:val="0D1B3E"/>
          <w:sz w:val="34"/>
          <w:szCs w:val="34"/>
        </w:rPr>
        <w:t xml:space="preserve">4. Application Improvement Roadmap</w:t>
      </w:r>
    </w:p>
    <w:p>
      <w:pPr>
        <w:pBdr>
          <w:bottom w:val="single" w:color="E87722" w:sz="8" w:space="1"/>
        </w:pBdr>
        <w:spacing w:after="160" w:before="0"/>
      </w:pPr>
    </w:p>
    <w:p>
      <w:pPr>
        <w:spacing w:after="140" w:before="0" w:line="360"/>
        <w:jc w:val="both"/>
      </w:pPr>
      <w:r>
        <w:rPr>
          <w:rFonts w:ascii="Calibri" w:cs="Calibri" w:eastAsia="Calibri" w:hAnsi="Calibri"/>
          <w:b w:val="false"/>
          <w:bCs w:val="false"/>
          <w:i w:val="false"/>
          <w:iCs w:val="false"/>
          <w:color w:val="1A1A2E"/>
          <w:sz w:val="22"/>
          <w:szCs w:val="22"/>
        </w:rPr>
        <w:t xml:space="preserve">This section outlines a prioritized set of improvements organized into three phases. The improvements are grouped into four categories: User Experience, Technical Infrastructure, Business Features, and Bitcoin/Payment Capabilities.</w:t>
      </w:r>
    </w:p>
    <w:p>
      <w:pPr>
        <w:pStyle w:val="Heading2"/>
        <w:spacing w:after="80" w:before="280"/>
      </w:pPr>
      <w:r>
        <w:rPr>
          <w:rFonts w:ascii="Calibri" w:cs="Calibri" w:eastAsia="Calibri" w:hAnsi="Calibri"/>
          <w:b/>
          <w:bCs/>
          <w:color w:val="1E6DB4"/>
          <w:sz w:val="26"/>
          <w:szCs w:val="26"/>
        </w:rPr>
        <w:t xml:space="preserve">4.1 Phase 1 — Launch Readiness (Immediate)</w:t>
      </w:r>
    </w:p>
    <w:p>
      <w:pPr>
        <w:spacing w:after="140" w:before="0" w:line="360"/>
        <w:jc w:val="both"/>
      </w:pPr>
      <w:r>
        <w:rPr>
          <w:rFonts w:ascii="Calibri" w:cs="Calibri" w:eastAsia="Calibri" w:hAnsi="Calibri"/>
          <w:b w:val="false"/>
          <w:bCs w:val="false"/>
          <w:i w:val="false"/>
          <w:iCs w:val="false"/>
          <w:color w:val="1A1A2E"/>
          <w:sz w:val="22"/>
          <w:szCs w:val="22"/>
        </w:rPr>
        <w:t xml:space="preserve">These improvements should be completed before or during the public launch. They address core gaps in user experience and operational reliability.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Improvement</w:t>
            </w:r>
          </w:p>
        </w:tc>
        <w:tc>
          <w:tcPr>
            <w:tcW w:type="dxa" w:w="4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Description</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Category</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Automated Tiankii Webhook</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Auto-advance order to Delivered on payment confirmation. Removes manual step from pharmacist workflow.</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Payment</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Mobile-First UI Optimization</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Ensure full responsive design for Android &amp; iOS. Most patients will access via phone.</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UX</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Push Notifications</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Notify patient when prescription status changes (WhatsApp or SMS via Twilio/WhatsApp Business API).</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UX</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Prescription OCR</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Auto-extract medication name from uploaded prescription photo using AI (OpenAI Vision or similar).</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Tech</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Error Monitoring</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Integrate Sentry or similar for real-time crash/error tracking. Critical for production reliability.</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Tech</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BTC/USD Price Display</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Show real-time BTC/USD rate at checkout so patients understand the fiat equivalent of their payment.</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Payment</w:t>
            </w:r>
          </w:p>
        </w:tc>
      </w:tr>
    </w:tbl>
    <w:p>
      <w:pPr>
        <w:spacing w:after="80" w:before="0"/>
      </w:pPr>
    </w:p>
    <w:p>
      <w:pPr>
        <w:pStyle w:val="Heading2"/>
        <w:spacing w:after="80" w:before="280"/>
      </w:pPr>
      <w:r>
        <w:rPr>
          <w:rFonts w:ascii="Calibri" w:cs="Calibri" w:eastAsia="Calibri" w:hAnsi="Calibri"/>
          <w:b/>
          <w:bCs/>
          <w:color w:val="1E6DB4"/>
          <w:sz w:val="26"/>
          <w:szCs w:val="26"/>
        </w:rPr>
        <w:t xml:space="preserve">4.2 Phase 2 — Growth Features (3–6 Months Post-Launch)</w:t>
      </w:r>
    </w:p>
    <w:p>
      <w:pPr>
        <w:spacing w:after="140" w:before="0" w:line="360"/>
        <w:jc w:val="both"/>
      </w:pPr>
      <w:r>
        <w:rPr>
          <w:rFonts w:ascii="Calibri" w:cs="Calibri" w:eastAsia="Calibri" w:hAnsi="Calibri"/>
          <w:b w:val="false"/>
          <w:bCs w:val="false"/>
          <w:i w:val="false"/>
          <w:iCs w:val="false"/>
          <w:color w:val="1A1A2E"/>
          <w:sz w:val="22"/>
          <w:szCs w:val="22"/>
        </w:rPr>
        <w:t xml:space="preserve">Once the platform has real users and validated demand, these improvements accelerate growth and open new revenue streams.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Improvement</w:t>
            </w:r>
          </w:p>
        </w:tc>
        <w:tc>
          <w:tcPr>
            <w:tcW w:type="dxa" w:w="4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Description</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Category</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Medication Catalog / E-commerce</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Add a public catalog page where patients can browse OTC medications and place orders without a prescription.</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Business</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Repeat Prescription Scheduling</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Allow patients to set up recurring orders for chronic medication (monthly auto-refill).</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UX</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Delivery Tracking Integration</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Real-time delivery GPS tracking via a courier API (e.g. Lalamove El Salvador or local partner).</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UX</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Tiankii Lightning Address</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Assign BitFarma a Lightning Address (bitfarma@tiankii.com) for direct wallet-to-wallet payments.</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Payment</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Admin Analytics Dashboard</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Visual charts: revenue over time, top medications, order volume, Bitcoin price at sale, etc.</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Business</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Multi-language Support</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Spanish/English toggle. Many Bitcoin users in El Salvador are bilingual or international.</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UX</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Patient Medical History</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Let patients store their prescription history securely in-app for faster repeat orders.</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UX</w:t>
            </w:r>
          </w:p>
        </w:tc>
      </w:tr>
    </w:tbl>
    <w:p>
      <w:pPr>
        <w:spacing w:after="80" w:before="0"/>
      </w:pPr>
    </w:p>
    <w:p>
      <w:pPr>
        <w:pStyle w:val="Heading2"/>
        <w:spacing w:after="80" w:before="280"/>
      </w:pPr>
      <w:r>
        <w:rPr>
          <w:rFonts w:ascii="Calibri" w:cs="Calibri" w:eastAsia="Calibri" w:hAnsi="Calibri"/>
          <w:b/>
          <w:bCs/>
          <w:color w:val="1E6DB4"/>
          <w:sz w:val="26"/>
          <w:szCs w:val="26"/>
        </w:rPr>
        <w:t xml:space="preserve">4.3 Phase 3 — Scale &amp; Licensing (6–18 Months)</w:t>
      </w:r>
    </w:p>
    <w:p>
      <w:pPr>
        <w:spacing w:after="140" w:before="0" w:line="360"/>
        <w:jc w:val="both"/>
      </w:pPr>
      <w:r>
        <w:rPr>
          <w:rFonts w:ascii="Calibri" w:cs="Calibri" w:eastAsia="Calibri" w:hAnsi="Calibri"/>
          <w:b w:val="false"/>
          <w:bCs w:val="false"/>
          <w:i w:val="false"/>
          <w:iCs w:val="false"/>
          <w:color w:val="1A1A2E"/>
          <w:sz w:val="22"/>
          <w:szCs w:val="22"/>
        </w:rPr>
        <w:t xml:space="preserve">These improvements support the platform licensing model and position BitFarma as infrastructure for a national Bitcoin pharmacy network.</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Improvement</w:t>
            </w:r>
          </w:p>
        </w:tc>
        <w:tc>
          <w:tcPr>
            <w:tcW w:type="dxa" w:w="4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Description</w:t>
            </w:r>
          </w:p>
        </w:tc>
        <w:tc>
          <w:tcPr>
            <w:tcW w:type="dxa" w:w="1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Category</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Multi-tenant Architecture</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Allow multiple pharmacies to run on the same BitFarma platform with separate inventories and branding.</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Tech</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White-label Licensing Portal</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Admin interface for BitFarma to onboard and manage pharmacy licensees (clients).</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Business</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Tiankii NFC / Bolt Card</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In-pharmacy NFC tap payments for walk-in Bitcoin customers using Tiankii's card scheme.</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Payment</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API for Drugstore Integration</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Auto-sync inventory with the drugstore/distributor system. Real-time stock updates via API.</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Tech</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HIPAA/Healthcare Compliance Audit</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If expanding internationally, ensure data handling meets healthcare data privacy standards.</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Tech</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AI-Powered Drug Interaction Checker</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Flag potential drug interactions on the prescription before dispensing. Safety feature for pharmacists.</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Tech</w:t>
            </w:r>
          </w:p>
        </w:tc>
      </w:tr>
      <w:tr>
        <w:tc>
          <w:tcPr>
            <w:tcW w:type="dxa" w:w="32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Revenue Sharing Dashboard</w:t>
            </w:r>
          </w:p>
        </w:tc>
        <w:tc>
          <w:tcPr>
            <w:tcW w:type="dxa" w:w="43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For licensee pharmacies: show their Bitcoin revenue, orders, and commission to BitFarma in one dashboard.</w:t>
            </w:r>
          </w:p>
        </w:tc>
        <w:tc>
          <w:tcPr>
            <w:tcW w:type="dxa" w:w="1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Business</w:t>
            </w:r>
          </w:p>
        </w:tc>
      </w:tr>
    </w:tbl>
    <w:p>
      <w:pPr>
        <w:spacing w:after="80" w:before="0"/>
      </w:pPr>
    </w:p>
    <w:p>
      <w:pPr>
        <w:pStyle w:val="Heading2"/>
        <w:spacing w:after="80" w:before="280"/>
      </w:pPr>
      <w:r>
        <w:rPr>
          <w:rFonts w:ascii="Calibri" w:cs="Calibri" w:eastAsia="Calibri" w:hAnsi="Calibri"/>
          <w:b/>
          <w:bCs/>
          <w:color w:val="1E6DB4"/>
          <w:sz w:val="26"/>
          <w:szCs w:val="26"/>
        </w:rPr>
        <w:t xml:space="preserve">4.4 Improvement Priority Summary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400"/>
        <w:gridCol w:w="2760"/>
      </w:tblGrid>
      <w:tr>
        <w:tc>
          <w:tcPr>
            <w:tcW w:type="dxa" w:w="8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Improvement</w:t>
            </w:r>
          </w:p>
        </w:tc>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Phase</w:t>
            </w:r>
          </w:p>
        </w:tc>
        <w:tc>
          <w:tcPr>
            <w:tcW w:type="dxa" w:w="27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Impact</w:t>
            </w:r>
          </w:p>
        </w:tc>
      </w:tr>
      <w:tr>
        <w:tc>
          <w:tcPr>
            <w:tcW w:type="dxa" w:w="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1</w:t>
            </w:r>
          </w:p>
        </w:tc>
        <w:tc>
          <w:tcPr>
            <w:tcW w:type="dxa" w:w="3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Tiankii Webhook Automation</w:t>
            </w:r>
          </w:p>
        </w:tc>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Phase 1 — Now</w:t>
            </w:r>
          </w:p>
        </w:tc>
        <w:tc>
          <w:tcPr>
            <w:tcW w:type="dxa" w:w="2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Critical — core payment flow</w:t>
            </w:r>
          </w:p>
        </w:tc>
      </w:tr>
      <w:tr>
        <w:tc>
          <w:tcPr>
            <w:tcW w:type="dxa" w:w="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2</w:t>
            </w:r>
          </w:p>
        </w:tc>
        <w:tc>
          <w:tcPr>
            <w:tcW w:type="dxa" w:w="3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Push Notifications (WhatsApp/SMS)</w:t>
            </w:r>
          </w:p>
        </w:tc>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Phase 1 — Now</w:t>
            </w:r>
          </w:p>
        </w:tc>
        <w:tc>
          <w:tcPr>
            <w:tcW w:type="dxa" w:w="2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High — patient retention</w:t>
            </w:r>
          </w:p>
        </w:tc>
      </w:tr>
      <w:tr>
        <w:tc>
          <w:tcPr>
            <w:tcW w:type="dxa" w:w="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3</w:t>
            </w:r>
          </w:p>
        </w:tc>
        <w:tc>
          <w:tcPr>
            <w:tcW w:type="dxa" w:w="3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Mobile-First UI</w:t>
            </w:r>
          </w:p>
        </w:tc>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Phase 1 — Now</w:t>
            </w:r>
          </w:p>
        </w:tc>
        <w:tc>
          <w:tcPr>
            <w:tcW w:type="dxa" w:w="2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High — most users on mobile</w:t>
            </w:r>
          </w:p>
        </w:tc>
      </w:tr>
      <w:tr>
        <w:tc>
          <w:tcPr>
            <w:tcW w:type="dxa" w:w="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4</w:t>
            </w:r>
          </w:p>
        </w:tc>
        <w:tc>
          <w:tcPr>
            <w:tcW w:type="dxa" w:w="3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BTC/USD Real-Time Rate Display</w:t>
            </w:r>
          </w:p>
        </w:tc>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Phase 1 — Now</w:t>
            </w:r>
          </w:p>
        </w:tc>
        <w:tc>
          <w:tcPr>
            <w:tcW w:type="dxa" w:w="2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Medium — reduces checkout friction</w:t>
            </w:r>
          </w:p>
        </w:tc>
      </w:tr>
      <w:tr>
        <w:tc>
          <w:tcPr>
            <w:tcW w:type="dxa" w:w="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5</w:t>
            </w:r>
          </w:p>
        </w:tc>
        <w:tc>
          <w:tcPr>
            <w:tcW w:type="dxa" w:w="3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Repeat Prescription Scheduler</w:t>
            </w:r>
          </w:p>
        </w:tc>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Phase 2 — 3 mo</w:t>
            </w:r>
          </w:p>
        </w:tc>
        <w:tc>
          <w:tcPr>
            <w:tcW w:type="dxa" w:w="2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High — recurring revenue</w:t>
            </w:r>
          </w:p>
        </w:tc>
      </w:tr>
      <w:tr>
        <w:tc>
          <w:tcPr>
            <w:tcW w:type="dxa" w:w="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6</w:t>
            </w:r>
          </w:p>
        </w:tc>
        <w:tc>
          <w:tcPr>
            <w:tcW w:type="dxa" w:w="3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Admin Analytics Dashboard</w:t>
            </w:r>
          </w:p>
        </w:tc>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Phase 2 — 3 mo</w:t>
            </w:r>
          </w:p>
        </w:tc>
        <w:tc>
          <w:tcPr>
            <w:tcW w:type="dxa" w:w="2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Medium — business intelligence</w:t>
            </w:r>
          </w:p>
        </w:tc>
      </w:tr>
      <w:tr>
        <w:tc>
          <w:tcPr>
            <w:tcW w:type="dxa" w:w="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7</w:t>
            </w:r>
          </w:p>
        </w:tc>
        <w:tc>
          <w:tcPr>
            <w:tcW w:type="dxa" w:w="3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Delivery Tracking Integration</w:t>
            </w:r>
          </w:p>
        </w:tc>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Phase 2 — 6 mo</w:t>
            </w:r>
          </w:p>
        </w:tc>
        <w:tc>
          <w:tcPr>
            <w:tcW w:type="dxa" w:w="2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Medium — UX differentiator</w:t>
            </w:r>
          </w:p>
        </w:tc>
      </w:tr>
      <w:tr>
        <w:tc>
          <w:tcPr>
            <w:tcW w:type="dxa" w:w="8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8</w:t>
            </w:r>
          </w:p>
        </w:tc>
        <w:tc>
          <w:tcPr>
            <w:tcW w:type="dxa" w:w="3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Multi-tenant Architecture</w:t>
            </w:r>
          </w:p>
        </w:tc>
        <w:tc>
          <w:tcPr>
            <w:tcW w:type="dxa" w:w="240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Phase 3 — 12 mo</w:t>
            </w:r>
          </w:p>
        </w:tc>
        <w:tc>
          <w:tcPr>
            <w:tcW w:type="dxa" w:w="2760"/>
            <w:tcBorders>
              <w:top w:val="single" w:color="CCCCCC" w:sz="1"/>
              <w:left w:val="single" w:color="CCCCCC" w:sz="1"/>
              <w:bottom w:val="single" w:color="CCCCCC" w:sz="1"/>
              <w:right w:val="single" w:color="CCCCCC" w:sz="1"/>
            </w:tcBorders>
            <w:shd w:fill="FAFB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 Strategic — enables licensing model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7722" w:sz="1"/>
              <w:left w:val="single" w:color="E87722" w:sz="1"/>
              <w:bottom w:val="single" w:color="E87722" w:sz="1"/>
              <w:right w:val="single" w:color="E87722" w:sz="1"/>
            </w:tcBorders>
            <w:shd w:fill="FFF8F0" w:val="clear"/>
            <w:tcMar>
              <w:top w:type="dxa" w:w="100"/>
              <w:left w:type="dxa" w:w="220"/>
              <w:bottom w:type="dxa" w:w="100"/>
              <w:right w:type="dxa" w:w="220"/>
            </w:tcMar>
          </w:tcPr>
          <w:p>
            <w:pPr>
              <w:spacing w:after="40" w:before="0"/>
            </w:pPr>
            <w:r>
              <w:rPr>
                <w:rFonts w:ascii="Calibri" w:cs="Calibri" w:eastAsia="Calibri" w:hAnsi="Calibri"/>
                <w:b/>
                <w:bCs/>
                <w:color w:val="E87722"/>
                <w:sz w:val="20"/>
                <w:szCs w:val="20"/>
              </w:rPr>
              <w:t xml:space="preserve">🚀 Key Insight:  </w:t>
            </w:r>
            <w:r>
              <w:rPr>
                <w:rFonts w:ascii="Calibri" w:cs="Calibri" w:eastAsia="Calibri" w:hAnsi="Calibri"/>
                <w:i/>
                <w:iCs/>
                <w:color w:val="443300"/>
                <w:sz w:val="20"/>
                <w:szCs w:val="20"/>
              </w:rPr>
              <w:t xml:space="preserve">The single highest-ROI improvement is automating the Tiankii webhook confirmation. This eliminates manual pharmacist intervention on payment confirmation, making the system capable of processing orders around the clock without operator oversight — essential for home delivery and after-hours orders.</w:t>
            </w:r>
          </w:p>
        </w:tc>
      </w:tr>
    </w:tbl>
    <w:p>
      <w:pPr>
        <w:spacing w:after="120" w:before="0"/>
      </w:pPr>
    </w:p>
    <w:p>
      <w:r>
        <w:br w:type="page"/>
      </w:r>
    </w:p>
    <w:p>
      <w:pPr>
        <w:pStyle w:val="Heading1"/>
        <w:spacing w:after="120" w:before="400"/>
      </w:pPr>
      <w:r>
        <w:rPr>
          <w:rFonts w:ascii="Calibri" w:cs="Calibri" w:eastAsia="Calibri" w:hAnsi="Calibri"/>
          <w:b/>
          <w:bCs/>
          <w:color w:val="0D1B3E"/>
          <w:sz w:val="34"/>
          <w:szCs w:val="34"/>
        </w:rPr>
        <w:t xml:space="preserve">5. Sources &amp; References</w:t>
      </w:r>
    </w:p>
    <w:p>
      <w:pPr>
        <w:pBdr>
          <w:bottom w:val="single" w:color="E87722" w:sz="8" w:space="1"/>
        </w:pBdr>
        <w:spacing w:after="160" w:before="0"/>
      </w:pPr>
    </w:p>
    <w:p>
      <w:pPr>
        <w:pStyle w:val="Heading2"/>
        <w:spacing w:after="80" w:before="280"/>
      </w:pPr>
      <w:r>
        <w:rPr>
          <w:rFonts w:ascii="Calibri" w:cs="Calibri" w:eastAsia="Calibri" w:hAnsi="Calibri"/>
          <w:b/>
          <w:bCs/>
          <w:color w:val="1E6DB4"/>
          <w:sz w:val="26"/>
          <w:szCs w:val="26"/>
        </w:rPr>
        <w:t xml:space="preserve">5.1 Market Data</w:t>
      </w:r>
    </w:p>
    <w:p>
      <w:pPr>
        <w:spacing w:after="140" w:before="0" w:line="360"/>
        <w:jc w:val="both"/>
      </w:pPr>
      <w:r>
        <w:rPr>
          <w:rFonts w:ascii="Calibri" w:cs="Calibri" w:eastAsia="Calibri" w:hAnsi="Calibri"/>
          <w:b/>
          <w:bCs/>
          <w:i w:val="false"/>
          <w:iCs w:val="false"/>
          <w:color w:val="1A1A2E"/>
          <w:sz w:val="22"/>
          <w:szCs w:val="22"/>
        </w:rPr>
        <w:t xml:space="preserve">1. Statista Market Forecast — Pharmacies El Salvador (2025)</w:t>
      </w:r>
    </w:p>
    <w:p>
      <w:pPr>
        <w:spacing w:after="140" w:before="0" w:line="360"/>
        <w:jc w:val="both"/>
      </w:pPr>
      <w:r>
        <w:rPr>
          <w:rFonts w:ascii="Calibri" w:cs="Calibri" w:eastAsia="Calibri" w:hAnsi="Calibri"/>
          <w:b w:val="false"/>
          <w:bCs w:val="false"/>
          <w:i w:val="false"/>
          <w:iCs w:val="false"/>
          <w:color w:val="6C757D"/>
          <w:sz w:val="22"/>
          <w:szCs w:val="22"/>
        </w:rPr>
        <w:t xml:space="preserve">   Revenue projection: US$251.85M (2025), CAGR 3.70% through 2029. Revenue per capita ~$39.19.</w:t>
      </w:r>
    </w:p>
    <w:p>
      <w:pPr>
        <w:spacing w:after="140" w:before="0" w:line="360"/>
        <w:jc w:val="both"/>
      </w:pPr>
      <w:r>
        <w:rPr>
          <w:rFonts w:ascii="Calibri" w:cs="Calibri" w:eastAsia="Calibri" w:hAnsi="Calibri"/>
          <w:b w:val="false"/>
          <w:bCs w:val="false"/>
          <w:i w:val="false"/>
          <w:iCs w:val="false"/>
          <w:color w:val="1A1A2E"/>
          <w:sz w:val="22"/>
          <w:szCs w:val="22"/>
        </w:rPr>
        <w:t xml:space="preserve">   URL: statista.com/outlook/hmo/pharmacies/el-salvador</w:t>
      </w:r>
    </w:p>
    <w:p>
      <w:pPr>
        <w:spacing w:after="60" w:before="0"/>
      </w:pPr>
    </w:p>
    <w:p>
      <w:pPr>
        <w:spacing w:after="140" w:before="0" w:line="360"/>
        <w:jc w:val="both"/>
      </w:pPr>
      <w:r>
        <w:rPr>
          <w:rFonts w:ascii="Calibri" w:cs="Calibri" w:eastAsia="Calibri" w:hAnsi="Calibri"/>
          <w:b/>
          <w:bCs/>
          <w:i w:val="false"/>
          <w:iCs w:val="false"/>
          <w:color w:val="1A1A2E"/>
          <w:sz w:val="22"/>
          <w:szCs w:val="22"/>
        </w:rPr>
        <w:t xml:space="preserve">2. Statista Market Forecast — Pharmaceuticals El Salvador (2023–2028)</w:t>
      </w:r>
    </w:p>
    <w:p>
      <w:pPr>
        <w:spacing w:after="140" w:before="0" w:line="360"/>
        <w:jc w:val="both"/>
      </w:pPr>
      <w:r>
        <w:rPr>
          <w:rFonts w:ascii="Calibri" w:cs="Calibri" w:eastAsia="Calibri" w:hAnsi="Calibri"/>
          <w:b w:val="false"/>
          <w:bCs w:val="false"/>
          <w:i w:val="false"/>
          <w:iCs w:val="false"/>
          <w:color w:val="6C757D"/>
          <w:sz w:val="22"/>
          <w:szCs w:val="22"/>
        </w:rPr>
        <w:t xml:space="preserve">   Market revenue US$181.50M (2023), CAGR 4.71% to US$228.50M by 2028.</w:t>
      </w:r>
    </w:p>
    <w:p>
      <w:pPr>
        <w:spacing w:after="140" w:before="0" w:line="360"/>
        <w:jc w:val="both"/>
      </w:pPr>
      <w:r>
        <w:rPr>
          <w:rFonts w:ascii="Calibri" w:cs="Calibri" w:eastAsia="Calibri" w:hAnsi="Calibri"/>
          <w:b w:val="false"/>
          <w:bCs w:val="false"/>
          <w:i w:val="false"/>
          <w:iCs w:val="false"/>
          <w:color w:val="1A1A2E"/>
          <w:sz w:val="22"/>
          <w:szCs w:val="22"/>
        </w:rPr>
        <w:t xml:space="preserve">   URL: statista.com/outlook/hmo/pharmaceuticals/el-salvador</w:t>
      </w:r>
    </w:p>
    <w:p>
      <w:pPr>
        <w:spacing w:after="60" w:before="0"/>
      </w:pPr>
    </w:p>
    <w:p>
      <w:pPr>
        <w:spacing w:after="140" w:before="0" w:line="360"/>
        <w:jc w:val="both"/>
      </w:pPr>
      <w:r>
        <w:rPr>
          <w:rFonts w:ascii="Calibri" w:cs="Calibri" w:eastAsia="Calibri" w:hAnsi="Calibri"/>
          <w:b/>
          <w:bCs/>
          <w:i w:val="false"/>
          <w:iCs w:val="false"/>
          <w:color w:val="1A1A2E"/>
          <w:sz w:val="22"/>
          <w:szCs w:val="22"/>
        </w:rPr>
        <w:t xml:space="preserve">3. MacroTrends — San Salvador Metro Area Population (1950–2026)</w:t>
      </w:r>
    </w:p>
    <w:p>
      <w:pPr>
        <w:spacing w:after="140" w:before="0" w:line="360"/>
        <w:jc w:val="both"/>
      </w:pPr>
      <w:r>
        <w:rPr>
          <w:rFonts w:ascii="Calibri" w:cs="Calibri" w:eastAsia="Calibri" w:hAnsi="Calibri"/>
          <w:b w:val="false"/>
          <w:bCs w:val="false"/>
          <w:i w:val="false"/>
          <w:iCs w:val="false"/>
          <w:color w:val="6C757D"/>
          <w:sz w:val="22"/>
          <w:szCs w:val="22"/>
        </w:rPr>
        <w:t xml:space="preserve">   San Salvador metro population: 1,132,000 (2025), growing at 0.8% annually.</w:t>
      </w:r>
    </w:p>
    <w:p>
      <w:pPr>
        <w:spacing w:after="140" w:before="0" w:line="360"/>
        <w:jc w:val="both"/>
      </w:pPr>
      <w:r>
        <w:rPr>
          <w:rFonts w:ascii="Calibri" w:cs="Calibri" w:eastAsia="Calibri" w:hAnsi="Calibri"/>
          <w:b w:val="false"/>
          <w:bCs w:val="false"/>
          <w:i w:val="false"/>
          <w:iCs w:val="false"/>
          <w:color w:val="1A1A2E"/>
          <w:sz w:val="22"/>
          <w:szCs w:val="22"/>
        </w:rPr>
        <w:t xml:space="preserve">   URL: macrotrends.net/global-metrics/cities/20917/san-salvador/population</w:t>
      </w:r>
    </w:p>
    <w:p>
      <w:pPr>
        <w:spacing w:after="60" w:before="0"/>
      </w:pPr>
    </w:p>
    <w:p>
      <w:pPr>
        <w:spacing w:after="140" w:before="0" w:line="360"/>
        <w:jc w:val="both"/>
      </w:pPr>
      <w:r>
        <w:rPr>
          <w:rFonts w:ascii="Calibri" w:cs="Calibri" w:eastAsia="Calibri" w:hAnsi="Calibri"/>
          <w:b/>
          <w:bCs/>
          <w:i w:val="false"/>
          <w:iCs w:val="false"/>
          <w:color w:val="1A1A2E"/>
          <w:sz w:val="22"/>
          <w:szCs w:val="22"/>
        </w:rPr>
        <w:t xml:space="preserve">4. MacroTrends / UN World Population Prospects 2024 — El Salvador Total Population</w:t>
      </w:r>
    </w:p>
    <w:p>
      <w:pPr>
        <w:spacing w:after="140" w:before="0" w:line="360"/>
        <w:jc w:val="both"/>
      </w:pPr>
      <w:r>
        <w:rPr>
          <w:rFonts w:ascii="Calibri" w:cs="Calibri" w:eastAsia="Calibri" w:hAnsi="Calibri"/>
          <w:b w:val="false"/>
          <w:bCs w:val="false"/>
          <w:i w:val="false"/>
          <w:iCs w:val="false"/>
          <w:color w:val="6C757D"/>
          <w:sz w:val="22"/>
          <w:szCs w:val="22"/>
        </w:rPr>
        <w:t xml:space="preserve">   Total population El Salvador 2024: 6,396,289. Median age 28.4 years.</w:t>
      </w:r>
    </w:p>
    <w:p>
      <w:pPr>
        <w:spacing w:after="140" w:before="0" w:line="360"/>
        <w:jc w:val="both"/>
      </w:pPr>
      <w:r>
        <w:rPr>
          <w:rFonts w:ascii="Calibri" w:cs="Calibri" w:eastAsia="Calibri" w:hAnsi="Calibri"/>
          <w:b w:val="false"/>
          <w:bCs w:val="false"/>
          <w:i w:val="false"/>
          <w:iCs w:val="false"/>
          <w:color w:val="1A1A2E"/>
          <w:sz w:val="22"/>
          <w:szCs w:val="22"/>
        </w:rPr>
        <w:t xml:space="preserve">   URL: macrotrends.net/global-metrics/countries/slv/el-salvador/population</w:t>
      </w:r>
    </w:p>
    <w:p>
      <w:pPr>
        <w:spacing w:after="60" w:before="0"/>
      </w:pPr>
    </w:p>
    <w:p>
      <w:pPr>
        <w:spacing w:after="140" w:before="0" w:line="360"/>
        <w:jc w:val="both"/>
      </w:pPr>
      <w:r>
        <w:rPr>
          <w:rFonts w:ascii="Calibri" w:cs="Calibri" w:eastAsia="Calibri" w:hAnsi="Calibri"/>
          <w:b/>
          <w:bCs/>
          <w:i w:val="false"/>
          <w:iCs w:val="false"/>
          <w:color w:val="1A1A2E"/>
          <w:sz w:val="22"/>
          <w:szCs w:val="22"/>
        </w:rPr>
        <w:t xml:space="preserve">5. Euromonitor International — San Salvador City Report (2025)</w:t>
      </w:r>
    </w:p>
    <w:p>
      <w:pPr>
        <w:spacing w:after="140" w:before="0" w:line="360"/>
        <w:jc w:val="both"/>
      </w:pPr>
      <w:r>
        <w:rPr>
          <w:rFonts w:ascii="Calibri" w:cs="Calibri" w:eastAsia="Calibri" w:hAnsi="Calibri"/>
          <w:b w:val="false"/>
          <w:bCs w:val="false"/>
          <w:i w:val="false"/>
          <w:iCs w:val="false"/>
          <w:color w:val="6C757D"/>
          <w:sz w:val="22"/>
          <w:szCs w:val="22"/>
        </w:rPr>
        <w:t xml:space="preserve">   City-level consumer expenditure, digital penetration, and economic indicators.</w:t>
      </w:r>
    </w:p>
    <w:p>
      <w:pPr>
        <w:spacing w:after="140" w:before="0" w:line="360"/>
        <w:jc w:val="both"/>
      </w:pPr>
      <w:r>
        <w:rPr>
          <w:rFonts w:ascii="Calibri" w:cs="Calibri" w:eastAsia="Calibri" w:hAnsi="Calibri"/>
          <w:b w:val="false"/>
          <w:bCs w:val="false"/>
          <w:i w:val="false"/>
          <w:iCs w:val="false"/>
          <w:color w:val="1A1A2E"/>
          <w:sz w:val="22"/>
          <w:szCs w:val="22"/>
        </w:rPr>
        <w:t xml:space="preserve">   URL: euromonitor.com/san-salvador-in-el-salvador/report</w:t>
      </w:r>
    </w:p>
    <w:p>
      <w:pPr>
        <w:spacing w:after="60" w:before="0"/>
      </w:pPr>
    </w:p>
    <w:p>
      <w:pPr>
        <w:pStyle w:val="Heading2"/>
        <w:spacing w:after="80" w:before="280"/>
      </w:pPr>
      <w:r>
        <w:rPr>
          <w:rFonts w:ascii="Calibri" w:cs="Calibri" w:eastAsia="Calibri" w:hAnsi="Calibri"/>
          <w:b/>
          <w:bCs/>
          <w:color w:val="1E6DB4"/>
          <w:sz w:val="26"/>
          <w:szCs w:val="26"/>
        </w:rPr>
        <w:t xml:space="preserve">5.2 Bitcoin &amp; Lightning Network Data</w:t>
      </w:r>
    </w:p>
    <w:p>
      <w:pPr>
        <w:spacing w:after="140" w:before="0" w:line="360"/>
        <w:jc w:val="both"/>
      </w:pPr>
      <w:r>
        <w:rPr>
          <w:rFonts w:ascii="Calibri" w:cs="Calibri" w:eastAsia="Calibri" w:hAnsi="Calibri"/>
          <w:b/>
          <w:bCs/>
          <w:i w:val="false"/>
          <w:iCs w:val="false"/>
          <w:color w:val="1A1A2E"/>
          <w:sz w:val="22"/>
          <w:szCs w:val="22"/>
        </w:rPr>
        <w:t xml:space="preserve">6. Wikipedia — Bitcoin in El Salvador (updated March 2026)</w:t>
      </w:r>
    </w:p>
    <w:p>
      <w:pPr>
        <w:spacing w:after="140" w:before="0" w:line="360"/>
        <w:jc w:val="both"/>
      </w:pPr>
      <w:r>
        <w:rPr>
          <w:rFonts w:ascii="Calibri" w:cs="Calibri" w:eastAsia="Calibri" w:hAnsi="Calibri"/>
          <w:b w:val="false"/>
          <w:bCs w:val="false"/>
          <w:i w:val="false"/>
          <w:iCs w:val="false"/>
          <w:color w:val="6C757D"/>
          <w:sz w:val="22"/>
          <w:szCs w:val="22"/>
        </w:rPr>
        <w:t xml:space="preserve">   IMF agreement (Dec 2024), Bitcoin Law history, Chivo wallet, merchant adoption.</w:t>
      </w:r>
    </w:p>
    <w:p>
      <w:pPr>
        <w:spacing w:after="140" w:before="0" w:line="360"/>
        <w:jc w:val="both"/>
      </w:pPr>
      <w:r>
        <w:rPr>
          <w:rFonts w:ascii="Calibri" w:cs="Calibri" w:eastAsia="Calibri" w:hAnsi="Calibri"/>
          <w:b w:val="false"/>
          <w:bCs w:val="false"/>
          <w:i w:val="false"/>
          <w:iCs w:val="false"/>
          <w:color w:val="1A1A2E"/>
          <w:sz w:val="22"/>
          <w:szCs w:val="22"/>
        </w:rPr>
        <w:t xml:space="preserve">   URL: en.wikipedia.org/wiki/Bitcoin_in_El_Salvador</w:t>
      </w:r>
    </w:p>
    <w:p>
      <w:pPr>
        <w:spacing w:after="60" w:before="0"/>
      </w:pPr>
    </w:p>
    <w:p>
      <w:pPr>
        <w:spacing w:after="140" w:before="0" w:line="360"/>
        <w:jc w:val="both"/>
      </w:pPr>
      <w:r>
        <w:rPr>
          <w:rFonts w:ascii="Calibri" w:cs="Calibri" w:eastAsia="Calibri" w:hAnsi="Calibri"/>
          <w:b/>
          <w:bCs/>
          <w:i w:val="false"/>
          <w:iCs w:val="false"/>
          <w:color w:val="1A1A2E"/>
          <w:sz w:val="22"/>
          <w:szCs w:val="22"/>
        </w:rPr>
        <w:t xml:space="preserve">7. CryptoNews.net — 32% of El Salvador Population Using Bitcoin (September 2021)</w:t>
      </w:r>
    </w:p>
    <w:p>
      <w:pPr>
        <w:spacing w:after="140" w:before="0" w:line="360"/>
        <w:jc w:val="both"/>
      </w:pPr>
      <w:r>
        <w:rPr>
          <w:rFonts w:ascii="Calibri" w:cs="Calibri" w:eastAsia="Calibri" w:hAnsi="Calibri"/>
          <w:b w:val="false"/>
          <w:bCs w:val="false"/>
          <w:i w:val="false"/>
          <w:iCs w:val="false"/>
          <w:color w:val="6C757D"/>
          <w:sz w:val="22"/>
          <w:szCs w:val="22"/>
        </w:rPr>
        <w:t xml:space="preserve">   2.1 million Chivo wallet users within 3 weeks; 32% Lightning Network onboarding.</w:t>
      </w:r>
    </w:p>
    <w:p>
      <w:pPr>
        <w:spacing w:after="140" w:before="0" w:line="360"/>
        <w:jc w:val="both"/>
      </w:pPr>
      <w:r>
        <w:rPr>
          <w:rFonts w:ascii="Calibri" w:cs="Calibri" w:eastAsia="Calibri" w:hAnsi="Calibri"/>
          <w:b w:val="false"/>
          <w:bCs w:val="false"/>
          <w:i w:val="false"/>
          <w:iCs w:val="false"/>
          <w:color w:val="1A1A2E"/>
          <w:sz w:val="22"/>
          <w:szCs w:val="22"/>
        </w:rPr>
        <w:t xml:space="preserve">   URL: cryptonews.net/news/bitcoin/1996705</w:t>
      </w:r>
    </w:p>
    <w:p>
      <w:pPr>
        <w:spacing w:after="60" w:before="0"/>
      </w:pPr>
    </w:p>
    <w:p>
      <w:pPr>
        <w:spacing w:after="140" w:before="0" w:line="360"/>
        <w:jc w:val="both"/>
      </w:pPr>
      <w:r>
        <w:rPr>
          <w:rFonts w:ascii="Calibri" w:cs="Calibri" w:eastAsia="Calibri" w:hAnsi="Calibri"/>
          <w:b/>
          <w:bCs/>
          <w:i w:val="false"/>
          <w:iCs w:val="false"/>
          <w:color w:val="1A1A2E"/>
          <w:sz w:val="22"/>
          <w:szCs w:val="22"/>
        </w:rPr>
        <w:t xml:space="preserve">8. ElSalvadorInfo.net — Bitcoin Adoption in El Salvador: A Transformational Journey (October 2025)</w:t>
      </w:r>
    </w:p>
    <w:p>
      <w:pPr>
        <w:spacing w:after="140" w:before="0" w:line="360"/>
        <w:jc w:val="both"/>
      </w:pPr>
      <w:r>
        <w:rPr>
          <w:rFonts w:ascii="Calibri" w:cs="Calibri" w:eastAsia="Calibri" w:hAnsi="Calibri"/>
          <w:b w:val="false"/>
          <w:bCs w:val="false"/>
          <w:i w:val="false"/>
          <w:iCs w:val="false"/>
          <w:color w:val="6C757D"/>
          <w:sz w:val="22"/>
          <w:szCs w:val="22"/>
        </w:rPr>
        <w:t xml:space="preserve">   Merchant adoption trends, Lightning Network daily use cases, Bitcoin reserve status.</w:t>
      </w:r>
    </w:p>
    <w:p>
      <w:pPr>
        <w:spacing w:after="140" w:before="0" w:line="360"/>
        <w:jc w:val="both"/>
      </w:pPr>
      <w:r>
        <w:rPr>
          <w:rFonts w:ascii="Calibri" w:cs="Calibri" w:eastAsia="Calibri" w:hAnsi="Calibri"/>
          <w:b w:val="false"/>
          <w:bCs w:val="false"/>
          <w:i w:val="false"/>
          <w:iCs w:val="false"/>
          <w:color w:val="1A1A2E"/>
          <w:sz w:val="22"/>
          <w:szCs w:val="22"/>
        </w:rPr>
        <w:t xml:space="preserve">   URL: elsalvadorinfo.net/bitcoin-adoption-in-el-salvador</w:t>
      </w:r>
    </w:p>
    <w:p>
      <w:pPr>
        <w:spacing w:after="60" w:before="0"/>
      </w:pPr>
    </w:p>
    <w:p>
      <w:pPr>
        <w:spacing w:after="140" w:before="0" w:line="360"/>
        <w:jc w:val="both"/>
      </w:pPr>
      <w:r>
        <w:rPr>
          <w:rFonts w:ascii="Calibri" w:cs="Calibri" w:eastAsia="Calibri" w:hAnsi="Calibri"/>
          <w:b/>
          <w:bCs/>
          <w:i w:val="false"/>
          <w:iCs w:val="false"/>
          <w:color w:val="1A1A2E"/>
          <w:sz w:val="22"/>
          <w:szCs w:val="22"/>
        </w:rPr>
        <w:t xml:space="preserve">9. Medium / UTXOStack — The Past, Present and Future of the Lightning Network (August 2024)</w:t>
      </w:r>
    </w:p>
    <w:p>
      <w:pPr>
        <w:spacing w:after="140" w:before="0" w:line="360"/>
        <w:jc w:val="both"/>
      </w:pPr>
      <w:r>
        <w:rPr>
          <w:rFonts w:ascii="Calibri" w:cs="Calibri" w:eastAsia="Calibri" w:hAnsi="Calibri"/>
          <w:b w:val="false"/>
          <w:bCs w:val="false"/>
          <w:i w:val="false"/>
          <w:iCs w:val="false"/>
          <w:color w:val="6C757D"/>
          <w:sz w:val="22"/>
          <w:szCs w:val="22"/>
        </w:rPr>
        <w:t xml:space="preserve">   15,000+ LN nodes, 54,000+ channels, 5,025 BTC capacity (~$270M USD) as of August 2024.</w:t>
      </w:r>
    </w:p>
    <w:p>
      <w:pPr>
        <w:spacing w:after="140" w:before="0" w:line="360"/>
        <w:jc w:val="both"/>
      </w:pPr>
      <w:r>
        <w:rPr>
          <w:rFonts w:ascii="Calibri" w:cs="Calibri" w:eastAsia="Calibri" w:hAnsi="Calibri"/>
          <w:b w:val="false"/>
          <w:bCs w:val="false"/>
          <w:i w:val="false"/>
          <w:iCs w:val="false"/>
          <w:color w:val="1A1A2E"/>
          <w:sz w:val="22"/>
          <w:szCs w:val="22"/>
        </w:rPr>
        <w:t xml:space="preserve">   URL: medium.com/@utxostack</w:t>
      </w:r>
    </w:p>
    <w:p>
      <w:pPr>
        <w:spacing w:after="60" w:before="0"/>
      </w:pPr>
    </w:p>
    <w:p>
      <w:pPr>
        <w:spacing w:after="140" w:before="0" w:line="360"/>
        <w:jc w:val="both"/>
      </w:pPr>
      <w:r>
        <w:rPr>
          <w:rFonts w:ascii="Calibri" w:cs="Calibri" w:eastAsia="Calibri" w:hAnsi="Calibri"/>
          <w:b/>
          <w:bCs/>
          <w:i w:val="false"/>
          <w:iCs w:val="false"/>
          <w:color w:val="1A1A2E"/>
          <w:sz w:val="22"/>
          <w:szCs w:val="22"/>
        </w:rPr>
        <w:t xml:space="preserve">10. CoinGate — Lightning Network Year-Over-Year Data (2022–2024)</w:t>
      </w:r>
    </w:p>
    <w:p>
      <w:pPr>
        <w:spacing w:after="140" w:before="0" w:line="360"/>
        <w:jc w:val="both"/>
      </w:pPr>
      <w:r>
        <w:rPr>
          <w:rFonts w:ascii="Calibri" w:cs="Calibri" w:eastAsia="Calibri" w:hAnsi="Calibri"/>
          <w:b w:val="false"/>
          <w:bCs w:val="false"/>
          <w:i w:val="false"/>
          <w:iCs w:val="false"/>
          <w:color w:val="6C757D"/>
          <w:sz w:val="22"/>
          <w:szCs w:val="22"/>
        </w:rPr>
        <w:t xml:space="preserve">    LN share of BTC payments: 5.98% (2022) → 7.95% (2023) → 14.51% H1 2024.</w:t>
      </w:r>
    </w:p>
    <w:p>
      <w:pPr>
        <w:spacing w:after="140" w:before="0" w:line="360"/>
        <w:jc w:val="both"/>
      </w:pPr>
      <w:r>
        <w:rPr>
          <w:rFonts w:ascii="Calibri" w:cs="Calibri" w:eastAsia="Calibri" w:hAnsi="Calibri"/>
          <w:b w:val="false"/>
          <w:bCs w:val="false"/>
          <w:i w:val="false"/>
          <w:iCs w:val="false"/>
          <w:color w:val="1A1A2E"/>
          <w:sz w:val="22"/>
          <w:szCs w:val="22"/>
        </w:rPr>
        <w:t xml:space="preserve">    URL: coingate.com/blog/post/lightning-network-year-over-year-data</w:t>
      </w:r>
    </w:p>
    <w:p>
      <w:pPr>
        <w:spacing w:after="60" w:before="0"/>
      </w:pPr>
    </w:p>
    <w:p>
      <w:pPr>
        <w:pStyle w:val="Heading2"/>
        <w:spacing w:after="80" w:before="280"/>
      </w:pPr>
      <w:r>
        <w:rPr>
          <w:rFonts w:ascii="Calibri" w:cs="Calibri" w:eastAsia="Calibri" w:hAnsi="Calibri"/>
          <w:b/>
          <w:bCs/>
          <w:color w:val="1E6DB4"/>
          <w:sz w:val="26"/>
          <w:szCs w:val="26"/>
        </w:rPr>
        <w:t xml:space="preserve">5.3 Tiankii — Payment Integration</w:t>
      </w:r>
    </w:p>
    <w:p>
      <w:pPr>
        <w:spacing w:after="140" w:before="0" w:line="360"/>
        <w:jc w:val="both"/>
      </w:pPr>
      <w:r>
        <w:rPr>
          <w:rFonts w:ascii="Calibri" w:cs="Calibri" w:eastAsia="Calibri" w:hAnsi="Calibri"/>
          <w:b/>
          <w:bCs/>
          <w:i w:val="false"/>
          <w:iCs w:val="false"/>
          <w:color w:val="1A1A2E"/>
          <w:sz w:val="22"/>
          <w:szCs w:val="22"/>
        </w:rPr>
        <w:t xml:space="preserve">11. Tiankii Technology — Official Website &amp; Product Pages (verified April 2026)</w:t>
      </w:r>
    </w:p>
    <w:p>
      <w:pPr>
        <w:spacing w:after="140" w:before="0" w:line="360"/>
        <w:jc w:val="both"/>
      </w:pPr>
      <w:r>
        <w:rPr>
          <w:rFonts w:ascii="Calibri" w:cs="Calibri" w:eastAsia="Calibri" w:hAnsi="Calibri"/>
          <w:b w:val="false"/>
          <w:bCs w:val="false"/>
          <w:i w:val="false"/>
          <w:iCs w:val="false"/>
          <w:color w:val="6C757D"/>
          <w:sz w:val="22"/>
          <w:szCs w:val="22"/>
        </w:rPr>
        <w:t xml:space="preserve">    tiankii.com/merchant — merchant dashboard, payment links, API, QR codes, NFC.</w:t>
      </w:r>
    </w:p>
    <w:p>
      <w:pPr>
        <w:spacing w:after="140" w:before="0" w:line="360"/>
        <w:jc w:val="both"/>
      </w:pPr>
      <w:r>
        <w:rPr>
          <w:rFonts w:ascii="Calibri" w:cs="Calibri" w:eastAsia="Calibri" w:hAnsi="Calibri"/>
          <w:b w:val="false"/>
          <w:bCs w:val="false"/>
          <w:i w:val="false"/>
          <w:iCs w:val="false"/>
          <w:color w:val="6C757D"/>
          <w:sz w:val="22"/>
          <w:szCs w:val="22"/>
        </w:rPr>
        <w:t xml:space="preserve">    tiankii.com/enterprise — Bitcoin Command Center, API/SDK, Lightning Address generator.</w:t>
      </w:r>
    </w:p>
    <w:p>
      <w:pPr>
        <w:spacing w:after="140" w:before="0" w:line="360"/>
        <w:jc w:val="both"/>
      </w:pPr>
      <w:r>
        <w:rPr>
          <w:rFonts w:ascii="Calibri" w:cs="Calibri" w:eastAsia="Calibri" w:hAnsi="Calibri"/>
          <w:b w:val="false"/>
          <w:bCs w:val="false"/>
          <w:i w:val="false"/>
          <w:iCs w:val="false"/>
          <w:color w:val="6C757D"/>
          <w:sz w:val="22"/>
          <w:szCs w:val="22"/>
        </w:rPr>
        <w:t xml:space="preserve">    tiankii.com/company — regulatory status (BCR + Superintendencia del Sistema Financiero).</w:t>
      </w:r>
    </w:p>
    <w:p>
      <w:pPr>
        <w:spacing w:after="140" w:before="0" w:line="360"/>
        <w:jc w:val="both"/>
      </w:pPr>
      <w:r>
        <w:rPr>
          <w:rFonts w:ascii="Calibri" w:cs="Calibri" w:eastAsia="Calibri" w:hAnsi="Calibri"/>
          <w:b w:val="false"/>
          <w:bCs w:val="false"/>
          <w:i w:val="false"/>
          <w:iCs w:val="false"/>
          <w:color w:val="6C757D"/>
          <w:sz w:val="22"/>
          <w:szCs w:val="22"/>
        </w:rPr>
        <w:t xml:space="preserve">    tiankii.com/apps — full product suite including BoltCard, IBI, e-commerce plugin.</w:t>
      </w:r>
    </w:p>
    <w:p>
      <w:pPr>
        <w:spacing w:after="60" w:before="0"/>
      </w:pPr>
    </w:p>
    <w:p>
      <w:pPr>
        <w:pStyle w:val="Heading2"/>
        <w:spacing w:after="80" w:before="280"/>
      </w:pPr>
      <w:r>
        <w:rPr>
          <w:rFonts w:ascii="Calibri" w:cs="Calibri" w:eastAsia="Calibri" w:hAnsi="Calibri"/>
          <w:b/>
          <w:bCs/>
          <w:color w:val="1E6DB4"/>
          <w:sz w:val="26"/>
          <w:szCs w:val="26"/>
        </w:rPr>
        <w:t xml:space="preserve">5.4 Railway Hosting</w:t>
      </w:r>
    </w:p>
    <w:p>
      <w:pPr>
        <w:spacing w:after="140" w:before="0" w:line="360"/>
        <w:jc w:val="both"/>
      </w:pPr>
      <w:r>
        <w:rPr>
          <w:rFonts w:ascii="Calibri" w:cs="Calibri" w:eastAsia="Calibri" w:hAnsi="Calibri"/>
          <w:b/>
          <w:bCs/>
          <w:i w:val="false"/>
          <w:iCs w:val="false"/>
          <w:color w:val="1A1A2E"/>
          <w:sz w:val="22"/>
          <w:szCs w:val="22"/>
        </w:rPr>
        <w:t xml:space="preserve">12. Railway Official Docs — Pricing Plans (April 2026)</w:t>
      </w:r>
    </w:p>
    <w:p>
      <w:pPr>
        <w:spacing w:after="140" w:before="0" w:line="360"/>
        <w:jc w:val="both"/>
      </w:pPr>
      <w:r>
        <w:rPr>
          <w:rFonts w:ascii="Calibri" w:cs="Calibri" w:eastAsia="Calibri" w:hAnsi="Calibri"/>
          <w:b w:val="false"/>
          <w:bCs w:val="false"/>
          <w:i w:val="false"/>
          <w:iCs w:val="false"/>
          <w:color w:val="6C757D"/>
          <w:sz w:val="22"/>
          <w:szCs w:val="22"/>
        </w:rPr>
        <w:t xml:space="preserve">    Plan limits, billing model, Hobby vs Pro vs Enterprise specifications.</w:t>
      </w:r>
    </w:p>
    <w:p>
      <w:pPr>
        <w:spacing w:after="140" w:before="0" w:line="360"/>
        <w:jc w:val="both"/>
      </w:pPr>
      <w:r>
        <w:rPr>
          <w:rFonts w:ascii="Calibri" w:cs="Calibri" w:eastAsia="Calibri" w:hAnsi="Calibri"/>
          <w:b w:val="false"/>
          <w:bCs w:val="false"/>
          <w:i w:val="false"/>
          <w:iCs w:val="false"/>
          <w:color w:val="1A1A2E"/>
          <w:sz w:val="22"/>
          <w:szCs w:val="22"/>
        </w:rPr>
        <w:t xml:space="preserve">    URL: docs.railway.com/pricing/plans</w:t>
      </w:r>
    </w:p>
    <w:p>
      <w:pPr>
        <w:spacing w:after="60" w:before="0"/>
      </w:pPr>
    </w:p>
    <w:p>
      <w:pPr>
        <w:spacing w:after="140" w:before="0" w:line="360"/>
        <w:jc w:val="both"/>
      </w:pPr>
      <w:r>
        <w:rPr>
          <w:rFonts w:ascii="Calibri" w:cs="Calibri" w:eastAsia="Calibri" w:hAnsi="Calibri"/>
          <w:b/>
          <w:bCs/>
          <w:i w:val="false"/>
          <w:iCs w:val="false"/>
          <w:color w:val="1A1A2E"/>
          <w:sz w:val="22"/>
          <w:szCs w:val="22"/>
        </w:rPr>
        <w:t xml:space="preserve">13. PulseSignal — Railway Pricing 2026</w:t>
      </w:r>
    </w:p>
    <w:p>
      <w:pPr>
        <w:spacing w:after="140" w:before="0" w:line="360"/>
        <w:jc w:val="both"/>
      </w:pPr>
      <w:r>
        <w:rPr>
          <w:rFonts w:ascii="Calibri" w:cs="Calibri" w:eastAsia="Calibri" w:hAnsi="Calibri"/>
          <w:b w:val="false"/>
          <w:bCs w:val="false"/>
          <w:i w:val="false"/>
          <w:iCs w:val="false"/>
          <w:color w:val="6C757D"/>
          <w:sz w:val="22"/>
          <w:szCs w:val="22"/>
        </w:rPr>
        <w:t xml:space="preserve">    Hobby: 48 vCPU / 48 GB RAM. Pro: 1,000 vCPU / 1 TB RAM. Enterprise: 2,400 vCPU / 2.4 TB RAM.</w:t>
      </w:r>
    </w:p>
    <w:p>
      <w:pPr>
        <w:spacing w:after="140" w:before="0" w:line="360"/>
        <w:jc w:val="both"/>
      </w:pPr>
      <w:r>
        <w:rPr>
          <w:rFonts w:ascii="Calibri" w:cs="Calibri" w:eastAsia="Calibri" w:hAnsi="Calibri"/>
          <w:b w:val="false"/>
          <w:bCs w:val="false"/>
          <w:i w:val="false"/>
          <w:iCs w:val="false"/>
          <w:color w:val="1A1A2E"/>
          <w:sz w:val="22"/>
          <w:szCs w:val="22"/>
        </w:rPr>
        <w:t xml:space="preserve">    URL: getpulsesignal.com/pricing/railway</w:t>
      </w:r>
    </w:p>
    <w:p>
      <w:pPr>
        <w:spacing w:after="60" w:before="0"/>
      </w:pPr>
    </w:p>
    <w:p>
      <w:pPr>
        <w:spacing w:after="140" w:before="0" w:line="360"/>
        <w:jc w:val="both"/>
      </w:pPr>
      <w:r>
        <w:rPr>
          <w:rFonts w:ascii="Calibri" w:cs="Calibri" w:eastAsia="Calibri" w:hAnsi="Calibri"/>
          <w:b/>
          <w:bCs/>
          <w:i w:val="false"/>
          <w:iCs w:val="false"/>
          <w:color w:val="1A1A2E"/>
          <w:sz w:val="22"/>
          <w:szCs w:val="22"/>
        </w:rPr>
        <w:t xml:space="preserve">14. TheSoftwareScout — Railway Pricing 2026: Plans, Costs &amp; Is It Worth It?</w:t>
      </w:r>
    </w:p>
    <w:p>
      <w:pPr>
        <w:spacing w:after="140" w:before="0" w:line="360"/>
        <w:jc w:val="both"/>
      </w:pPr>
      <w:r>
        <w:rPr>
          <w:rFonts w:ascii="Calibri" w:cs="Calibri" w:eastAsia="Calibri" w:hAnsi="Calibri"/>
          <w:b w:val="false"/>
          <w:bCs w:val="false"/>
          <w:i w:val="false"/>
          <w:iCs w:val="false"/>
          <w:color w:val="6C757D"/>
          <w:sz w:val="22"/>
          <w:szCs w:val="22"/>
        </w:rPr>
        <w:t xml:space="preserve">    Real-world cost examples: Node.js + PostgreSQL 24/7 at 0.5 vCPU / 512MB = ~$15/month.</w:t>
      </w:r>
    </w:p>
    <w:p>
      <w:pPr>
        <w:spacing w:after="140" w:before="0" w:line="360"/>
        <w:jc w:val="both"/>
      </w:pPr>
      <w:r>
        <w:rPr>
          <w:rFonts w:ascii="Calibri" w:cs="Calibri" w:eastAsia="Calibri" w:hAnsi="Calibri"/>
          <w:b w:val="false"/>
          <w:bCs w:val="false"/>
          <w:i w:val="false"/>
          <w:iCs w:val="false"/>
          <w:color w:val="1A1A2E"/>
          <w:sz w:val="22"/>
          <w:szCs w:val="22"/>
        </w:rPr>
        <w:t xml:space="preserve">    URL: thesoftwarescout.com/railway-pricing-2026</w:t>
      </w:r>
    </w:p>
    <w:p>
      <w:pPr>
        <w:spacing w:after="60" w:before="0"/>
      </w:pPr>
    </w:p>
    <w:p>
      <w:pPr>
        <w:spacing w:after="140" w:before="0" w:line="360"/>
        <w:jc w:val="both"/>
      </w:pPr>
      <w:r>
        <w:rPr>
          <w:rFonts w:ascii="Calibri" w:cs="Calibri" w:eastAsia="Calibri" w:hAnsi="Calibri"/>
          <w:b/>
          <w:bCs/>
          <w:i w:val="false"/>
          <w:iCs w:val="false"/>
          <w:color w:val="1A1A2E"/>
          <w:sz w:val="22"/>
          <w:szCs w:val="22"/>
        </w:rPr>
        <w:t xml:space="preserve">15. CheckThat.ai — Railway Pricing 2026</w:t>
      </w:r>
    </w:p>
    <w:p>
      <w:pPr>
        <w:spacing w:after="140" w:before="0" w:line="360"/>
        <w:jc w:val="both"/>
      </w:pPr>
      <w:r>
        <w:rPr>
          <w:rFonts w:ascii="Calibri" w:cs="Calibri" w:eastAsia="Calibri" w:hAnsi="Calibri"/>
          <w:b w:val="false"/>
          <w:bCs w:val="false"/>
          <w:i w:val="false"/>
          <w:iCs w:val="false"/>
          <w:color w:val="6C757D"/>
          <w:sz w:val="22"/>
          <w:szCs w:val="22"/>
        </w:rPr>
        <w:t xml:space="preserve">    Startup production app (2GB RAM, moderate traffic): $45–80/month. Side project: under $10.</w:t>
      </w:r>
    </w:p>
    <w:p>
      <w:pPr>
        <w:spacing w:after="140" w:before="0" w:line="360"/>
        <w:jc w:val="both"/>
      </w:pPr>
      <w:r>
        <w:rPr>
          <w:rFonts w:ascii="Calibri" w:cs="Calibri" w:eastAsia="Calibri" w:hAnsi="Calibri"/>
          <w:b w:val="false"/>
          <w:bCs w:val="false"/>
          <w:i w:val="false"/>
          <w:iCs w:val="false"/>
          <w:color w:val="1A1A2E"/>
          <w:sz w:val="22"/>
          <w:szCs w:val="22"/>
        </w:rPr>
        <w:t xml:space="preserve">    URL: checkthat.ai/brands/indian-railways/pricing</w:t>
      </w:r>
    </w:p>
    <w:p>
      <w:pPr>
        <w:spacing w:after="60" w:before="0"/>
      </w:pPr>
    </w:p>
    <w:p>
      <w:pPr>
        <w:spacing w:after="140" w:before="0" w:line="360"/>
        <w:jc w:val="both"/>
      </w:pPr>
      <w:r>
        <w:rPr>
          <w:rFonts w:ascii="Calibri" w:cs="Calibri" w:eastAsia="Calibri" w:hAnsi="Calibri"/>
          <w:b/>
          <w:bCs/>
          <w:i w:val="false"/>
          <w:iCs w:val="false"/>
          <w:color w:val="1A1A2E"/>
          <w:sz w:val="22"/>
          <w:szCs w:val="22"/>
        </w:rPr>
        <w:t xml:space="preserve">16. Northflank Blog — 6 Best Railway Alternatives in 2026</w:t>
      </w:r>
    </w:p>
    <w:p>
      <w:pPr>
        <w:spacing w:after="140" w:before="0" w:line="360"/>
        <w:jc w:val="both"/>
      </w:pPr>
      <w:r>
        <w:rPr>
          <w:rFonts w:ascii="Calibri" w:cs="Calibri" w:eastAsia="Calibri" w:hAnsi="Calibri"/>
          <w:b w:val="false"/>
          <w:bCs w:val="false"/>
          <w:i w:val="false"/>
          <w:iCs w:val="false"/>
          <w:color w:val="6C757D"/>
          <w:sz w:val="22"/>
          <w:szCs w:val="22"/>
        </w:rPr>
        <w:t xml:space="preserve">    Comparison: Fly.io, Coolify, DigitalOcean App Platform, Render, Northflank.</w:t>
      </w:r>
    </w:p>
    <w:p>
      <w:pPr>
        <w:spacing w:after="140" w:before="0" w:line="360"/>
        <w:jc w:val="both"/>
      </w:pPr>
      <w:r>
        <w:rPr>
          <w:rFonts w:ascii="Calibri" w:cs="Calibri" w:eastAsia="Calibri" w:hAnsi="Calibri"/>
          <w:b w:val="false"/>
          <w:bCs w:val="false"/>
          <w:i w:val="false"/>
          <w:iCs w:val="false"/>
          <w:color w:val="1A1A2E"/>
          <w:sz w:val="22"/>
          <w:szCs w:val="22"/>
        </w:rPr>
        <w:t xml:space="preserve">    URL: northflank.com/blog/railway-alternatives</w:t>
      </w:r>
    </w:p>
    <w:p>
      <w:pPr>
        <w:spacing w:after="60" w:before="0"/>
      </w:pPr>
    </w:p>
    <w:p>
      <w:pPr>
        <w:spacing w:after="140" w:before="0" w:line="360"/>
        <w:jc w:val="both"/>
      </w:pPr>
      <w:r>
        <w:rPr>
          <w:rFonts w:ascii="Calibri" w:cs="Calibri" w:eastAsia="Calibri" w:hAnsi="Calibri"/>
          <w:b/>
          <w:bCs/>
          <w:i w:val="false"/>
          <w:iCs w:val="false"/>
          <w:color w:val="1A1A2E"/>
          <w:sz w:val="22"/>
          <w:szCs w:val="22"/>
        </w:rPr>
        <w:t xml:space="preserve">17. SrvrlSS.io — Railway Review 2026</w:t>
      </w:r>
    </w:p>
    <w:p>
      <w:pPr>
        <w:spacing w:after="140" w:before="0" w:line="360"/>
        <w:jc w:val="both"/>
      </w:pPr>
      <w:r>
        <w:rPr>
          <w:rFonts w:ascii="Calibri" w:cs="Calibri" w:eastAsia="Calibri" w:hAnsi="Calibri"/>
          <w:b w:val="false"/>
          <w:bCs w:val="false"/>
          <w:i w:val="false"/>
          <w:iCs w:val="false"/>
          <w:color w:val="6C757D"/>
          <w:sz w:val="22"/>
          <w:szCs w:val="22"/>
        </w:rPr>
        <w:t xml:space="preserve">    Feature comparison, 4 datacenter locations, use case analysis (March 2026).</w:t>
      </w:r>
    </w:p>
    <w:p>
      <w:pPr>
        <w:spacing w:after="140" w:before="0" w:line="360"/>
        <w:jc w:val="both"/>
      </w:pPr>
      <w:r>
        <w:rPr>
          <w:rFonts w:ascii="Calibri" w:cs="Calibri" w:eastAsia="Calibri" w:hAnsi="Calibri"/>
          <w:b w:val="false"/>
          <w:bCs w:val="false"/>
          <w:i w:val="false"/>
          <w:iCs w:val="false"/>
          <w:color w:val="1A1A2E"/>
          <w:sz w:val="22"/>
          <w:szCs w:val="22"/>
        </w:rPr>
        <w:t xml:space="preserve">    URL: srvrlss.io/provider/railway</w:t>
      </w:r>
    </w:p>
    <w:p>
      <w:pPr>
        <w:spacing w:after="60" w:before="0"/>
      </w:pPr>
    </w:p>
    <w:p>
      <w:pPr>
        <w:spacing w:after="200" w:before="0"/>
      </w:pPr>
    </w:p>
    <w:p>
      <w:pPr>
        <w:pBdr>
          <w:top w:val="single" w:color="E87722" w:sz="4" w:space="1"/>
        </w:pBdr>
        <w:spacing w:after="0" w:before="200"/>
        <w:jc w:val="center"/>
      </w:pPr>
      <w:r>
        <w:rPr>
          <w:rFonts w:ascii="Calibri" w:cs="Calibri" w:eastAsia="Calibri" w:hAnsi="Calibri"/>
          <w:i/>
          <w:iCs/>
          <w:color w:val="1A2F5E"/>
          <w:sz w:val="22"/>
          <w:szCs w:val="22"/>
        </w:rPr>
        <w:t xml:space="preserve">"Fix the money. Fix the world. Start with healthcare."</w:t>
      </w:r>
    </w:p>
    <w:p>
      <w:pPr>
        <w:spacing w:after="80" w:before="0"/>
      </w:pPr>
    </w:p>
    <w:p>
      <w:pPr>
        <w:spacing w:after="140" w:before="0" w:line="360"/>
        <w:jc w:val="center"/>
      </w:pPr>
      <w:r>
        <w:rPr>
          <w:rFonts w:ascii="Calibri" w:cs="Calibri" w:eastAsia="Calibri" w:hAnsi="Calibri"/>
          <w:b w:val="false"/>
          <w:bCs w:val="false"/>
          <w:i/>
          <w:iCs/>
          <w:color w:val="6C757D"/>
          <w:sz w:val="22"/>
          <w:szCs w:val="22"/>
        </w:rPr>
        <w:t xml:space="preserve">BitFarma  ·  Cubo+ Graduation Project  ·  El Salvador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4" w:space="4"/>
      </w:pBdr>
      <w:spacing w:after="0" w:before="100"/>
      <w:jc w:val="center"/>
    </w:pPr>
    <w:r>
      <w:rPr>
        <w:rFonts w:ascii="Calibri" w:cs="Calibri" w:eastAsia="Calibri" w:hAnsi="Calibri"/>
        <w:color w:val="6C757D"/>
        <w:sz w:val="18"/>
        <w:szCs w:val="18"/>
      </w:rPr>
      <w:t xml:space="preserve">Page </w:t>
    </w:r>
    <w:r>
      <w:rPr>
        <w:rFonts w:ascii="Calibri" w:cs="Calibri" w:eastAsia="Calibri" w:hAnsi="Calibri"/>
        <w:color w:val="6C757D"/>
        <w:sz w:val="18"/>
        <w:szCs w:val="18"/>
      </w:rPr>
      <w:fldChar w:fldCharType="begin"/>
      <w:instrText xml:space="preserve">PAGE</w:instrText>
      <w:fldChar w:fldCharType="separate"/>
      <w:fldChar w:fldCharType="end"/>
    </w:r>
    <w:r>
      <w:rPr>
        <w:rFonts w:ascii="Calibri" w:cs="Calibri" w:eastAsia="Calibri" w:hAnsi="Calibri"/>
        <w:color w:val="6C757D"/>
        <w:sz w:val="18"/>
        <w:szCs w:val="18"/>
      </w:rPr>
      <w:t xml:space="preserve"> of </w:t>
    </w:r>
    <w:r>
      <w:rPr>
        <w:rFonts w:ascii="Calibri" w:cs="Calibri" w:eastAsia="Calibri" w:hAnsi="Calibri"/>
        <w:color w:val="6C757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space="4"/>
      </w:pBdr>
      <w:spacing w:after="100" w:before="0"/>
    </w:pPr>
    <w:r>
      <w:rPr>
        <w:rFonts w:ascii="Calibri" w:cs="Calibri" w:eastAsia="Calibri" w:hAnsi="Calibri"/>
        <w:color w:val="6C757D"/>
        <w:sz w:val="18"/>
        <w:szCs w:val="18"/>
      </w:rPr>
      <w:t xml:space="preserve">BitFarma  |  Phase 2 Research Report  ·  Market, Technology &amp; Scaling</w:t>
    </w:r>
    <w:r>
      <w:rPr>
        <w:rFonts w:ascii="Calibri" w:cs="Calibri" w:eastAsia="Calibri" w:hAnsi="Calibri"/>
        <w:i/>
        <w:iCs/>
        <w:color w:val="6C757D"/>
        <w:sz w:val="18"/>
        <w:szCs w:val="18"/>
      </w:rPr>
      <w:t xml:space="preserve">    El Salvador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E877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0D1B3E"/>
      <w:sz w:val="34"/>
      <w:szCs w:val="34"/>
    </w:rPr>
  </w:style>
  <w:style w:type="paragraph" w:styleId="Heading2">
    <w:name w:val="Heading 2"/>
    <w:basedOn w:val="Normal"/>
    <w:next w:val="Normal"/>
    <w:qFormat/>
    <w:pPr>
      <w:spacing w:after="80" w:before="280"/>
      <w:outlineLvl w:val="1"/>
    </w:pPr>
    <w:rPr>
      <w:rFonts w:ascii="Calibri" w:cs="Calibri" w:eastAsia="Calibri" w:hAnsi="Calibri"/>
      <w:b/>
      <w:bCs/>
      <w:color w:val="1E6DB4"/>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1A2F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2026-05-01T04:32:10.486Z</dcterms:created>
  <dcterms:modified xsi:type="dcterms:W3CDTF">2026-05-01T04:32:10.486Z</dcterms:modified>
</cp:coreProperties>
</file>

<file path=docProps/custom.xml><?xml version="1.0" encoding="utf-8"?>
<Properties xmlns="http://schemas.openxmlformats.org/officeDocument/2006/custom-properties" xmlns:vt="http://schemas.openxmlformats.org/officeDocument/2006/docPropsVTypes"/>
</file>