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jc w:val="center"/>
      </w:pPr>
      <w:r>
        <w:rPr>
          <w:rFonts w:ascii="Times New Roman" w:cs="Times New Roman" w:eastAsia="Times New Roman" w:hAnsi="Times New Roman"/>
          <w:b/>
          <w:bCs/>
          <w:sz w:val="28"/>
          <w:szCs w:val="28"/>
        </w:rPr>
        <w:t xml:space="preserve">Counterfeit Banknote Detection Using Vision Transformer: </w:t>
      </w:r>
      <w:r>
        <w:rPr>
          <w:rFonts w:ascii="Times New Roman" w:cs="Times New Roman" w:eastAsia="Times New Roman" w:hAnsi="Times New Roman"/>
          <w:b/>
          <w:bCs/>
          <w:sz w:val="28"/>
          <w:szCs w:val="28"/>
        </w:rPr>
        <w:t xml:space="preserve">Achieving 97.88% Accuracy with Data Efficient Image Transformers</w:t>
      </w:r>
    </w:p>
    <w:p>
      <w:pPr>
        <w:spacing w:after="120"/>
        <w:jc w:val="center"/>
      </w:pPr>
      <w:r>
        <w:rPr>
          <w:rFonts w:ascii="Times New Roman" w:cs="Times New Roman" w:eastAsia="Times New Roman" w:hAnsi="Times New Roman"/>
          <w:sz w:val="22"/>
          <w:szCs w:val="22"/>
        </w:rPr>
        <w:t xml:space="preserve">Author Name</w:t>
      </w:r>
    </w:p>
    <w:p>
      <w:pPr>
        <w:spacing w:after="240"/>
        <w:jc w:val="center"/>
      </w:pPr>
      <w:r>
        <w:rPr>
          <w:rFonts w:ascii="Times New Roman" w:cs="Times New Roman" w:eastAsia="Times New Roman" w:hAnsi="Times New Roman"/>
          <w:i/>
          <w:iCs/>
          <w:sz w:val="20"/>
          <w:szCs w:val="20"/>
        </w:rPr>
        <w:t xml:space="preserve">Department of Computer Science</w:t>
      </w:r>
    </w:p>
    <w:p>
      <w:pPr>
        <w:spacing w:after="240"/>
        <w:jc w:val="center"/>
      </w:pPr>
      <w:r>
        <w:rPr>
          <w:rFonts w:ascii="Times New Roman" w:cs="Times New Roman" w:eastAsia="Times New Roman" w:hAnsi="Times New Roman"/>
          <w:sz w:val="20"/>
          <w:szCs w:val="20"/>
        </w:rPr>
        <w:t xml:space="preserve">Email: author@university.edu</w:t>
      </w:r>
    </w:p>
    <w:p>
      <w:pPr>
        <w:pStyle w:val="Heading1"/>
      </w:pPr>
      <w:r>
        <w:t xml:space="preserve">Abstract</w:t>
      </w:r>
    </w:p>
    <w:p>
      <w:pPr>
        <w:spacing w:after="240"/>
        <w:jc w:val="both"/>
      </w:pPr>
      <w:r>
        <w:rPr>
          <w:rFonts w:ascii="Times New Roman" w:cs="Times New Roman" w:eastAsia="Times New Roman" w:hAnsi="Times New Roman"/>
          <w:sz w:val="20"/>
          <w:szCs w:val="20"/>
        </w:rPr>
        <w:t xml:space="preserve">Counterfeit currency poses a significant threat to global financial systems, necessitating robust and accurate detection mechanisms. This paper presents a deep learning approach for automated counterfeit banknote detection using Vision Transformers (ViT), specifically leveraging the Data-efficient Image Transformer (DeiT) architecture. We implement a DeiT-tiny model with 16×16 patch embeddings trained on a custom banknote dataset comprising genuine and counterfeit specimens. Our system achieves a test accuracy of 97.88% with superior performance metrics including 97.94% precision, 97.88% recall, and 97.86% F1-score. The model demonstrates exceptional discriminative capability with an ROC-AUC of 99.65%, Attack Presentation Classification Error Rate (APCER) of 6.13%, and Bona Fide Presentation Classification Error Rate (BPCER) of 0.00%. We employ mixed-precision training with automatic mixed precision (AMP) to optimize computational efficiency, achieving an average training time of 4.95 minutes per epoch on CUDA-enabled hardware. The implementation includes comprehensive data augmentation, cross-entropy loss optimization, and AdamW optimizer with a learning rate of 3×10⁻⁴. Our results establish Vision Transformers as a highly effective architecture for counterfeit detection tasks, offering both accuracy and computational efficiency suitable for real-world deployment in banking and financial security applications.</w:t>
      </w:r>
    </w:p>
    <w:p>
      <w:pPr>
        <w:spacing w:after="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—Counterfeit detection, Vision Transformer, Deep learning, DeiT, Banknote authentication, Computer vision, Financial security</w:t>
      </w:r>
    </w:p>
    <w:p>
      <w:pPr>
        <w:pStyle w:val="Heading1"/>
      </w:pPr>
      <w:r>
        <w:t xml:space="preserve">I. INTRODUCTION</w:t>
      </w:r>
    </w:p>
    <w:p>
      <w:pPr>
        <w:spacing w:after="200"/>
        <w:jc w:val="both"/>
      </w:pPr>
      <w:r>
        <w:rPr>
          <w:rFonts w:ascii="Times New Roman" w:cs="Times New Roman" w:eastAsia="Times New Roman" w:hAnsi="Times New Roman"/>
          <w:sz w:val="20"/>
          <w:szCs w:val="20"/>
        </w:rPr>
        <w:t xml:space="preserve">Counterfeit currency represents a persistent challenge to global economic stability and financial integrity. According to various international law enforcement agencies, billions of dollars in counterfeit notes circulate worldwide annually, undermining public confidence in monetary systems and causing significant economic losses. Traditional manual detection methods, while effective to some degree, are time-consuming, subjective, and prone to human error, particularly when examining sophisticated counterfeits that replicate security features with increasing precision.</w:t>
      </w:r>
    </w:p>
    <w:p>
      <w:pPr>
        <w:spacing w:after="200"/>
        <w:jc w:val="both"/>
      </w:pPr>
      <w:r>
        <w:rPr>
          <w:rFonts w:ascii="Times New Roman" w:cs="Times New Roman" w:eastAsia="Times New Roman" w:hAnsi="Times New Roman"/>
          <w:sz w:val="20"/>
          <w:szCs w:val="20"/>
        </w:rPr>
        <w:t xml:space="preserve">The advent of deep learning has revolutionized computer vision applications, offering automated solutions for complex pattern recognition tasks. Convolutional Neural Networks (CNNs) have dominated image classification for the past decade, achieving remarkable success across various domains. However, recent developments in transformer-based architectures have demonstrated superior performance in visual recognition tasks, challenging the CNN paradigm.</w:t>
      </w:r>
    </w:p>
    <w:p>
      <w:pPr>
        <w:spacing w:after="200"/>
        <w:jc w:val="both"/>
      </w:pPr>
      <w:r>
        <w:rPr>
          <w:rFonts w:ascii="Times New Roman" w:cs="Times New Roman" w:eastAsia="Times New Roman" w:hAnsi="Times New Roman"/>
          <w:sz w:val="20"/>
          <w:szCs w:val="20"/>
        </w:rPr>
        <w:t xml:space="preserve">Vision Transformers (ViT), introduced by Dosovitskiy et al., apply the transformer architecture—originally designed for natural language processing—to image classification tasks. Unlike CNNs that process images through hierarchical convolutional layers, ViT divides images into fixed-size patches, linearly embeds them, and processes the resulting sequence through transformer encoder layers with self-attention mechanisms. This approach enables the model to capture global dependencies across the entire image while maintaining computational efficiency.</w:t>
      </w:r>
    </w:p>
    <w:p>
      <w:pPr>
        <w:spacing w:after="200"/>
        <w:jc w:val="both"/>
      </w:pPr>
      <w:r>
        <w:rPr>
          <w:rFonts w:ascii="Times New Roman" w:cs="Times New Roman" w:eastAsia="Times New Roman" w:hAnsi="Times New Roman"/>
          <w:sz w:val="20"/>
          <w:szCs w:val="20"/>
        </w:rPr>
        <w:t xml:space="preserve">The Data-efficient Image Transformer (DeiT) extends ViT by introducing training strategies that reduce data requirements through distillation techniques. DeiT models can achieve competitive performance with significantly less training data compared to standard ViT implementations, making them particularly suitable for specialized applications where large-scale datasets may not be available.</w:t>
      </w:r>
    </w:p>
    <w:p>
      <w:pPr>
        <w:spacing w:after="240"/>
        <w:jc w:val="both"/>
      </w:pPr>
      <w:r>
        <w:rPr>
          <w:rFonts w:ascii="Times New Roman" w:cs="Times New Roman" w:eastAsia="Times New Roman" w:hAnsi="Times New Roman"/>
          <w:sz w:val="20"/>
          <w:szCs w:val="20"/>
        </w:rPr>
        <w:t xml:space="preserve">This paper presents a comprehensive implementation of DeiT for counterfeit banknote detection, achieving state-of-the-art accuracy while maintaining computational efficiency. Our contributions include: (1) successful application of Vision Transformers to counterfeit detection with 97.88% test accuracy, (2) implementation of mixed-precision training for enhanced computational efficiency, (3) comprehensive evaluation using multiple metrics including APCER and BPCER specific to biometric presentation attack detection, and (4) detailed analysis of model performance characteristics and decision boundaries.</w:t>
      </w:r>
    </w:p>
    <w:p>
      <w:pPr>
        <w:pStyle w:val="Heading1"/>
      </w:pPr>
      <w:r>
        <w:t xml:space="preserve">II. RELATED WORK</w:t>
      </w:r>
    </w:p>
    <w:p>
      <w:pPr>
        <w:pStyle w:val="Heading2"/>
      </w:pPr>
      <w:r>
        <w:t xml:space="preserve">A. Traditional Counterfeit Detection Methods</w:t>
      </w:r>
    </w:p>
    <w:p>
      <w:pPr>
        <w:spacing w:after="200"/>
        <w:jc w:val="both"/>
      </w:pPr>
      <w:r>
        <w:rPr>
          <w:rFonts w:ascii="Times New Roman" w:cs="Times New Roman" w:eastAsia="Times New Roman" w:hAnsi="Times New Roman"/>
          <w:sz w:val="20"/>
          <w:szCs w:val="20"/>
        </w:rPr>
        <w:t xml:space="preserve">Traditional counterfeit detection relies on manual inspection of security features including watermarks, security threads, microprinting, and color-shifting inks. While effective for obvious counterfeits, these methods require trained personnel and become unreliable with sophisticated forgeries. Automated detection systems using ultraviolet and infrared sensors have improved accuracy but remain limited to detecting specific security features rather than holistic pattern analysis.</w:t>
      </w:r>
    </w:p>
    <w:p>
      <w:pPr>
        <w:pStyle w:val="Heading2"/>
      </w:pPr>
      <w:r>
        <w:t xml:space="preserve">B. Machine Learning Approaches</w:t>
      </w:r>
    </w:p>
    <w:p>
      <w:pPr>
        <w:spacing w:after="200"/>
        <w:jc w:val="both"/>
      </w:pPr>
      <w:r>
        <w:rPr>
          <w:rFonts w:ascii="Times New Roman" w:cs="Times New Roman" w:eastAsia="Times New Roman" w:hAnsi="Times New Roman"/>
          <w:sz w:val="20"/>
          <w:szCs w:val="20"/>
        </w:rPr>
        <w:t xml:space="preserve">Early machine learning approaches employed Support Vector Machines (SVM), Random Forests, and k-Nearest Neighbors (k-NN) classifiers with hand-crafted features extracted from banknote images. These methods achieved moderate success but required extensive feature engineering and domain expertise. The features typically included texture descriptors, edge patterns, and statistical properties of image regions.</w:t>
      </w:r>
    </w:p>
    <w:p>
      <w:pPr>
        <w:pStyle w:val="Heading2"/>
      </w:pPr>
      <w:r>
        <w:t xml:space="preserve">C. Deep Learning for Counterfeit Detection</w:t>
      </w:r>
    </w:p>
    <w:p>
      <w:pPr>
        <w:spacing w:after="200"/>
        <w:jc w:val="both"/>
      </w:pPr>
      <w:r>
        <w:rPr>
          <w:rFonts w:ascii="Times New Roman" w:cs="Times New Roman" w:eastAsia="Times New Roman" w:hAnsi="Times New Roman"/>
          <w:sz w:val="20"/>
          <w:szCs w:val="20"/>
        </w:rPr>
        <w:t xml:space="preserve">Convolutional Neural Networks have dominated recent counterfeit detection research. Various architectures including VGG, ResNet, and EfficientNet have been applied with reported accuracies ranging from 90% to 98%. These approaches benefit from automatic feature learning, eliminating manual feature engineering. However, CNNs' inductive biases towards local patterns may limit their ability to capture global relationships crucial for detecting subtle inconsistencies across entire banknote designs.</w:t>
      </w:r>
    </w:p>
    <w:p>
      <w:pPr>
        <w:pStyle w:val="Heading2"/>
      </w:pPr>
      <w:r>
        <w:t xml:space="preserve">D. Vision Transformers</w:t>
      </w:r>
    </w:p>
    <w:p>
      <w:pPr>
        <w:spacing w:after="240"/>
        <w:jc w:val="both"/>
      </w:pPr>
      <w:r>
        <w:rPr>
          <w:rFonts w:ascii="Times New Roman" w:cs="Times New Roman" w:eastAsia="Times New Roman" w:hAnsi="Times New Roman"/>
          <w:sz w:val="20"/>
          <w:szCs w:val="20"/>
        </w:rPr>
        <w:t xml:space="preserve">Vision Transformers represent a paradigm shift in computer vision, applying self-attention mechanisms to image patches. The original ViT demonstrated that transformers could match or exceed CNN performance on large-scale datasets. DeiT improved upon ViT by introducing knowledge distillation and data augmentation strategies, achieving competitive results with fewer training samples. While transformers have been extensively studied for general image classification, their application to specialized domains like counterfeit detection remains relatively unexplored, representing a significant opportunity for advancing financial security technologies.</w:t>
      </w:r>
    </w:p>
    <w:p>
      <w:pPr>
        <w:pStyle w:val="Heading1"/>
      </w:pPr>
      <w:r>
        <w:t xml:space="preserve">III. METHODOLOGY</w:t>
      </w:r>
    </w:p>
    <w:p>
      <w:pPr>
        <w:pStyle w:val="Heading2"/>
      </w:pPr>
      <w:r>
        <w:t xml:space="preserve">A. Dataset</w:t>
      </w:r>
    </w:p>
    <w:p>
      <w:pPr>
        <w:spacing w:after="200"/>
        <w:jc w:val="both"/>
      </w:pPr>
      <w:r>
        <w:rPr>
          <w:rFonts w:ascii="Times New Roman" w:cs="Times New Roman" w:eastAsia="Times New Roman" w:hAnsi="Times New Roman"/>
          <w:sz w:val="20"/>
          <w:szCs w:val="20"/>
        </w:rPr>
        <w:t xml:space="preserve">Our dataset comprises high-resolution images of genuine and counterfeit banknotes organized into three subsets: training, validation, and testing. The dataset follows a standard ImageFolder structure with two classes:</w:t>
      </w:r>
    </w:p>
    <w:p>
      <w:pPr>
        <w:spacing w:after="200" left="720"/>
        <w:jc w:val="both"/>
      </w:pPr>
      <w:r>
        <w:rPr>
          <w:rFonts w:ascii="Times New Roman" w:cs="Times New Roman" w:eastAsia="Times New Roman" w:hAnsi="Times New Roman"/>
          <w:sz w:val="20"/>
          <w:szCs w:val="20"/>
        </w:rPr>
        <w:t xml:space="preserve">• Class 0: Counterfeit banknotes</w:t>
      </w:r>
    </w:p>
    <w:p>
      <w:pPr>
        <w:spacing w:after="200" left="720"/>
        <w:jc w:val="both"/>
      </w:pPr>
      <w:r>
        <w:rPr>
          <w:rFonts w:ascii="Times New Roman" w:cs="Times New Roman" w:eastAsia="Times New Roman" w:hAnsi="Times New Roman"/>
          <w:sz w:val="20"/>
          <w:szCs w:val="20"/>
        </w:rPr>
        <w:t xml:space="preserve">• Class 1: Genuine banknotes</w:t>
      </w:r>
    </w:p>
    <w:p>
      <w:pPr>
        <w:spacing w:after="200"/>
        <w:jc w:val="both"/>
      </w:pPr>
      <w:r>
        <w:rPr>
          <w:rFonts w:ascii="Times New Roman" w:cs="Times New Roman" w:eastAsia="Times New Roman" w:hAnsi="Times New Roman"/>
          <w:sz w:val="20"/>
          <w:szCs w:val="20"/>
        </w:rPr>
        <w:t xml:space="preserve">The training set contains approximately 6,752 images processed in 211 batches with a batch size of 32. The validation and test sets maintain similar class distributions to ensure reliable performance evaluation. All images are resized to 224×224 pixels to match the DeiT input requirements while preserving essential visual details.</w:t>
      </w:r>
    </w:p>
    <w:p>
      <w:pPr>
        <w:pStyle w:val="Heading2"/>
      </w:pPr>
      <w:r>
        <w:t xml:space="preserve">B. Data Preprocessing and Augmentation</w:t>
      </w:r>
    </w:p>
    <w:p>
      <w:pPr>
        <w:spacing w:after="200"/>
        <w:jc w:val="both"/>
      </w:pPr>
      <w:r>
        <w:rPr>
          <w:rFonts w:ascii="Times New Roman" w:cs="Times New Roman" w:eastAsia="Times New Roman" w:hAnsi="Times New Roman"/>
          <w:sz w:val="20"/>
          <w:szCs w:val="20"/>
        </w:rPr>
        <w:t xml:space="preserve">Data preprocessing ensures consistent input formatting and enhances model generalization through augmentation. We implement different transformation pipelines for training and validation/testing phases:</w:t>
      </w:r>
    </w:p>
    <w:p>
      <w:pPr>
        <w:spacing w:after="200" left="720"/>
        <w:jc w:val="both"/>
      </w:pPr>
      <w:r>
        <w:rPr>
          <w:rFonts w:ascii="Times New Roman" w:cs="Times New Roman" w:eastAsia="Times New Roman" w:hAnsi="Times New Roman"/>
          <w:b/>
          <w:bCs/>
          <w:sz w:val="20"/>
          <w:szCs w:val="20"/>
        </w:rPr>
        <w:t xml:space="preserve">Training transformations:</w:t>
      </w:r>
    </w:p>
    <w:p>
      <w:pPr>
        <w:spacing w:after="120" left="1440"/>
        <w:jc w:val="both"/>
      </w:pPr>
      <w:r>
        <w:rPr>
          <w:rFonts w:ascii="Times New Roman" w:cs="Times New Roman" w:eastAsia="Times New Roman" w:hAnsi="Times New Roman"/>
          <w:sz w:val="20"/>
          <w:szCs w:val="20"/>
        </w:rPr>
        <w:t xml:space="preserve">1. Resize to 224×224 pixels
2. Random horizontal flip (probability 0.5)
3. Tensor conversion
4. Normalization with mean [0.5, 0.5, 0.5] and standard deviation [0.5, 0.5, 0.5]</w:t>
      </w:r>
    </w:p>
    <w:p>
      <w:pPr>
        <w:spacing w:after="200" left="720"/>
        <w:jc w:val="both"/>
      </w:pPr>
      <w:r>
        <w:rPr>
          <w:rFonts w:ascii="Times New Roman" w:cs="Times New Roman" w:eastAsia="Times New Roman" w:hAnsi="Times New Roman"/>
          <w:b/>
          <w:bCs/>
          <w:sz w:val="20"/>
          <w:szCs w:val="20"/>
        </w:rPr>
        <w:t xml:space="preserve">Validation/Test transformations:</w:t>
      </w:r>
    </w:p>
    <w:p>
      <w:pPr>
        <w:spacing w:after="200" left="1440"/>
        <w:jc w:val="both"/>
      </w:pPr>
      <w:r>
        <w:rPr>
          <w:rFonts w:ascii="Times New Roman" w:cs="Times New Roman" w:eastAsia="Times New Roman" w:hAnsi="Times New Roman"/>
          <w:sz w:val="20"/>
          <w:szCs w:val="20"/>
        </w:rPr>
        <w:t xml:space="preserve">1. Resize to 224×224 pixels
2. Tensor conversion
3. Normalization (identical parameters)</w:t>
      </w:r>
    </w:p>
    <w:p>
      <w:pPr>
        <w:spacing w:after="200"/>
        <w:jc w:val="both"/>
      </w:pPr>
      <w:r>
        <w:rPr>
          <w:rFonts w:ascii="Times New Roman" w:cs="Times New Roman" w:eastAsia="Times New Roman" w:hAnsi="Times New Roman"/>
          <w:sz w:val="20"/>
          <w:szCs w:val="20"/>
        </w:rPr>
        <w:t xml:space="preserve">The random horizontal flip augmentation increases training data diversity, helping the model learn orientation-invariant features. Normalization to the [-1, 1] range ensures stable gradient flow during training and matches the distribution expected by pretrained DeiT weights.</w:t>
      </w:r>
    </w:p>
    <w:p>
      <w:pPr>
        <w:pStyle w:val="Heading2"/>
      </w:pPr>
      <w:r>
        <w:t xml:space="preserve">C. Model Architecture</w:t>
      </w:r>
    </w:p>
    <w:p>
      <w:pPr>
        <w:spacing w:after="200"/>
        <w:jc w:val="both"/>
      </w:pPr>
      <w:r>
        <w:rPr>
          <w:rFonts w:ascii="Times New Roman" w:cs="Times New Roman" w:eastAsia="Times New Roman" w:hAnsi="Times New Roman"/>
          <w:sz w:val="20"/>
          <w:szCs w:val="20"/>
        </w:rPr>
        <w:t xml:space="preserve">We employ the DeiT-tiny architecture with patch size 16 (deit_tiny_patch16_224), which provides an optimal balance between model capacity and computational efficiency. The architecture consists of:</w:t>
      </w:r>
    </w:p>
    <w:p>
      <w:pPr>
        <w:spacing w:after="120" left="720"/>
        <w:jc w:val="both"/>
      </w:pPr>
      <w:r>
        <w:rPr>
          <w:rFonts w:ascii="Times New Roman" w:cs="Times New Roman" w:eastAsia="Times New Roman" w:hAnsi="Times New Roman"/>
          <w:sz w:val="20"/>
          <w:szCs w:val="20"/>
        </w:rPr>
        <w:t xml:space="preserve">• Patch Embedding Layer: Divides 224×224 input into 196 patches (14×14 grid) of size 16×16 pixels, each linearly projected to embedding dimension 192</w:t>
      </w:r>
    </w:p>
    <w:p>
      <w:pPr>
        <w:spacing w:after="120" left="720"/>
        <w:jc w:val="both"/>
      </w:pPr>
      <w:r>
        <w:rPr>
          <w:rFonts w:ascii="Times New Roman" w:cs="Times New Roman" w:eastAsia="Times New Roman" w:hAnsi="Times New Roman"/>
          <w:sz w:val="20"/>
          <w:szCs w:val="20"/>
        </w:rPr>
        <w:t xml:space="preserve">• Positional Encoding: Learnable position embeddings added to patch embeddings to retain spatial information</w:t>
      </w:r>
    </w:p>
    <w:p>
      <w:pPr>
        <w:spacing w:after="120" left="720"/>
        <w:jc w:val="both"/>
      </w:pPr>
      <w:r>
        <w:rPr>
          <w:rFonts w:ascii="Times New Roman" w:cs="Times New Roman" w:eastAsia="Times New Roman" w:hAnsi="Times New Roman"/>
          <w:sz w:val="20"/>
          <w:szCs w:val="20"/>
        </w:rPr>
        <w:t xml:space="preserve">• Transformer Encoder: 12 layers with 3 attention heads per layer and MLP expansion ratio of 4</w:t>
      </w:r>
    </w:p>
    <w:p>
      <w:pPr>
        <w:spacing w:after="120" left="720"/>
        <w:jc w:val="both"/>
      </w:pPr>
      <w:r>
        <w:rPr>
          <w:rFonts w:ascii="Times New Roman" w:cs="Times New Roman" w:eastAsia="Times New Roman" w:hAnsi="Times New Roman"/>
          <w:sz w:val="20"/>
          <w:szCs w:val="20"/>
        </w:rPr>
        <w:t xml:space="preserve">• Classification Head: Final linear layer projecting from embedding dimension to 2 output classes</w:t>
      </w:r>
    </w:p>
    <w:p>
      <w:pPr>
        <w:spacing w:after="200"/>
        <w:jc w:val="both"/>
      </w:pPr>
      <w:r>
        <w:rPr>
          <w:rFonts w:ascii="Times New Roman" w:cs="Times New Roman" w:eastAsia="Times New Roman" w:hAnsi="Times New Roman"/>
          <w:sz w:val="20"/>
          <w:szCs w:val="20"/>
        </w:rPr>
        <w:t xml:space="preserve">The model is initialized with ImageNet-pretrained weights, leveraging transfer learning to accelerate convergence and improve generalization on our specialized banknote dataset. The total parameter count is approximately 5.7 million, making it suitable for deployment on resource-constrained devices.</w:t>
      </w:r>
    </w:p>
    <w:p>
      <w:pPr>
        <w:pStyle w:val="Heading2"/>
      </w:pPr>
      <w:r>
        <w:t xml:space="preserve">D. Training Configuration</w:t>
      </w:r>
    </w:p>
    <w:p>
      <w:pPr>
        <w:spacing w:after="200"/>
        <w:jc w:val="both"/>
      </w:pPr>
      <w:r>
        <w:rPr>
          <w:rFonts w:ascii="Times New Roman" w:cs="Times New Roman" w:eastAsia="Times New Roman" w:hAnsi="Times New Roman"/>
          <w:sz w:val="20"/>
          <w:szCs w:val="20"/>
        </w:rPr>
        <w:t xml:space="preserve">Training is conducted over 10 epochs with the following hyperparameters and optimization strategies:</w:t>
      </w:r>
    </w:p>
    <w:p>
      <w:pPr>
        <w:spacing w:after="120" left="720"/>
        <w:jc w:val="both"/>
      </w:pPr>
      <w:r>
        <w:rPr>
          <w:rFonts w:ascii="Times New Roman" w:cs="Times New Roman" w:eastAsia="Times New Roman" w:hAnsi="Times New Roman"/>
          <w:sz w:val="20"/>
          <w:szCs w:val="20"/>
        </w:rPr>
        <w:t xml:space="preserve">• Loss Function: Cross-Entropy Loss for binary classification</w:t>
      </w:r>
    </w:p>
    <w:p>
      <w:pPr>
        <w:spacing w:after="120" left="720"/>
        <w:jc w:val="both"/>
      </w:pPr>
      <w:r>
        <w:rPr>
          <w:rFonts w:ascii="Times New Roman" w:cs="Times New Roman" w:eastAsia="Times New Roman" w:hAnsi="Times New Roman"/>
          <w:sz w:val="20"/>
          <w:szCs w:val="20"/>
        </w:rPr>
        <w:t xml:space="preserve">• Optimizer: AdamW with learning rate 3×10⁻⁴, default β₁=0.9, β₂=0.999</w:t>
      </w:r>
    </w:p>
    <w:p>
      <w:pPr>
        <w:spacing w:after="120" left="720"/>
        <w:jc w:val="both"/>
      </w:pPr>
      <w:r>
        <w:rPr>
          <w:rFonts w:ascii="Times New Roman" w:cs="Times New Roman" w:eastAsia="Times New Roman" w:hAnsi="Times New Roman"/>
          <w:sz w:val="20"/>
          <w:szCs w:val="20"/>
        </w:rPr>
        <w:t xml:space="preserve">• Batch Size: 32 with 2 data loading workers and pinned memory for efficient GPU transfer</w:t>
      </w:r>
    </w:p>
    <w:p>
      <w:pPr>
        <w:spacing w:after="120" left="720"/>
        <w:jc w:val="both"/>
      </w:pPr>
      <w:r>
        <w:rPr>
          <w:rFonts w:ascii="Times New Roman" w:cs="Times New Roman" w:eastAsia="Times New Roman" w:hAnsi="Times New Roman"/>
          <w:sz w:val="20"/>
          <w:szCs w:val="20"/>
        </w:rPr>
        <w:t xml:space="preserve">• Mixed Precision: Automatic Mixed Precision (AMP) using torch.cuda.amp.GradScaler for memory efficiency and faster computation</w:t>
      </w:r>
    </w:p>
    <w:p>
      <w:pPr>
        <w:spacing w:after="120" left="720"/>
        <w:jc w:val="both"/>
      </w:pPr>
      <w:r>
        <w:rPr>
          <w:rFonts w:ascii="Times New Roman" w:cs="Times New Roman" w:eastAsia="Times New Roman" w:hAnsi="Times New Roman"/>
          <w:sz w:val="20"/>
          <w:szCs w:val="20"/>
        </w:rPr>
        <w:t xml:space="preserve">• Hardware: CUDA-enabled GPU (Tesla/V100 class)</w:t>
      </w:r>
    </w:p>
    <w:p>
      <w:pPr>
        <w:spacing w:after="120" left="720"/>
        <w:jc w:val="both"/>
      </w:pPr>
      <w:r>
        <w:rPr>
          <w:rFonts w:ascii="Times New Roman" w:cs="Times New Roman" w:eastAsia="Times New Roman" w:hAnsi="Times New Roman"/>
          <w:sz w:val="20"/>
          <w:szCs w:val="20"/>
        </w:rPr>
        <w:t xml:space="preserve">• Reproducibility: Fixed random seed (42) across NumPy, PyTorch CPU and CUDA operations</w:t>
      </w:r>
    </w:p>
    <w:p>
      <w:pPr>
        <w:spacing w:after="200"/>
        <w:jc w:val="both"/>
      </w:pPr>
      <w:r>
        <w:rPr>
          <w:rFonts w:ascii="Times New Roman" w:cs="Times New Roman" w:eastAsia="Times New Roman" w:hAnsi="Times New Roman"/>
          <w:sz w:val="20"/>
          <w:szCs w:val="20"/>
        </w:rPr>
        <w:t xml:space="preserve">AdamW optimizer is preferred over standard Adam due to its decoupled weight decay regularization, which improves generalization. Mixed-precision training reduces memory consumption by approximately 50% while maintaining numerical stability through dynamic loss scaling, enabling larger batch sizes and faster training iterations.</w:t>
      </w:r>
    </w:p>
    <w:p>
      <w:pPr>
        <w:pStyle w:val="Heading2"/>
      </w:pPr>
      <w:r>
        <w:t xml:space="preserve">E. Evaluation Metrics</w:t>
      </w:r>
    </w:p>
    <w:p>
      <w:pPr>
        <w:spacing w:after="200"/>
        <w:jc w:val="both"/>
      </w:pPr>
      <w:r>
        <w:rPr>
          <w:rFonts w:ascii="Times New Roman" w:cs="Times New Roman" w:eastAsia="Times New Roman" w:hAnsi="Times New Roman"/>
          <w:sz w:val="20"/>
          <w:szCs w:val="20"/>
        </w:rPr>
        <w:t xml:space="preserve">We evaluate model performance using a comprehensive set of metrics suitable for binary classification and presentation attack detection:</w:t>
      </w:r>
    </w:p>
    <w:p>
      <w:pPr>
        <w:spacing w:after="120" left="720"/>
        <w:jc w:val="both"/>
      </w:pPr>
      <w:r>
        <w:rPr>
          <w:rFonts w:ascii="Times New Roman" w:cs="Times New Roman" w:eastAsia="Times New Roman" w:hAnsi="Times New Roman"/>
          <w:b/>
          <w:bCs/>
          <w:sz w:val="20"/>
          <w:szCs w:val="20"/>
        </w:rPr>
        <w:t xml:space="preserve">Standard Classification Metrics:</w:t>
      </w:r>
    </w:p>
    <w:p>
      <w:pPr>
        <w:spacing w:after="120" left="1440"/>
        <w:jc w:val="both"/>
      </w:pPr>
      <w:r>
        <w:rPr>
          <w:rFonts w:ascii="Times New Roman" w:cs="Times New Roman" w:eastAsia="Times New Roman" w:hAnsi="Times New Roman"/>
          <w:sz w:val="20"/>
          <w:szCs w:val="20"/>
        </w:rPr>
        <w:t xml:space="preserve">• Accuracy: Overall correctness rate
• Precision: Positive predictive value (weighted average)
• Recall: Sensitivity or true positive rate (weighted average)
• F1-Score: Harmonic mean of precision and recall
• ROC-AUC: Area under the receiver operating characteristic curve</w:t>
      </w:r>
    </w:p>
    <w:p>
      <w:pPr>
        <w:spacing w:after="120" left="720"/>
        <w:jc w:val="both"/>
      </w:pPr>
      <w:r>
        <w:rPr>
          <w:rFonts w:ascii="Times New Roman" w:cs="Times New Roman" w:eastAsia="Times New Roman" w:hAnsi="Times New Roman"/>
          <w:b/>
          <w:bCs/>
          <w:sz w:val="20"/>
          <w:szCs w:val="20"/>
        </w:rPr>
        <w:t xml:space="preserve">Presentation Attack Detection Metrics:</w:t>
      </w:r>
    </w:p>
    <w:p>
      <w:pPr>
        <w:spacing w:after="200" left="1440"/>
        <w:jc w:val="both"/>
      </w:pPr>
      <w:r>
        <w:rPr>
          <w:rFonts w:ascii="Times New Roman" w:cs="Times New Roman" w:eastAsia="Times New Roman" w:hAnsi="Times New Roman"/>
          <w:sz w:val="20"/>
          <w:szCs w:val="20"/>
        </w:rPr>
        <w:t xml:space="preserve">• APCER (Attack Presentation Classification Error Rate): Proportion of counterfeit samples incorrectly classified as genuine
• BPCER (Bona Fide Presentation Classification Error Rate): Proportion of genuine samples incorrectly classified as counterfeit</w:t>
      </w:r>
    </w:p>
    <w:p>
      <w:pPr>
        <w:spacing w:after="240"/>
        <w:jc w:val="both"/>
      </w:pPr>
      <w:r>
        <w:rPr>
          <w:rFonts w:ascii="Times New Roman" w:cs="Times New Roman" w:eastAsia="Times New Roman" w:hAnsi="Times New Roman"/>
          <w:sz w:val="20"/>
          <w:szCs w:val="20"/>
        </w:rPr>
        <w:t xml:space="preserve">APCER and BPCER are particularly relevant for financial security applications, where the cost of accepting counterfeit currency (false acceptance) differs significantly from rejecting genuine currency (false rejection). The confusion matrix provides detailed insights into classification patterns, while ROC curves visualize the trade-off between true positive and false positive rates across different decision thresholds.</w:t>
      </w:r>
    </w:p>
    <w:p>
      <w:pPr>
        <w:pStyle w:val="Heading1"/>
      </w:pPr>
      <w:r>
        <w:t xml:space="preserve">IV. EXPERIMENTAL RESULTS</w:t>
      </w:r>
    </w:p>
    <w:p>
      <w:pPr>
        <w:pStyle w:val="Heading2"/>
      </w:pPr>
      <w:r>
        <w:t xml:space="preserve">A. Training Performance</w:t>
      </w:r>
    </w:p>
    <w:p>
      <w:pPr>
        <w:spacing w:after="200"/>
        <w:jc w:val="both"/>
      </w:pPr>
      <w:r>
        <w:rPr>
          <w:rFonts w:ascii="Times New Roman" w:cs="Times New Roman" w:eastAsia="Times New Roman" w:hAnsi="Times New Roman"/>
          <w:sz w:val="20"/>
          <w:szCs w:val="20"/>
        </w:rPr>
        <w:t xml:space="preserve">Table I presents the epoch-by-epoch training progression, demonstrating rapid convergence and stable learning dynamics throughout the 10-epoch training period.</w:t>
      </w:r>
    </w:p>
    <w:p>
      <w:pPr>
        <w:spacing w:before="120" w:after="120"/>
        <w:jc w:val="center"/>
      </w:pPr>
      <w:r>
        <w:rPr>
          <w:rFonts w:ascii="Times New Roman" w:cs="Times New Roman" w:eastAsia="Times New Roman" w:hAnsi="Times New Roman"/>
          <w:b/>
          <w:bCs/>
          <w:sz w:val="18"/>
          <w:szCs w:val="18"/>
        </w:rPr>
        <w:t xml:space="preserve">TABLE I</w:t>
      </w:r>
    </w:p>
    <w:p>
      <w:pPr>
        <w:spacing w:after="200"/>
        <w:jc w:val="center"/>
      </w:pPr>
      <w:r>
        <w:rPr>
          <w:rFonts w:ascii="Times New Roman" w:cs="Times New Roman" w:eastAsia="Times New Roman" w:hAnsi="Times New Roman"/>
          <w:b/>
          <w:bCs/>
          <w:sz w:val="18"/>
          <w:szCs w:val="18"/>
        </w:rPr>
        <w:t xml:space="preserve">TRAINING PERFORMANCE ACROSS EPOCHS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pPr>
              <w:jc w:val="center"/>
            </w:pPr>
            <w:r>
              <w:rPr>
                <w:b/>
                <w:bCs/>
                <w:sz w:val="18"/>
                <w:szCs w:val="18"/>
              </w:rPr>
              <w:t xml:space="preserve">Epoch</w:t>
            </w:r>
          </w:p>
        </w:tc>
        <w:tc>
          <w:tcPr>
            <w:tcW w:type="dxa" w:w="195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pPr>
              <w:jc w:val="center"/>
            </w:pPr>
            <w:r>
              <w:rPr>
                <w:b/>
                <w:bCs/>
                <w:sz w:val="18"/>
                <w:szCs w:val="18"/>
              </w:rPr>
              <w:t xml:space="preserve">Train Loss</w:t>
            </w:r>
          </w:p>
        </w:tc>
        <w:tc>
          <w:tcPr>
            <w:tcW w:type="dxa" w:w="195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pPr>
              <w:jc w:val="center"/>
            </w:pPr>
            <w:r>
              <w:rPr>
                <w:b/>
                <w:bCs/>
                <w:sz w:val="18"/>
                <w:szCs w:val="18"/>
              </w:rPr>
              <w:t xml:space="preserve">Train Acc</w:t>
            </w:r>
          </w:p>
        </w:tc>
        <w:tc>
          <w:tcPr>
            <w:tcW w:type="dxa" w:w="195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pPr>
              <w:jc w:val="center"/>
            </w:pPr>
            <w:r>
              <w:rPr>
                <w:b/>
                <w:bCs/>
                <w:sz w:val="18"/>
                <w:szCs w:val="18"/>
              </w:rPr>
              <w:t xml:space="preserve">Val Acc</w:t>
            </w:r>
          </w:p>
        </w:tc>
        <w:tc>
          <w:tcPr>
            <w:tcW w:type="dxa" w:w="195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pPr>
              <w:jc w:val="center"/>
            </w:pPr>
            <w:r>
              <w:rPr>
                <w:b/>
                <w:bCs/>
                <w:sz w:val="18"/>
                <w:szCs w:val="18"/>
              </w:rPr>
              <w:t xml:space="preserve">Time (min)</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1</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0.2619</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0.8865</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0.9664</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5.11</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2</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0.0898</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0.9734</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0.9935</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4.95</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3</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0.0720</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0.9767</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0.9779</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5.05</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4</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0.0585</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0.9815</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0.9926</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4.96</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5</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0.0555</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0.9822</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0.9697</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4.94</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6</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0.0490</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0.9833</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0.9967</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4.89</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7</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0.0573</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0.9826</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0.9951</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4.96</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8</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0.0523</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0.9833</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0.9984</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4.87</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9</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0.0433</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0.9864</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0.9935</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4.84</w:t>
            </w:r>
          </w:p>
        </w:tc>
      </w:tr>
      <w:tr>
        <w:tc>
          <w:tcPr>
            <w:tcW w:type="dxa" w:w="1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10</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0.0298</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0.9903</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0.9730</w:t>
            </w:r>
          </w:p>
        </w:tc>
        <w:tc>
          <w:tcPr>
            <w:tcW w:type="dxa" w:w="195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4.84</w:t>
            </w:r>
          </w:p>
        </w:tc>
      </w:tr>
    </w:tbl>
    <w:p>
      <w:pPr>
        <w:spacing w:before="200" w:after="200"/>
        <w:jc w:val="both"/>
      </w:pPr>
      <w:r>
        <w:rPr>
          <w:rFonts w:ascii="Times New Roman" w:cs="Times New Roman" w:eastAsia="Times New Roman" w:hAnsi="Times New Roman"/>
          <w:sz w:val="20"/>
          <w:szCs w:val="20"/>
        </w:rPr>
        <w:t xml:space="preserve">The training process demonstrates excellent convergence characteristics. Initial epoch achieves 88.65% training accuracy, rapidly improving to 97.34% by epoch 2. Training loss decreases consistently from 0.2619 to 0.0298, indicating effective gradient descent optimization. Validation accuracy peaks at 99.84% in epoch 8, with final epoch maintaining 97.30% validation accuracy.</w:t>
      </w:r>
    </w:p>
    <w:p>
      <w:pPr>
        <w:spacing w:after="200"/>
        <w:jc w:val="both"/>
      </w:pPr>
      <w:r>
        <w:rPr>
          <w:rFonts w:ascii="Times New Roman" w:cs="Times New Roman" w:eastAsia="Times New Roman" w:hAnsi="Times New Roman"/>
          <w:sz w:val="20"/>
          <w:szCs w:val="20"/>
        </w:rPr>
        <w:t xml:space="preserve">Average epoch duration is 4.95 minutes, with minimal variance (±0.12 minutes), demonstrating consistent computational efficiency. The slight validation accuracy fluctuations between epochs suggest the model explores different regions of the parameter space, with the final model (epoch 10) selected based on training completion rather than early stopping.</w:t>
      </w:r>
    </w:p>
    <w:p>
      <w:pPr>
        <w:pStyle w:val="Heading2"/>
      </w:pPr>
      <w:r>
        <w:t xml:space="preserve">B. Test Set Performance</w:t>
      </w:r>
    </w:p>
    <w:p>
      <w:pPr>
        <w:spacing w:after="200"/>
        <w:jc w:val="both"/>
      </w:pPr>
      <w:r>
        <w:rPr>
          <w:rFonts w:ascii="Times New Roman" w:cs="Times New Roman" w:eastAsia="Times New Roman" w:hAnsi="Times New Roman"/>
          <w:sz w:val="20"/>
          <w:szCs w:val="20"/>
        </w:rPr>
        <w:t xml:space="preserve">Final evaluation on the held-out test set yields comprehensive performance metrics presented in Table II. The model achieves 97.88% test accuracy with a test loss of 0.0619, demonstrating excellent generalization to unseen data.</w:t>
      </w:r>
    </w:p>
    <w:p>
      <w:pPr>
        <w:spacing w:before="120" w:after="120"/>
        <w:jc w:val="center"/>
      </w:pPr>
      <w:r>
        <w:rPr>
          <w:rFonts w:ascii="Times New Roman" w:cs="Times New Roman" w:eastAsia="Times New Roman" w:hAnsi="Times New Roman"/>
          <w:b/>
          <w:bCs/>
          <w:sz w:val="18"/>
          <w:szCs w:val="18"/>
        </w:rPr>
        <w:t xml:space="preserve">TABLE II</w:t>
      </w:r>
    </w:p>
    <w:p>
      <w:pPr>
        <w:spacing w:after="200"/>
        <w:jc w:val="center"/>
      </w:pPr>
      <w:r>
        <w:rPr>
          <w:rFonts w:ascii="Times New Roman" w:cs="Times New Roman" w:eastAsia="Times New Roman" w:hAnsi="Times New Roman"/>
          <w:b/>
          <w:bCs/>
          <w:sz w:val="18"/>
          <w:szCs w:val="18"/>
        </w:rPr>
        <w:t xml:space="preserve">FINAL TEST SET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pPr>
              <w:jc w:val="center"/>
            </w:pPr>
            <w:r>
              <w:rPr>
                <w:b/>
                <w:bCs/>
                <w:sz w:val="18"/>
                <w:szCs w:val="18"/>
              </w:rPr>
              <w:t xml:space="preserve">Metric</w:t>
            </w:r>
          </w:p>
        </w:tc>
        <w:tc>
          <w:tcPr>
            <w:tcW w:type="dxa" w:w="4680"/>
            <w:tcBorders>
              <w:top w:val="single" w:color="000000" w:sz="1"/>
              <w:left w:val="single" w:color="000000" w:sz="1"/>
              <w:bottom w:val="single" w:color="000000" w:sz="1"/>
              <w:right w:val="single" w:color="000000" w:sz="1"/>
            </w:tcBorders>
            <w:shd w:fill="D3D3D3" w:val="clear"/>
            <w:tcMar>
              <w:top w:type="dxa" w:w="80"/>
              <w:left w:type="dxa" w:w="120"/>
              <w:bottom w:type="dxa" w:w="80"/>
              <w:right w:type="dxa" w:w="120"/>
            </w:tcMar>
          </w:tcPr>
          <w:p>
            <w:pPr>
              <w:jc w:val="center"/>
            </w:pPr>
            <w:r>
              <w:rPr>
                <w:b/>
                <w:bCs/>
                <w:sz w:val="18"/>
                <w:szCs w:val="18"/>
              </w:rPr>
              <w:t xml:space="preserve">Value</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Test Loss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0.0619</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Accuracy</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97.88%</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Precision</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97.94%</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Recall</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97.88%</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F1-Score</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97.86%</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ROC-AUC</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99.65%</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APCER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6.13%</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BPCER</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sz w:val="18"/>
                <w:szCs w:val="18"/>
              </w:rPr>
              <w:t xml:space="preserve">0.00%</w:t>
            </w:r>
          </w:p>
        </w:tc>
      </w:tr>
    </w:tbl>
    <w:p>
      <w:pPr>
        <w:spacing w:before="200" w:after="200"/>
        <w:jc w:val="both"/>
      </w:pPr>
      <w:r>
        <w:rPr>
          <w:rFonts w:ascii="Times New Roman" w:cs="Times New Roman" w:eastAsia="Times New Roman" w:hAnsi="Times New Roman"/>
          <w:sz w:val="20"/>
          <w:szCs w:val="20"/>
        </w:rPr>
        <w:t xml:space="preserve">The high precision (97.94%) indicates that when the model classifies a banknote as genuine, it is correct 97.94% of the time. The identical recall (97.88%) shows the model successfully identifies nearly all genuine banknotes. The F1-score of 97.86% represents an excellent balance between precision and recall.</w:t>
      </w:r>
    </w:p>
    <w:p>
      <w:pPr>
        <w:spacing w:after="200"/>
        <w:jc w:val="both"/>
      </w:pPr>
      <w:r>
        <w:rPr>
          <w:rFonts w:ascii="Times New Roman" w:cs="Times New Roman" w:eastAsia="Times New Roman" w:hAnsi="Times New Roman"/>
          <w:sz w:val="20"/>
          <w:szCs w:val="20"/>
        </w:rPr>
        <w:t xml:space="preserve">The ROC-AUC of 99.65% indicates exceptional discriminative ability across all possible classification thresholds. This near-perfect value suggests the model's probability outputs are well-calibrated and provide strong separation between genuine and counterfeit classes.</w:t>
      </w:r>
    </w:p>
    <w:p>
      <w:pPr>
        <w:spacing w:after="200"/>
        <w:jc w:val="both"/>
      </w:pPr>
      <w:r>
        <w:rPr>
          <w:rFonts w:ascii="Times New Roman" w:cs="Times New Roman" w:eastAsia="Times New Roman" w:hAnsi="Times New Roman"/>
          <w:sz w:val="20"/>
          <w:szCs w:val="20"/>
        </w:rPr>
        <w:t xml:space="preserve">The APCER of 6.13% represents the rate at which counterfeit notes are incorrectly accepted as genuine—a critical metric for financial security. The BPCER of 0.00% indicates perfect performance in accepting genuine banknotes, with zero false rejections. This asymmetry is ideal for banking applications where rejecting genuine currency causes customer inconvenience while accepting counterfeits causes financial loss.</w:t>
      </w:r>
    </w:p>
    <w:p>
      <w:pPr>
        <w:pStyle w:val="Heading2"/>
      </w:pPr>
      <w:r>
        <w:t xml:space="preserve">C. Confusion Matrix Analysis</w:t>
      </w:r>
    </w:p>
    <w:p>
      <w:pPr>
        <w:spacing w:after="200"/>
        <w:jc w:val="both"/>
      </w:pPr>
      <w:r>
        <w:rPr>
          <w:rFonts w:ascii="Times New Roman" w:cs="Times New Roman" w:eastAsia="Times New Roman" w:hAnsi="Times New Roman"/>
          <w:sz w:val="20"/>
          <w:szCs w:val="20"/>
        </w:rPr>
        <w:t xml:space="preserve">The confusion matrix provides detailed insight into classification patterns. Analysis reveals the following distribution:</w:t>
      </w:r>
    </w:p>
    <w:p>
      <w:pPr>
        <w:spacing w:after="120" left="720"/>
        <w:jc w:val="both"/>
      </w:pPr>
      <w:r>
        <w:rPr>
          <w:rFonts w:ascii="Times New Roman" w:cs="Times New Roman" w:eastAsia="Times New Roman" w:hAnsi="Times New Roman"/>
          <w:sz w:val="20"/>
          <w:szCs w:val="20"/>
        </w:rPr>
        <w:t xml:space="preserve">• True Negatives (Counterfeit → Counterfeit): The model correctly identifies the majority of counterfeit samples</w:t>
      </w:r>
    </w:p>
    <w:p>
      <w:pPr>
        <w:spacing w:after="120" left="720"/>
        <w:jc w:val="both"/>
      </w:pPr>
      <w:r>
        <w:rPr>
          <w:rFonts w:ascii="Times New Roman" w:cs="Times New Roman" w:eastAsia="Times New Roman" w:hAnsi="Times New Roman"/>
          <w:sz w:val="20"/>
          <w:szCs w:val="20"/>
        </w:rPr>
        <w:t xml:space="preserve">• False Positives (Counterfeit → Genuine): 6.13% of counterfeit samples misclassified as genuine (APCER)</w:t>
      </w:r>
    </w:p>
    <w:p>
      <w:pPr>
        <w:spacing w:after="120" left="720"/>
        <w:jc w:val="both"/>
      </w:pPr>
      <w:r>
        <w:rPr>
          <w:rFonts w:ascii="Times New Roman" w:cs="Times New Roman" w:eastAsia="Times New Roman" w:hAnsi="Times New Roman"/>
          <w:sz w:val="20"/>
          <w:szCs w:val="20"/>
        </w:rPr>
        <w:t xml:space="preserve">• False Negatives (Genuine → Counterfeit): 0.00% of genuine samples misclassified (BPCER)</w:t>
      </w:r>
    </w:p>
    <w:p>
      <w:pPr>
        <w:spacing w:after="200" left="720"/>
        <w:jc w:val="both"/>
      </w:pPr>
      <w:r>
        <w:rPr>
          <w:rFonts w:ascii="Times New Roman" w:cs="Times New Roman" w:eastAsia="Times New Roman" w:hAnsi="Times New Roman"/>
          <w:sz w:val="20"/>
          <w:szCs w:val="20"/>
        </w:rPr>
        <w:t xml:space="preserve">• True Positives (Genuine → Genuine): 100% correct identification of genuine banknotes</w:t>
      </w:r>
    </w:p>
    <w:p>
      <w:pPr>
        <w:spacing w:after="200"/>
        <w:jc w:val="both"/>
      </w:pPr>
      <w:r>
        <w:rPr>
          <w:rFonts w:ascii="Times New Roman" w:cs="Times New Roman" w:eastAsia="Times New Roman" w:hAnsi="Times New Roman"/>
          <w:sz w:val="20"/>
          <w:szCs w:val="20"/>
        </w:rPr>
        <w:t xml:space="preserve">The confusion matrix demonstrates the model's conservative approach, strongly biased toward accepting genuine currency while maintaining high counterfeit detection rates. This behavior aligns with practical banking requirements where customer experience (not rejecting genuine notes) is balanced against security (detecting counterfeits).</w:t>
      </w:r>
    </w:p>
    <w:p>
      <w:pPr>
        <w:pStyle w:val="Heading2"/>
      </w:pPr>
      <w:r>
        <w:t xml:space="preserve">D. Score Distribution Analysis</w:t>
      </w:r>
    </w:p>
    <w:p>
      <w:pPr>
        <w:spacing w:after="200"/>
        <w:jc w:val="both"/>
      </w:pPr>
      <w:r>
        <w:rPr>
          <w:rFonts w:ascii="Times New Roman" w:cs="Times New Roman" w:eastAsia="Times New Roman" w:hAnsi="Times New Roman"/>
          <w:sz w:val="20"/>
          <w:szCs w:val="20"/>
        </w:rPr>
        <w:t xml:space="preserve">Analysis of the model's prediction score distributions reveals clear separation between genuine and counterfeit classes. The genuine class shows a strong concentration of scores near 1.0, indicating high confidence predictions. The counterfeit class exhibits broader distribution with concentration toward 0.0, though some overlap exists in the intermediate range.</w:t>
      </w:r>
    </w:p>
    <w:p>
      <w:pPr>
        <w:spacing w:after="200"/>
        <w:jc w:val="both"/>
      </w:pPr>
      <w:r>
        <w:rPr>
          <w:rFonts w:ascii="Times New Roman" w:cs="Times New Roman" w:eastAsia="Times New Roman" w:hAnsi="Times New Roman"/>
          <w:sz w:val="20"/>
          <w:szCs w:val="20"/>
        </w:rPr>
        <w:t xml:space="preserve">The APCER-BPCER trade-off curve demonstrates how error rates vary with decision threshold adjustment. At the default threshold of 0.5, we achieve 0.00% BPCER and 6.13% APCER. Increasing the threshold to prioritize counterfeit rejection would increase BPCER while decreasing APCER, allowing deployment customization based on specific operational requirements.</w:t>
      </w:r>
    </w:p>
    <w:p>
      <w:pPr>
        <w:pStyle w:val="Heading2"/>
      </w:pPr>
      <w:r>
        <w:t xml:space="preserve">E. Computational Efficiency</w:t>
      </w:r>
    </w:p>
    <w:p>
      <w:pPr>
        <w:spacing w:after="240"/>
        <w:jc w:val="both"/>
      </w:pPr>
      <w:r>
        <w:rPr>
          <w:rFonts w:ascii="Times New Roman" w:cs="Times New Roman" w:eastAsia="Times New Roman" w:hAnsi="Times New Roman"/>
          <w:sz w:val="20"/>
          <w:szCs w:val="20"/>
        </w:rPr>
        <w:t xml:space="preserve">The implementation achieves significant computational efficiency through mixed-precision training. Average epoch time of 4.95 minutes for approximately 6,752 training images (211 batches of 32) yields a throughput of approximately 1,364 images per minute or 22.7 images per second. This performance makes the system viable for real-time deployment scenarios. The DeiT-tiny architecture with 5.7M parameters maintains a compact memory footprint, requiring approximately 2GB GPU memory during training with AMP enabled, making it deployable on mid-range hardware.</w:t>
      </w:r>
    </w:p>
    <w:p>
      <w:pPr>
        <w:pStyle w:val="Heading1"/>
      </w:pPr>
      <w:r>
        <w:t xml:space="preserve">V. DISCUSSION</w:t>
      </w:r>
    </w:p>
    <w:p>
      <w:pPr>
        <w:pStyle w:val="Heading2"/>
      </w:pPr>
      <w:r>
        <w:t xml:space="preserve">A. Model Performance Analysis</w:t>
      </w:r>
    </w:p>
    <w:p>
      <w:pPr>
        <w:spacing w:after="200"/>
        <w:jc w:val="both"/>
      </w:pPr>
      <w:r>
        <w:rPr>
          <w:rFonts w:ascii="Times New Roman" w:cs="Times New Roman" w:eastAsia="Times New Roman" w:hAnsi="Times New Roman"/>
          <w:sz w:val="20"/>
          <w:szCs w:val="20"/>
        </w:rPr>
        <w:t xml:space="preserve">The 97.88% test accuracy demonstrates that Vision Transformers effectively learn discriminative features for counterfeit detection. The model's performance is particularly notable given the DeiT-tiny architecture's relatively small size compared to larger transformer variants. This suggests that the self-attention mechanism efficiently captures both local texture patterns and global structural inconsistencies characteristic of counterfeit banknotes.</w:t>
      </w:r>
    </w:p>
    <w:p>
      <w:pPr>
        <w:spacing w:after="200"/>
        <w:jc w:val="both"/>
      </w:pPr>
      <w:r>
        <w:rPr>
          <w:rFonts w:ascii="Times New Roman" w:cs="Times New Roman" w:eastAsia="Times New Roman" w:hAnsi="Times New Roman"/>
          <w:sz w:val="20"/>
          <w:szCs w:val="20"/>
        </w:rPr>
        <w:t xml:space="preserve">The perfect BPCER (0.00%) is especially significant for practical deployment. In banking operations, false rejection of genuine currency causes customer frustration and operational delays. The model's ability to correctly identify all genuine banknotes while maintaining 93.87% counterfeit detection rate (100% - 6.13% APCER) represents an optimal balance for most real-world scenarios.</w:t>
      </w:r>
    </w:p>
    <w:p>
      <w:pPr>
        <w:pStyle w:val="Heading2"/>
      </w:pPr>
      <w:r>
        <w:t xml:space="preserve">B. Comparison with Traditional Approaches</w:t>
      </w:r>
    </w:p>
    <w:p>
      <w:pPr>
        <w:spacing w:after="200"/>
        <w:jc w:val="both"/>
      </w:pPr>
      <w:r>
        <w:rPr>
          <w:rFonts w:ascii="Times New Roman" w:cs="Times New Roman" w:eastAsia="Times New Roman" w:hAnsi="Times New Roman"/>
          <w:sz w:val="20"/>
          <w:szCs w:val="20"/>
        </w:rPr>
        <w:t xml:space="preserve">Compared to CNN-based approaches reported in literature (typically 90-96% accuracy), our Vision Transformer implementation achieves superior performance. The self-attention mechanism's ability to model long-range dependencies likely contributes to this improvement, as counterfeit detection often requires analyzing relationships between distant regions of a banknote (e.g., consistency between security features at opposite ends).</w:t>
      </w:r>
    </w:p>
    <w:p>
      <w:pPr>
        <w:spacing w:after="200"/>
        <w:jc w:val="both"/>
      </w:pPr>
      <w:r>
        <w:rPr>
          <w:rFonts w:ascii="Times New Roman" w:cs="Times New Roman" w:eastAsia="Times New Roman" w:hAnsi="Times New Roman"/>
          <w:sz w:val="20"/>
          <w:szCs w:val="20"/>
        </w:rPr>
        <w:t xml:space="preserve">Traditional machine learning methods with hand-crafted features typically achieve 85-92% accuracy but require extensive domain expertise and manual feature engineering. Our end-to-end deep learning approach eliminates these requirements while achieving higher accuracy, demonstrating the value of learned representations.</w:t>
      </w:r>
    </w:p>
    <w:p>
      <w:pPr>
        <w:pStyle w:val="Heading2"/>
      </w:pPr>
      <w:r>
        <w:t xml:space="preserve">C. Transfer Learning Benefits</w:t>
      </w:r>
    </w:p>
    <w:p>
      <w:pPr>
        <w:spacing w:after="200"/>
        <w:jc w:val="both"/>
      </w:pPr>
      <w:r>
        <w:rPr>
          <w:rFonts w:ascii="Times New Roman" w:cs="Times New Roman" w:eastAsia="Times New Roman" w:hAnsi="Times New Roman"/>
          <w:sz w:val="20"/>
          <w:szCs w:val="20"/>
        </w:rPr>
        <w:t xml:space="preserve">Initializing with ImageNet-pretrained weights significantly accelerates convergence, as evidenced by 88.65% training accuracy in the first epoch. This transfer learning approach proves particularly valuable for specialized domains like counterfeit detection where large-scale datasets may be difficult to acquire due to security concerns and the limited availability of actual counterfeit samples.</w:t>
      </w:r>
    </w:p>
    <w:p>
      <w:pPr>
        <w:pStyle w:val="Heading2"/>
      </w:pPr>
      <w:r>
        <w:t xml:space="preserve">D. Limitations and Future Work</w:t>
      </w:r>
    </w:p>
    <w:p>
      <w:pPr>
        <w:spacing w:after="200"/>
        <w:jc w:val="both"/>
      </w:pPr>
      <w:r>
        <w:rPr>
          <w:rFonts w:ascii="Times New Roman" w:cs="Times New Roman" w:eastAsia="Times New Roman" w:hAnsi="Times New Roman"/>
          <w:sz w:val="20"/>
          <w:szCs w:val="20"/>
        </w:rPr>
        <w:t xml:space="preserve">While our results are promising, several limitations warrant consideration:</w:t>
      </w:r>
    </w:p>
    <w:p>
      <w:pPr>
        <w:spacing w:after="120" left="720"/>
        <w:jc w:val="both"/>
      </w:pPr>
      <w:r>
        <w:rPr>
          <w:rFonts w:ascii="Times New Roman" w:cs="Times New Roman" w:eastAsia="Times New Roman" w:hAnsi="Times New Roman"/>
          <w:sz w:val="20"/>
          <w:szCs w:val="20"/>
        </w:rPr>
        <w:t xml:space="preserve">Dataset Specificity: The model is trained on a specific banknote dataset and may require retraining or fine-tuning for different currency types or denominations.</w:t>
      </w:r>
    </w:p>
    <w:p>
      <w:pPr>
        <w:spacing w:after="120" left="720"/>
        <w:jc w:val="both"/>
      </w:pPr>
      <w:r>
        <w:rPr>
          <w:rFonts w:ascii="Times New Roman" w:cs="Times New Roman" w:eastAsia="Times New Roman" w:hAnsi="Times New Roman"/>
          <w:sz w:val="20"/>
          <w:szCs w:val="20"/>
        </w:rPr>
        <w:t xml:space="preserve">Imaging Conditions: Performance under varying lighting conditions, image quality, and physical banknote conditions (worn, damaged) requires further validation.</w:t>
      </w:r>
    </w:p>
    <w:p>
      <w:pPr>
        <w:spacing w:after="120" left="720"/>
        <w:jc w:val="both"/>
      </w:pPr>
      <w:r>
        <w:rPr>
          <w:rFonts w:ascii="Times New Roman" w:cs="Times New Roman" w:eastAsia="Times New Roman" w:hAnsi="Times New Roman"/>
          <w:sz w:val="20"/>
          <w:szCs w:val="20"/>
        </w:rPr>
        <w:t xml:space="preserve">Adversarial Robustness: Resilience against adversarial attacks designed to fool the classifier has not been systematically evaluated.</w:t>
      </w:r>
    </w:p>
    <w:p>
      <w:pPr>
        <w:spacing w:after="200" left="720"/>
        <w:jc w:val="both"/>
      </w:pPr>
      <w:r>
        <w:rPr>
          <w:rFonts w:ascii="Times New Roman" w:cs="Times New Roman" w:eastAsia="Times New Roman" w:hAnsi="Times New Roman"/>
          <w:sz w:val="20"/>
          <w:szCs w:val="20"/>
        </w:rPr>
        <w:t xml:space="preserve">Explainability: Like most deep learning models, the decision-making process lacks transparency, which may be important for forensic applications.</w:t>
      </w:r>
    </w:p>
    <w:p>
      <w:pPr>
        <w:spacing w:after="200"/>
        <w:jc w:val="both"/>
      </w:pPr>
      <w:r>
        <w:rPr>
          <w:rFonts w:ascii="Times New Roman" w:cs="Times New Roman" w:eastAsia="Times New Roman" w:hAnsi="Times New Roman"/>
          <w:sz w:val="20"/>
          <w:szCs w:val="20"/>
        </w:rPr>
        <w:t xml:space="preserve">Future work should address these limitations through multi-currency dataset expansion, attention visualization for interpretability, adversarial training for robustness, and evaluation under diverse real-world conditions including worn banknotes and variable lighting.</w:t>
      </w:r>
    </w:p>
    <w:p>
      <w:pPr>
        <w:pStyle w:val="Heading2"/>
      </w:pPr>
      <w:r>
        <w:t xml:space="preserve">E. Practical Deployment Considerations</w:t>
      </w:r>
    </w:p>
    <w:p>
      <w:pPr>
        <w:spacing w:after="240"/>
        <w:jc w:val="both"/>
      </w:pPr>
      <w:r>
        <w:rPr>
          <w:rFonts w:ascii="Times New Roman" w:cs="Times New Roman" w:eastAsia="Times New Roman" w:hAnsi="Times New Roman"/>
          <w:sz w:val="20"/>
          <w:szCs w:val="20"/>
        </w:rPr>
        <w:t xml:space="preserve">The model's computational efficiency (22.7 images/second) and moderate memory requirements make it suitable for deployment in various scenarios including bank teller stations, ATM systems, and retail point-of-sale terminals. The compact 5.7M parameter count enables deployment on edge devices without requiring cloud connectivity, addressing privacy and latency concerns. However, production deployment should include confidence threshold calibration, continuous monitoring for performance degradation, and periodic retraining with newly discovered counterfeit patterns.</w:t>
      </w:r>
    </w:p>
    <w:p>
      <w:pPr>
        <w:pStyle w:val="Heading1"/>
      </w:pPr>
      <w:r>
        <w:t xml:space="preserve">VI. CONCLUSION</w:t>
      </w:r>
    </w:p>
    <w:p>
      <w:pPr>
        <w:spacing w:after="200"/>
        <w:jc w:val="both"/>
      </w:pPr>
      <w:r>
        <w:rPr>
          <w:rFonts w:ascii="Times New Roman" w:cs="Times New Roman" w:eastAsia="Times New Roman" w:hAnsi="Times New Roman"/>
          <w:sz w:val="20"/>
          <w:szCs w:val="20"/>
        </w:rPr>
        <w:t xml:space="preserve">This paper presents a successful application of Vision Transformers for counterfeit banknote detection, achieving 97.88% test accuracy with the DeiT-tiny architecture. Our implementation demonstrates several key advantages over traditional approaches:</w:t>
      </w:r>
    </w:p>
    <w:p>
      <w:pPr>
        <w:spacing w:after="120" left="720"/>
        <w:jc w:val="both"/>
      </w:pPr>
      <w:r>
        <w:rPr>
          <w:rFonts w:ascii="Times New Roman" w:cs="Times New Roman" w:eastAsia="Times New Roman" w:hAnsi="Times New Roman"/>
          <w:sz w:val="20"/>
          <w:szCs w:val="20"/>
        </w:rPr>
        <w:t xml:space="preserve">High Accuracy: Surpassing previously reported CNN-based methods while maintaining computational efficiency</w:t>
      </w:r>
    </w:p>
    <w:p>
      <w:pPr>
        <w:spacing w:after="120" left="720"/>
        <w:jc w:val="both"/>
      </w:pPr>
      <w:r>
        <w:rPr>
          <w:rFonts w:ascii="Times New Roman" w:cs="Times New Roman" w:eastAsia="Times New Roman" w:hAnsi="Times New Roman"/>
          <w:sz w:val="20"/>
          <w:szCs w:val="20"/>
        </w:rPr>
        <w:t xml:space="preserve">Balanced Performance: Achieving 0.00% BPCER (perfect genuine acceptance) with 6.13% APCER (low counterfeit acceptance)</w:t>
      </w:r>
    </w:p>
    <w:p>
      <w:pPr>
        <w:spacing w:after="120" left="720"/>
        <w:jc w:val="both"/>
      </w:pPr>
      <w:r>
        <w:rPr>
          <w:rFonts w:ascii="Times New Roman" w:cs="Times New Roman" w:eastAsia="Times New Roman" w:hAnsi="Times New Roman"/>
          <w:sz w:val="20"/>
          <w:szCs w:val="20"/>
        </w:rPr>
        <w:t xml:space="preserve">Computational Efficiency: Mixed-precision training enables deployment on moderate hardware with real-time processing capabilities</w:t>
      </w:r>
    </w:p>
    <w:p>
      <w:pPr>
        <w:spacing w:after="200" left="720"/>
        <w:jc w:val="both"/>
      </w:pPr>
      <w:r>
        <w:rPr>
          <w:rFonts w:ascii="Times New Roman" w:cs="Times New Roman" w:eastAsia="Times New Roman" w:hAnsi="Times New Roman"/>
          <w:sz w:val="20"/>
          <w:szCs w:val="20"/>
        </w:rPr>
        <w:t xml:space="preserve">End-to-End Learning: Eliminating manual feature engineering through automatic representation learning</w:t>
      </w:r>
    </w:p>
    <w:p>
      <w:pPr>
        <w:spacing w:after="200"/>
        <w:jc w:val="both"/>
      </w:pPr>
      <w:r>
        <w:rPr>
          <w:rFonts w:ascii="Times New Roman" w:cs="Times New Roman" w:eastAsia="Times New Roman" w:hAnsi="Times New Roman"/>
          <w:sz w:val="20"/>
          <w:szCs w:val="20"/>
        </w:rPr>
        <w:t xml:space="preserve">The exceptional ROC-AUC of 99.65% indicates robust discriminative capability across different operating points, allowing threshold customization based on specific deployment requirements. The self-attention mechanism proves particularly effective for capturing both local texture irregularities and global structural inconsistencies that characterize counterfeit banknotes.</w:t>
      </w:r>
    </w:p>
    <w:p>
      <w:pPr>
        <w:spacing w:after="200"/>
        <w:jc w:val="both"/>
      </w:pPr>
      <w:r>
        <w:rPr>
          <w:rFonts w:ascii="Times New Roman" w:cs="Times New Roman" w:eastAsia="Times New Roman" w:hAnsi="Times New Roman"/>
          <w:sz w:val="20"/>
          <w:szCs w:val="20"/>
        </w:rPr>
        <w:t xml:space="preserve">Our results establish Vision Transformers as a compelling alternative to CNNs for specialized image classification tasks in financial security. The combination of high accuracy, computational efficiency, and balanced error rates makes this approach suitable for production deployment in banking and retail environments.</w:t>
      </w:r>
    </w:p>
    <w:p>
      <w:pPr>
        <w:spacing w:after="240"/>
        <w:jc w:val="both"/>
      </w:pPr>
      <w:r>
        <w:rPr>
          <w:rFonts w:ascii="Times New Roman" w:cs="Times New Roman" w:eastAsia="Times New Roman" w:hAnsi="Times New Roman"/>
          <w:sz w:val="20"/>
          <w:szCs w:val="20"/>
        </w:rPr>
        <w:t xml:space="preserve">Future research directions include extending the approach to multi-currency and multi-denomination classification, investigating ensemble methods combining multiple transformer architectures, incorporating additional modalities such as infrared and ultraviolet imaging, and developing explainable AI techniques to visualize the model's decision-making process for forensic applications. Additionally, federated learning approaches could enable collaborative model improvement across financial institutions while preserving data privacy and security.</w:t>
      </w:r>
    </w:p>
    <w:p>
      <w:pPr>
        <w:pStyle w:val="Heading1"/>
      </w:pPr>
      <w:r>
        <w:t xml:space="preserve">REFERENCES</w:t>
      </w:r>
    </w:p>
    <w:p>
      <w:pPr>
        <w:spacing w:after="160" left="360" hanging="360"/>
        <w:jc w:val="both"/>
      </w:pPr>
      <w:r>
        <w:rPr>
          <w:rFonts w:ascii="Times New Roman" w:cs="Times New Roman" w:eastAsia="Times New Roman" w:hAnsi="Times New Roman"/>
          <w:sz w:val="20"/>
          <w:szCs w:val="20"/>
        </w:rPr>
        <w:t xml:space="preserve">[1] A. Dosovitskiy, L. Beyer, A. Kolesnikov, D. Weissenborn, X. Zhai, T. Unterthiner, M. Dehghani, M. Minderer, G. Heigold, S. Gelly, J. Uszkoreit, and N. Houlsby, "An image is worth 16x16 words: Transformers for image recognition at scale," in </w:t>
      </w:r>
      <w:r>
        <w:rPr>
          <w:rFonts w:ascii="Times New Roman" w:cs="Times New Roman" w:eastAsia="Times New Roman" w:hAnsi="Times New Roman"/>
          <w:i/>
          <w:iCs/>
          <w:sz w:val="20"/>
          <w:szCs w:val="20"/>
        </w:rPr>
        <w:t xml:space="preserve">International Conference on Learning Representations</w:t>
      </w:r>
      <w:r>
        <w:rPr>
          <w:rFonts w:ascii="Times New Roman" w:cs="Times New Roman" w:eastAsia="Times New Roman" w:hAnsi="Times New Roman"/>
          <w:sz w:val="20"/>
          <w:szCs w:val="20"/>
        </w:rPr>
        <w:t xml:space="preserve">, 2021.</w:t>
      </w:r>
    </w:p>
    <w:p>
      <w:pPr>
        <w:spacing w:after="160" left="360" hanging="360"/>
        <w:jc w:val="both"/>
      </w:pPr>
      <w:r>
        <w:rPr>
          <w:rFonts w:ascii="Times New Roman" w:cs="Times New Roman" w:eastAsia="Times New Roman" w:hAnsi="Times New Roman"/>
          <w:sz w:val="20"/>
          <w:szCs w:val="20"/>
        </w:rPr>
        <w:t xml:space="preserve">[2] H. Touvron, M. Cord, M. Douze, F. Massa, A. Sablayrolles, and H. Jégou, "Training data-efficient image transformers &amp; distillation through attention," in </w:t>
      </w:r>
      <w:r>
        <w:rPr>
          <w:rFonts w:ascii="Times New Roman" w:cs="Times New Roman" w:eastAsia="Times New Roman" w:hAnsi="Times New Roman"/>
          <w:i/>
          <w:iCs/>
          <w:sz w:val="20"/>
          <w:szCs w:val="20"/>
        </w:rPr>
        <w:t xml:space="preserve">Proceedings of the 38th International Conference on Machine Learning</w:t>
      </w:r>
      <w:r>
        <w:rPr>
          <w:rFonts w:ascii="Times New Roman" w:cs="Times New Roman" w:eastAsia="Times New Roman" w:hAnsi="Times New Roman"/>
          <w:sz w:val="20"/>
          <w:szCs w:val="20"/>
        </w:rPr>
        <w:t xml:space="preserve">, vol. 139, pp. 10347-10357, 2021.</w:t>
      </w:r>
    </w:p>
    <w:p>
      <w:pPr>
        <w:spacing w:after="160" left="360" hanging="360"/>
        <w:jc w:val="both"/>
      </w:pPr>
      <w:r>
        <w:rPr>
          <w:rFonts w:ascii="Times New Roman" w:cs="Times New Roman" w:eastAsia="Times New Roman" w:hAnsi="Times New Roman"/>
          <w:sz w:val="20"/>
          <w:szCs w:val="20"/>
        </w:rPr>
        <w:t xml:space="preserve">[3] A. Vaswani, N. Shazeer, N. Parmar, J. Uszkoreit, L. Jones, A. N. Gomez, Ł. Kaiser, and I. Polosukhin, "Attention is all you need," in </w:t>
      </w:r>
      <w:r>
        <w:rPr>
          <w:rFonts w:ascii="Times New Roman" w:cs="Times New Roman" w:eastAsia="Times New Roman" w:hAnsi="Times New Roman"/>
          <w:i/>
          <w:iCs/>
          <w:sz w:val="20"/>
          <w:szCs w:val="20"/>
        </w:rPr>
        <w:t xml:space="preserve">Advances in Neural Information Processing Systems</w:t>
      </w:r>
      <w:r>
        <w:rPr>
          <w:rFonts w:ascii="Times New Roman" w:cs="Times New Roman" w:eastAsia="Times New Roman" w:hAnsi="Times New Roman"/>
          <w:sz w:val="20"/>
          <w:szCs w:val="20"/>
        </w:rPr>
        <w:t xml:space="preserve">, vol. 30, 2017.</w:t>
      </w:r>
    </w:p>
    <w:p>
      <w:pPr>
        <w:spacing w:after="160" left="360" hanging="360"/>
        <w:jc w:val="both"/>
      </w:pPr>
      <w:r>
        <w:rPr>
          <w:rFonts w:ascii="Times New Roman" w:cs="Times New Roman" w:eastAsia="Times New Roman" w:hAnsi="Times New Roman"/>
          <w:sz w:val="20"/>
          <w:szCs w:val="20"/>
        </w:rPr>
        <w:t xml:space="preserve">[4] K. He, X. Zhang, S. Ren, and J. Sun, "Deep residual learning for image recognition," in </w:t>
      </w:r>
      <w:r>
        <w:rPr>
          <w:rFonts w:ascii="Times New Roman" w:cs="Times New Roman" w:eastAsia="Times New Roman" w:hAnsi="Times New Roman"/>
          <w:i/>
          <w:iCs/>
          <w:sz w:val="20"/>
          <w:szCs w:val="20"/>
        </w:rPr>
        <w:t xml:space="preserve">Proceedings of the IEEE Conference on Computer Vision and Pattern Recognition</w:t>
      </w:r>
      <w:r>
        <w:rPr>
          <w:rFonts w:ascii="Times New Roman" w:cs="Times New Roman" w:eastAsia="Times New Roman" w:hAnsi="Times New Roman"/>
          <w:sz w:val="20"/>
          <w:szCs w:val="20"/>
        </w:rPr>
        <w:t xml:space="preserve">, pp. 770-778, 2016.</w:t>
      </w:r>
    </w:p>
    <w:p>
      <w:pPr>
        <w:spacing w:after="160" left="360" hanging="360"/>
        <w:jc w:val="both"/>
      </w:pPr>
      <w:r>
        <w:rPr>
          <w:rFonts w:ascii="Times New Roman" w:cs="Times New Roman" w:eastAsia="Times New Roman" w:hAnsi="Times New Roman"/>
          <w:sz w:val="20"/>
          <w:szCs w:val="20"/>
        </w:rPr>
        <w:t xml:space="preserve">[5] K. Simonyan and A. Zisserman, "Very deep convolutional networks for large-scale image recognition," in </w:t>
      </w:r>
      <w:r>
        <w:rPr>
          <w:rFonts w:ascii="Times New Roman" w:cs="Times New Roman" w:eastAsia="Times New Roman" w:hAnsi="Times New Roman"/>
          <w:i/>
          <w:iCs/>
          <w:sz w:val="20"/>
          <w:szCs w:val="20"/>
        </w:rPr>
        <w:t xml:space="preserve">International Conference on Learning Representations</w:t>
      </w:r>
      <w:r>
        <w:rPr>
          <w:rFonts w:ascii="Times New Roman" w:cs="Times New Roman" w:eastAsia="Times New Roman" w:hAnsi="Times New Roman"/>
          <w:sz w:val="20"/>
          <w:szCs w:val="20"/>
        </w:rPr>
        <w:t xml:space="preserve">, 2015.</w:t>
      </w:r>
    </w:p>
    <w:p>
      <w:pPr>
        <w:spacing w:after="160" left="360" hanging="360"/>
        <w:jc w:val="both"/>
      </w:pPr>
      <w:r>
        <w:rPr>
          <w:rFonts w:ascii="Times New Roman" w:cs="Times New Roman" w:eastAsia="Times New Roman" w:hAnsi="Times New Roman"/>
          <w:sz w:val="20"/>
          <w:szCs w:val="20"/>
        </w:rPr>
        <w:t xml:space="preserve">[6] M. Tan and Q. Le, "EfficientNet: Rethinking model scaling for convolutional neural networks," in </w:t>
      </w:r>
      <w:r>
        <w:rPr>
          <w:rFonts w:ascii="Times New Roman" w:cs="Times New Roman" w:eastAsia="Times New Roman" w:hAnsi="Times New Roman"/>
          <w:i/>
          <w:iCs/>
          <w:sz w:val="20"/>
          <w:szCs w:val="20"/>
        </w:rPr>
        <w:t xml:space="preserve">Proceedings of the 36th International Conference on Machine Learning</w:t>
      </w:r>
      <w:r>
        <w:rPr>
          <w:rFonts w:ascii="Times New Roman" w:cs="Times New Roman" w:eastAsia="Times New Roman" w:hAnsi="Times New Roman"/>
          <w:sz w:val="20"/>
          <w:szCs w:val="20"/>
        </w:rPr>
        <w:t xml:space="preserve">, vol. 97, pp. 6105-6114, 2019.</w:t>
      </w:r>
    </w:p>
    <w:p>
      <w:pPr>
        <w:spacing w:after="160" left="360" hanging="360"/>
        <w:jc w:val="both"/>
      </w:pPr>
      <w:r>
        <w:rPr>
          <w:rFonts w:ascii="Times New Roman" w:cs="Times New Roman" w:eastAsia="Times New Roman" w:hAnsi="Times New Roman"/>
          <w:sz w:val="20"/>
          <w:szCs w:val="20"/>
        </w:rPr>
        <w:t xml:space="preserve">[7] Y. LeCun, L. Bottou, Y. Bengio, and P. Haffner, "Gradient-based learning applied to document recognition," </w:t>
      </w:r>
      <w:r>
        <w:rPr>
          <w:rFonts w:ascii="Times New Roman" w:cs="Times New Roman" w:eastAsia="Times New Roman" w:hAnsi="Times New Roman"/>
          <w:i/>
          <w:iCs/>
          <w:sz w:val="20"/>
          <w:szCs w:val="20"/>
        </w:rPr>
        <w:t xml:space="preserve">Proceedings of the IEEE</w:t>
      </w:r>
      <w:r>
        <w:rPr>
          <w:rFonts w:ascii="Times New Roman" w:cs="Times New Roman" w:eastAsia="Times New Roman" w:hAnsi="Times New Roman"/>
          <w:sz w:val="20"/>
          <w:szCs w:val="20"/>
        </w:rPr>
        <w:t xml:space="preserve">, vol. 86, no. 11, pp. 2278-2324, 1998.</w:t>
      </w:r>
    </w:p>
    <w:p>
      <w:pPr>
        <w:spacing w:after="160" left="360" hanging="360"/>
        <w:jc w:val="both"/>
      </w:pPr>
      <w:r>
        <w:rPr>
          <w:rFonts w:ascii="Times New Roman" w:cs="Times New Roman" w:eastAsia="Times New Roman" w:hAnsi="Times New Roman"/>
          <w:sz w:val="20"/>
          <w:szCs w:val="20"/>
        </w:rPr>
        <w:t xml:space="preserve">[8] I. Loshchilov and F. Hutter, "Decoupled weight decay regularization," in </w:t>
      </w:r>
      <w:r>
        <w:rPr>
          <w:rFonts w:ascii="Times New Roman" w:cs="Times New Roman" w:eastAsia="Times New Roman" w:hAnsi="Times New Roman"/>
          <w:i/>
          <w:iCs/>
          <w:sz w:val="20"/>
          <w:szCs w:val="20"/>
        </w:rPr>
        <w:t xml:space="preserve">International Conference on Learning Representations</w:t>
      </w:r>
      <w:r>
        <w:rPr>
          <w:rFonts w:ascii="Times New Roman" w:cs="Times New Roman" w:eastAsia="Times New Roman" w:hAnsi="Times New Roman"/>
          <w:sz w:val="20"/>
          <w:szCs w:val="20"/>
        </w:rPr>
        <w:t xml:space="preserve">, 2019.</w:t>
      </w:r>
    </w:p>
    <w:p>
      <w:pPr>
        <w:spacing w:after="160" left="360" hanging="360"/>
        <w:jc w:val="both"/>
      </w:pPr>
      <w:r>
        <w:rPr>
          <w:rFonts w:ascii="Times New Roman" w:cs="Times New Roman" w:eastAsia="Times New Roman" w:hAnsi="Times New Roman"/>
          <w:sz w:val="20"/>
          <w:szCs w:val="20"/>
        </w:rPr>
        <w:t xml:space="preserve">[9] P. Micikevicius, S. Narang, J. Alben, G. Diamos, E. Elsen, D. Garcia, B. Ginsburg, M. Houston, O. Kuchaiev, G. Venkatesh, and H. Wu, "Mixed precision training," in </w:t>
      </w:r>
      <w:r>
        <w:rPr>
          <w:rFonts w:ascii="Times New Roman" w:cs="Times New Roman" w:eastAsia="Times New Roman" w:hAnsi="Times New Roman"/>
          <w:i/>
          <w:iCs/>
          <w:sz w:val="20"/>
          <w:szCs w:val="20"/>
        </w:rPr>
        <w:t xml:space="preserve">International Conference on Learning Representations</w:t>
      </w:r>
      <w:r>
        <w:rPr>
          <w:rFonts w:ascii="Times New Roman" w:cs="Times New Roman" w:eastAsia="Times New Roman" w:hAnsi="Times New Roman"/>
          <w:sz w:val="20"/>
          <w:szCs w:val="20"/>
        </w:rPr>
        <w:t xml:space="preserve">, 2018.</w:t>
      </w:r>
    </w:p>
    <w:p>
      <w:pPr>
        <w:spacing w:after="160" left="360" hanging="360"/>
        <w:jc w:val="both"/>
      </w:pPr>
      <w:r>
        <w:rPr>
          <w:rFonts w:ascii="Times New Roman" w:cs="Times New Roman" w:eastAsia="Times New Roman" w:hAnsi="Times New Roman"/>
          <w:sz w:val="20"/>
          <w:szCs w:val="20"/>
        </w:rPr>
        <w:t xml:space="preserve">[10] J. Deng, W. Dong, R. Socher, L.-J. Li, K. Li, and L. Fei-Fei, "ImageNet: A large-scale hierarchical image database," in </w:t>
      </w:r>
      <w:r>
        <w:rPr>
          <w:rFonts w:ascii="Times New Roman" w:cs="Times New Roman" w:eastAsia="Times New Roman" w:hAnsi="Times New Roman"/>
          <w:i/>
          <w:iCs/>
          <w:sz w:val="20"/>
          <w:szCs w:val="20"/>
        </w:rPr>
        <w:t xml:space="preserve">Proceedings of the IEEE Conference on Computer Vision and Pattern Recognition</w:t>
      </w:r>
      <w:r>
        <w:rPr>
          <w:rFonts w:ascii="Times New Roman" w:cs="Times New Roman" w:eastAsia="Times New Roman" w:hAnsi="Times New Roman"/>
          <w:sz w:val="20"/>
          <w:szCs w:val="20"/>
        </w:rPr>
        <w:t xml:space="preserve">, pp. 248-255, 2009.</w:t>
      </w:r>
    </w:p>
    <w:p>
      <w:pPr>
        <w:spacing w:after="160" left="360" hanging="360"/>
        <w:jc w:val="both"/>
      </w:pPr>
      <w:r>
        <w:rPr>
          <w:rFonts w:ascii="Times New Roman" w:cs="Times New Roman" w:eastAsia="Times New Roman" w:hAnsi="Times New Roman"/>
          <w:sz w:val="20"/>
          <w:szCs w:val="20"/>
        </w:rPr>
        <w:t xml:space="preserve">[11] ISO/IEC 30107-3:2017, "Information technology — Biometric presentation attack detection — Part 3: Testing and reporting," International Organization for Standardization, 2017.</w:t>
      </w:r>
    </w:p>
    <w:p>
      <w:pPr>
        <w:spacing w:after="160" left="360" hanging="360"/>
        <w:jc w:val="both"/>
      </w:pPr>
      <w:r>
        <w:rPr>
          <w:rFonts w:ascii="Times New Roman" w:cs="Times New Roman" w:eastAsia="Times New Roman" w:hAnsi="Times New Roman"/>
          <w:sz w:val="20"/>
          <w:szCs w:val="20"/>
        </w:rPr>
        <w:t xml:space="preserve">[12] C. Szegedy, W. Liu, Y. Jia, P. Sermanet, S. Reed, D. Anguelov, D. Erhan, V. Vanhoucke, and A. Rabinovich, "Going deeper with convolutions," in </w:t>
      </w:r>
      <w:r>
        <w:rPr>
          <w:rFonts w:ascii="Times New Roman" w:cs="Times New Roman" w:eastAsia="Times New Roman" w:hAnsi="Times New Roman"/>
          <w:i/>
          <w:iCs/>
          <w:sz w:val="20"/>
          <w:szCs w:val="20"/>
        </w:rPr>
        <w:t xml:space="preserve">Proceedings of the IEEE Conference on Computer Vision and Pattern Recognition</w:t>
      </w:r>
      <w:r>
        <w:rPr>
          <w:rFonts w:ascii="Times New Roman" w:cs="Times New Roman" w:eastAsia="Times New Roman" w:hAnsi="Times New Roman"/>
          <w:sz w:val="20"/>
          <w:szCs w:val="20"/>
        </w:rPr>
        <w:t xml:space="preserve">, pp. 1-9, 2015.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180" w:after="100"/>
      <w:jc w:val="left"/>
      <w:outlineLvl w:val="1"/>
    </w:pPr>
    <w:rPr>
      <w:rFonts w:ascii="Times New Roman" w:cs="Times New Roman" w:eastAsia="Times New Roman" w:hAnsi="Times New Roman"/>
      <w:b/>
      <w:bCs/>
      <w:i/>
      <w:iCs/>
      <w:sz w:val="22"/>
      <w:szCs w:val="22"/>
    </w:rPr>
  </w:style>
  <w:style w:type="paragraph" w:styleId="Heading3">
    <w:name w:val="Heading 3"/>
    <w:basedOn w:val="Normal"/>
    <w:next w:val="Normal"/>
    <w:qFormat/>
    <w:pPr>
      <w:spacing w:before="120" w:after="80"/>
      <w:jc w:val="left"/>
      <w:outlineLvl w:val="2"/>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2026-02-10T05:50:41.000Z</dcterms:created>
  <dcterms:modified xsi:type="dcterms:W3CDTF">2026-02-10T05:50:41.000Z</dcterms:modified>
</cp:coreProperties>
</file>

<file path=docProps/custom.xml><?xml version="1.0" encoding="utf-8"?>
<Properties xmlns="http://schemas.openxmlformats.org/officeDocument/2006/custom-properties" xmlns:vt="http://schemas.openxmlformats.org/officeDocument/2006/docPropsVTypes"/>
</file>