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5E33C2">
      <w:pPr>
        <w:spacing w:before="1200"/>
        <w:jc w:val="center"/>
        <w:rPr>
          <w:rFonts w:hint="eastAsia" w:ascii="微软雅黑" w:hAnsi="微软雅黑" w:eastAsia="微软雅黑" w:cs="微软雅黑"/>
          <w:b/>
          <w:color w:val="1F4E79"/>
          <w:sz w:val="18"/>
          <w:szCs w:val="18"/>
          <w:lang w:val="en-US" w:eastAsia="zh-CN"/>
        </w:rPr>
      </w:pPr>
    </w:p>
    <w:p w14:paraId="59DA346B">
      <w:pPr>
        <w:spacing w:before="1200"/>
        <w:jc w:val="center"/>
        <w:rPr>
          <w:rFonts w:hint="eastAsia" w:ascii="微软雅黑" w:hAnsi="微软雅黑" w:eastAsia="微软雅黑" w:cs="微软雅黑"/>
          <w:color w:val="2E54A1" w:themeColor="accent1" w:themeShade="BF"/>
          <w:lang w:eastAsia="zh-CN"/>
        </w:rPr>
      </w:pPr>
      <w:r>
        <w:rPr>
          <w:rFonts w:hint="eastAsia" w:ascii="微软雅黑" w:hAnsi="微软雅黑" w:eastAsia="微软雅黑" w:cs="微软雅黑"/>
          <w:b/>
          <w:color w:val="2E54A1" w:themeColor="accent1" w:themeShade="BF"/>
          <w:sz w:val="56"/>
          <w:lang w:val="en-US" w:eastAsia="zh-CN"/>
        </w:rPr>
        <w:t xml:space="preserve">Deeptime </w:t>
      </w:r>
      <w:r>
        <w:rPr>
          <w:rFonts w:hint="eastAsia" w:ascii="微软雅黑" w:hAnsi="微软雅黑" w:eastAsia="微软雅黑" w:cs="微软雅黑"/>
          <w:b/>
          <w:color w:val="2E54A1" w:themeColor="accent1" w:themeShade="BF"/>
          <w:sz w:val="56"/>
        </w:rPr>
        <w:t xml:space="preserve">RoC </w:t>
      </w:r>
      <w:r>
        <w:rPr>
          <w:rFonts w:hint="eastAsia" w:ascii="微软雅黑" w:hAnsi="微软雅黑" w:eastAsia="微软雅黑" w:cs="微软雅黑"/>
          <w:b/>
          <w:color w:val="2E54A1" w:themeColor="accent1" w:themeShade="BF"/>
          <w:sz w:val="56"/>
          <w:lang w:val="en-US" w:eastAsia="zh-CN"/>
        </w:rPr>
        <w:t>Analysis</w:t>
      </w:r>
    </w:p>
    <w:p w14:paraId="00A90AE7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44"/>
        </w:rPr>
        <w:t>Windows 版中文使用手册</w:t>
      </w:r>
    </w:p>
    <w:p w14:paraId="230A28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center"/>
        <w:textAlignment w:val="auto"/>
        <w:rPr>
          <w:rFonts w:hint="eastAsia" w:ascii="微软雅黑" w:hAnsi="微软雅黑" w:eastAsia="微软雅黑" w:cs="微软雅黑"/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深时多时间尺度变率</w:t>
      </w:r>
      <w:r>
        <w:rPr>
          <w:rFonts w:hint="eastAsia" w:ascii="微软雅黑" w:hAnsi="微软雅黑" w:eastAsia="微软雅黑" w:cs="微软雅黑"/>
          <w:color w:val="808080" w:themeColor="text1" w:themeTint="80"/>
          <w:sz w:val="28"/>
          <w:lang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（Rate-of-Change）</w:t>
      </w:r>
      <w:r>
        <w:rPr>
          <w:rFonts w:hint="eastAsia" w:ascii="微软雅黑" w:hAnsi="微软雅黑" w:eastAsia="微软雅黑" w:cs="微软雅黑"/>
          <w:color w:val="808080" w:themeColor="text1" w:themeTint="80"/>
          <w:sz w:val="28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分析软件</w:t>
      </w:r>
    </w:p>
    <w:p w14:paraId="7DE91E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25" w:beforeLines="200" w:line="480" w:lineRule="auto"/>
        <w:jc w:val="center"/>
        <w:textAlignment w:val="auto"/>
        <w:rPr>
          <w:rFonts w:hint="eastAsia" w:ascii="微软雅黑" w:hAnsi="微软雅黑" w:eastAsia="微软雅黑" w:cs="微软雅黑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适用版本：v1.0.1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适用平台：Windows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文档日期：2026-06-12</w:t>
      </w:r>
      <w:r>
        <w:rPr>
          <w:rFonts w:hint="eastAsia" w:ascii="微软雅黑" w:hAnsi="微软雅黑" w:eastAsia="微软雅黑" w:cs="微软雅黑"/>
          <w:szCs w:val="24"/>
        </w:rPr>
        <w:br w:type="textWrapping"/>
      </w:r>
    </w:p>
    <w:p w14:paraId="60326039">
      <w:pPr>
        <w:rPr>
          <w:rFonts w:hint="default" w:ascii="微软雅黑" w:hAnsi="微软雅黑" w:eastAsia="微软雅黑" w:cs="微软雅黑"/>
          <w:szCs w:val="24"/>
        </w:rPr>
      </w:pPr>
      <w:r>
        <w:rPr>
          <w:rFonts w:hint="eastAsia" w:ascii="微软雅黑" w:hAnsi="微软雅黑" w:eastAsia="微软雅黑" w:cs="微软雅黑"/>
          <w:szCs w:val="24"/>
        </w:rPr>
        <w:br w:type="page"/>
      </w:r>
    </w:p>
    <w:p w14:paraId="3141AA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微软雅黑" w:hAnsi="微软雅黑" w:eastAsia="微软雅黑" w:cs="微软雅黑"/>
          <w:szCs w:val="24"/>
        </w:rPr>
        <w:sectPr>
          <w:footerReference r:id="rId5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76252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sz w:val="21"/>
          <w:szCs w:val="22"/>
          <w:lang w:val="en-US" w:eastAsia="en-US" w:bidi="ar-SA"/>
        </w:rPr>
      </w:sdtEndPr>
      <w:sdtContent>
        <w:p w14:paraId="2270CB95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0" w:after="313" w:afterLines="100" w:line="240" w:lineRule="auto"/>
            <w:ind w:left="0" w:leftChars="0" w:right="0" w:rightChars="0" w:firstLine="0" w:firstLineChars="0"/>
            <w:jc w:val="center"/>
            <w:textAlignment w:val="auto"/>
          </w:pPr>
          <w:r>
            <w:rPr>
              <w:rFonts w:hint="eastAsia" w:ascii="微软雅黑" w:hAnsi="微软雅黑" w:eastAsia="微软雅黑" w:cs="微软雅黑"/>
              <w:b/>
              <w:bCs/>
              <w:sz w:val="32"/>
              <w:szCs w:val="32"/>
            </w:rPr>
            <w:t>目录</w:t>
          </w:r>
        </w:p>
        <w:p w14:paraId="49857AD1">
          <w:pPr>
            <w:pStyle w:val="9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sz w:val="24"/>
              <w:szCs w:val="24"/>
            </w:rPr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_Toc24473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 w:ascii="Arial" w:hAnsi="Arial" w:eastAsia="黑体"/>
              <w:bCs/>
              <w:sz w:val="24"/>
              <w:szCs w:val="24"/>
            </w:rPr>
            <w:t xml:space="preserve">1. </w:t>
          </w:r>
          <w:r>
            <w:rPr>
              <w:rFonts w:hint="default"/>
              <w:sz w:val="24"/>
              <w:szCs w:val="24"/>
            </w:rPr>
            <w:t>软件简介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_Toc24473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589CB903">
          <w:pPr>
            <w:pStyle w:val="9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_Toc14411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 w:ascii="Arial" w:hAnsi="Arial" w:eastAsia="黑体"/>
              <w:bCs/>
              <w:sz w:val="24"/>
              <w:szCs w:val="24"/>
              <w:lang w:val="en-US" w:eastAsia="zh-CN"/>
            </w:rPr>
            <w:t xml:space="preserve">2. </w:t>
          </w:r>
          <w:r>
            <w:rPr>
              <w:rFonts w:hint="default"/>
              <w:sz w:val="24"/>
              <w:szCs w:val="24"/>
              <w:lang w:val="en-US" w:eastAsia="zh-CN"/>
            </w:rPr>
            <w:t>软件包结构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_Toc14411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0B60ECEB">
          <w:pPr>
            <w:pStyle w:val="9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_Toc1147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 w:ascii="Arial" w:hAnsi="Arial" w:eastAsia="黑体"/>
              <w:bCs/>
              <w:sz w:val="24"/>
              <w:szCs w:val="24"/>
              <w:lang w:val="en-US" w:eastAsia="zh-CN"/>
            </w:rPr>
            <w:t xml:space="preserve">3. </w:t>
          </w:r>
          <w:r>
            <w:rPr>
              <w:rFonts w:hint="default"/>
              <w:sz w:val="24"/>
              <w:szCs w:val="24"/>
              <w:lang w:val="en-US" w:eastAsia="zh-CN"/>
            </w:rPr>
            <w:t>快速开始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_Toc1147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2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549BEF43">
          <w:pPr>
            <w:pStyle w:val="9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_Toc30984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 w:ascii="Arial" w:hAnsi="Arial" w:eastAsia="黑体"/>
              <w:bCs/>
              <w:sz w:val="24"/>
              <w:szCs w:val="24"/>
              <w:lang w:val="en-US" w:eastAsia="zh-CN"/>
            </w:rPr>
            <w:t xml:space="preserve">4. </w:t>
          </w:r>
          <w:r>
            <w:rPr>
              <w:rFonts w:hint="default"/>
              <w:sz w:val="24"/>
              <w:szCs w:val="24"/>
              <w:lang w:val="en-US" w:eastAsia="zh-CN"/>
            </w:rPr>
            <w:t>输入数据格式要求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_Toc30984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2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43D9EBB3">
          <w:pPr>
            <w:pStyle w:val="9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_Toc15417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 w:ascii="Arial" w:hAnsi="Arial" w:eastAsia="黑体"/>
              <w:bCs/>
              <w:sz w:val="24"/>
              <w:szCs w:val="24"/>
              <w:lang w:val="en-US" w:eastAsia="zh-CN"/>
            </w:rPr>
            <w:t xml:space="preserve">5. </w:t>
          </w:r>
          <w:r>
            <w:rPr>
              <w:rFonts w:hint="default"/>
              <w:sz w:val="24"/>
              <w:szCs w:val="24"/>
              <w:lang w:val="en-US" w:eastAsia="zh-CN"/>
            </w:rPr>
            <w:t>操作页面（GUI）说明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_Toc15417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07D5BED9"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_Toc19339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en-US" w:eastAsia="zh-CN"/>
            </w:rPr>
            <w:t>5.1 Input Data 页面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_Toc19339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18559F5E"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_Toc8334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en-US" w:eastAsia="zh-CN"/>
            </w:rPr>
            <w:t>5.2 RoC Settings 页面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_Toc8334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2859F8D6"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_Toc12171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en-US" w:eastAsia="zh-CN"/>
            </w:rPr>
            <w:t>5.3 Advanced Analysis 页面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_Toc12171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5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3F58C8ED"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_Toc21430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en-US" w:eastAsia="zh-CN"/>
            </w:rPr>
            <w:t>5.4 Run &amp; Log 页面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_Toc21430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6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3664884B">
          <w:pPr>
            <w:pStyle w:val="10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_Toc16963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en-US" w:eastAsia="zh-CN"/>
            </w:rPr>
            <w:t>5.5 Results Preview 页面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_Toc16963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7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01A6E74A">
          <w:pPr>
            <w:pStyle w:val="9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_Toc14883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 w:ascii="Arial" w:hAnsi="Arial" w:eastAsia="黑体"/>
              <w:bCs/>
              <w:sz w:val="24"/>
              <w:szCs w:val="24"/>
              <w:lang w:val="en-US" w:eastAsia="zh-CN"/>
            </w:rPr>
            <w:t xml:space="preserve">6. </w:t>
          </w:r>
          <w:r>
            <w:rPr>
              <w:rFonts w:hint="default"/>
              <w:sz w:val="24"/>
              <w:szCs w:val="24"/>
              <w:lang w:val="en-US" w:eastAsia="zh-CN"/>
            </w:rPr>
            <w:t>配置文件说明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_Toc14883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7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32FAC6BB">
          <w:pPr>
            <w:pStyle w:val="9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_Toc18909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 w:ascii="Arial" w:hAnsi="Arial" w:eastAsia="黑体"/>
              <w:bCs/>
              <w:sz w:val="24"/>
              <w:szCs w:val="24"/>
              <w:lang w:val="en-US" w:eastAsia="zh-CN"/>
            </w:rPr>
            <w:t xml:space="preserve">7. </w:t>
          </w:r>
          <w:r>
            <w:rPr>
              <w:rFonts w:hint="default"/>
              <w:sz w:val="24"/>
              <w:szCs w:val="24"/>
              <w:lang w:val="en-US" w:eastAsia="zh-CN"/>
            </w:rPr>
            <w:t>输出结果说明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_Toc18909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8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7D2E1A6C">
          <w:pPr>
            <w:pStyle w:val="9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_Toc11988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 w:ascii="Arial" w:hAnsi="Arial" w:eastAsia="黑体"/>
              <w:bCs/>
              <w:sz w:val="24"/>
              <w:szCs w:val="24"/>
              <w:lang w:val="en-US" w:eastAsia="zh-CN"/>
            </w:rPr>
            <w:t xml:space="preserve">8. </w:t>
          </w:r>
          <w:r>
            <w:rPr>
              <w:rFonts w:hint="default"/>
              <w:sz w:val="24"/>
              <w:szCs w:val="24"/>
              <w:lang w:val="en-US" w:eastAsia="zh-CN"/>
            </w:rPr>
            <w:t>主要输出表格字段解释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_Toc11988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9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7E39D0D1">
          <w:pPr>
            <w:pStyle w:val="9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_Toc5358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 w:ascii="Arial" w:hAnsi="Arial" w:eastAsia="黑体"/>
              <w:bCs/>
              <w:sz w:val="24"/>
              <w:szCs w:val="24"/>
              <w:lang w:val="en-US" w:eastAsia="zh-CN"/>
            </w:rPr>
            <w:t xml:space="preserve">9. </w:t>
          </w:r>
          <w:r>
            <w:rPr>
              <w:rFonts w:hint="default"/>
              <w:sz w:val="24"/>
              <w:szCs w:val="24"/>
              <w:lang w:val="en-US" w:eastAsia="zh-CN"/>
            </w:rPr>
            <w:t>方法原理简述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_Toc5358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10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51EB94BE">
          <w:pPr>
            <w:pStyle w:val="9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_Toc28498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 w:ascii="Arial" w:hAnsi="Arial" w:eastAsia="黑体"/>
              <w:bCs/>
              <w:sz w:val="24"/>
              <w:szCs w:val="24"/>
              <w:lang w:val="en-US" w:eastAsia="zh-CN"/>
            </w:rPr>
            <w:t xml:space="preserve">10. </w:t>
          </w:r>
          <w:r>
            <w:rPr>
              <w:rFonts w:hint="default"/>
              <w:sz w:val="24"/>
              <w:szCs w:val="24"/>
              <w:lang w:val="en-US" w:eastAsia="zh-CN"/>
            </w:rPr>
            <w:t>引用方式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_Toc28498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11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5EC7F99C">
          <w:pPr>
            <w:pStyle w:val="9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_Toc5887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 w:ascii="Arial" w:hAnsi="Arial" w:eastAsia="黑体"/>
              <w:bCs/>
              <w:sz w:val="24"/>
              <w:szCs w:val="24"/>
              <w:lang w:val="en-US" w:eastAsia="zh-CN"/>
            </w:rPr>
            <w:t xml:space="preserve">11. </w:t>
          </w:r>
          <w:r>
            <w:rPr>
              <w:rFonts w:hint="default"/>
              <w:sz w:val="24"/>
              <w:szCs w:val="24"/>
              <w:lang w:val="en-US" w:eastAsia="zh-CN"/>
            </w:rPr>
            <w:t>版本信息与更新记录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_Toc5887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11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0DD2158D">
          <w:pPr>
            <w:pStyle w:val="9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textAlignment w:val="auto"/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_Toc9374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 w:ascii="Arial" w:hAnsi="Arial" w:eastAsia="黑体" w:cs="Times New Roman"/>
              <w:bCs/>
              <w:sz w:val="24"/>
              <w:szCs w:val="24"/>
            </w:rPr>
            <w:t xml:space="preserve">12. </w:t>
          </w:r>
          <w:r>
            <w:rPr>
              <w:rFonts w:hint="default"/>
              <w:sz w:val="24"/>
              <w:szCs w:val="24"/>
            </w:rPr>
            <w:t>开发者信息与联系方式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_Toc9374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11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50E2920D">
          <w:r>
            <w:fldChar w:fldCharType="end"/>
          </w:r>
        </w:p>
      </w:sdtContent>
    </w:sdt>
    <w:p w14:paraId="47AFCEE9">
      <w:pPr>
        <w:pStyle w:val="3"/>
        <w:bidi w:val="0"/>
        <w:rPr>
          <w:rFonts w:hint="default"/>
        </w:rPr>
        <w:sectPr>
          <w:footerReference r:id="rId6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  <w:bookmarkStart w:id="17" w:name="_GoBack"/>
      <w:bookmarkEnd w:id="17"/>
      <w:bookmarkStart w:id="0" w:name="_Toc24473"/>
    </w:p>
    <w:p w14:paraId="5669CD24">
      <w:pPr>
        <w:pStyle w:val="3"/>
        <w:bidi w:val="0"/>
        <w:rPr>
          <w:rFonts w:hint="default"/>
        </w:rPr>
      </w:pPr>
      <w:r>
        <w:rPr>
          <w:rFonts w:hint="default"/>
        </w:rPr>
        <w:t>软件简介</w:t>
      </w:r>
      <w:bookmarkEnd w:id="0"/>
    </w:p>
    <w:p w14:paraId="4513D5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</w:rPr>
        <w:t>RoC Workflow 是一个面向深时古气候时间序列的多时间尺度 rate-of-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default"/>
          <w:sz w:val="24"/>
          <w:szCs w:val="24"/>
        </w:rPr>
        <w:t>change（RoC）分析软件。Windows 版已经打包为可执行程序，普通用户无需安装 Python，也无需打开终端，双击 RoC_Workflow.exe 即可启动图形界面。源码版、Mac 运行方式</w:t>
      </w:r>
      <w:r>
        <w:rPr>
          <w:rFonts w:hint="default"/>
          <w:sz w:val="24"/>
          <w:szCs w:val="24"/>
          <w:lang w:val="en-US" w:eastAsia="zh-CN"/>
        </w:rPr>
        <w:t>请联系开发人员。</w:t>
      </w:r>
    </w:p>
    <w:p w14:paraId="2418D1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 w14:paraId="36CFC0A4">
      <w:pPr>
        <w:pStyle w:val="3"/>
        <w:bidi w:val="0"/>
        <w:rPr>
          <w:rFonts w:hint="default"/>
          <w:lang w:val="en-US" w:eastAsia="zh-CN"/>
        </w:rPr>
      </w:pPr>
      <w:bookmarkStart w:id="1" w:name="_Toc14411"/>
      <w:r>
        <w:rPr>
          <w:rFonts w:hint="default"/>
          <w:lang w:val="en-US" w:eastAsia="zh-CN"/>
        </w:rPr>
        <w:t>软件包结构</w:t>
      </w:r>
      <w:bookmarkEnd w:id="1"/>
    </w:p>
    <w:p w14:paraId="6659B4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69" w:afterLines="150" w:line="360" w:lineRule="auto"/>
        <w:ind w:firstLine="48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解压 Windows 发布包后，建议保持文件夹结构不变。不要单独移动 RoC_Workflow.exe，也不要删除 _internal 文件夹。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6"/>
        <w:gridCol w:w="5546"/>
      </w:tblGrid>
      <w:tr w14:paraId="203EC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69" w:type="dxa"/>
            <w:shd w:val="clear" w:color="auto" w:fill="D7D7D7" w:themeFill="background1" w:themeFillShade="D8"/>
            <w:vAlign w:val="top"/>
          </w:tcPr>
          <w:p w14:paraId="0B8E93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rFonts w:hint="default" w:ascii="Times New Roman" w:hAnsi="Times New Roman" w:eastAsia="方正仿宋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2312" w:cs="Times New Roman"/>
                <w:b/>
                <w:bCs/>
                <w:sz w:val="21"/>
                <w:szCs w:val="21"/>
                <w:lang w:val="en-US" w:eastAsia="zh-CN"/>
              </w:rPr>
              <w:t>文件</w:t>
            </w:r>
          </w:p>
        </w:tc>
        <w:tc>
          <w:tcPr>
            <w:tcW w:w="5546" w:type="dxa"/>
            <w:shd w:val="clear" w:color="auto" w:fill="D7D7D7" w:themeFill="background1" w:themeFillShade="D8"/>
            <w:vAlign w:val="top"/>
          </w:tcPr>
          <w:p w14:paraId="33FD78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center"/>
              <w:textAlignment w:val="auto"/>
              <w:rPr>
                <w:rFonts w:hint="default" w:ascii="Times New Roman" w:hAnsi="Times New Roman" w:eastAsia="方正仿宋_GB2312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方正仿宋_GB2312" w:cs="Times New Roman"/>
                <w:b/>
                <w:sz w:val="21"/>
                <w:szCs w:val="21"/>
              </w:rPr>
              <w:t>说明</w:t>
            </w:r>
          </w:p>
        </w:tc>
      </w:tr>
      <w:tr w14:paraId="0FEC0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69" w:type="dxa"/>
            <w:vAlign w:val="top"/>
          </w:tcPr>
          <w:p w14:paraId="6726E4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default" w:ascii="Times New Roman" w:hAnsi="Times New Roman" w:eastAsia="仿宋" w:cs="Times New Roman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RoC_Workflow.exe</w:t>
            </w:r>
          </w:p>
        </w:tc>
        <w:tc>
          <w:tcPr>
            <w:tcW w:w="5546" w:type="dxa"/>
            <w:vAlign w:val="top"/>
          </w:tcPr>
          <w:p w14:paraId="7E2A56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default" w:ascii="Times New Roman" w:hAnsi="Times New Roman" w:eastAsia="仿宋" w:cs="Times New Roman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软件主程序。用户双击该文件启动图形界面。</w:t>
            </w:r>
          </w:p>
        </w:tc>
      </w:tr>
      <w:tr w14:paraId="0D232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69" w:type="dxa"/>
            <w:vAlign w:val="top"/>
          </w:tcPr>
          <w:p w14:paraId="75F224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default" w:ascii="Times New Roman" w:hAnsi="Times New Roman" w:eastAsia="仿宋" w:cs="Times New Roman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_internal/</w:t>
            </w:r>
          </w:p>
        </w:tc>
        <w:tc>
          <w:tcPr>
            <w:tcW w:w="5546" w:type="dxa"/>
            <w:vAlign w:val="top"/>
          </w:tcPr>
          <w:p w14:paraId="48AEBD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default" w:ascii="Times New Roman" w:hAnsi="Times New Roman" w:eastAsia="仿宋" w:cs="Times New Roman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后台计算程序和运行依赖</w:t>
            </w:r>
            <w:r>
              <w:rPr>
                <w:rFonts w:hint="default" w:ascii="Times New Roman" w:hAnsi="Times New Roman" w:eastAsia="仿宋" w:cs="Times New Roman"/>
                <w:sz w:val="19"/>
                <w:lang w:eastAsia="zh-CN"/>
              </w:rPr>
              <w:t>，</w:t>
            </w:r>
            <w:r>
              <w:rPr>
                <w:rFonts w:hint="default" w:ascii="Times New Roman" w:hAnsi="Times New Roman" w:eastAsia="仿宋" w:cs="Times New Roman"/>
                <w:sz w:val="19"/>
              </w:rPr>
              <w:t>请勿删除或移动。</w:t>
            </w:r>
          </w:p>
        </w:tc>
      </w:tr>
      <w:tr w14:paraId="130F1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69" w:type="dxa"/>
            <w:vAlign w:val="top"/>
          </w:tcPr>
          <w:p w14:paraId="483CCC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default" w:ascii="Times New Roman" w:hAnsi="Times New Roman" w:eastAsia="仿宋" w:cs="Times New Roman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_internal/RoC_Workflow_Main.exe</w:t>
            </w:r>
          </w:p>
        </w:tc>
        <w:tc>
          <w:tcPr>
            <w:tcW w:w="5546" w:type="dxa"/>
            <w:vAlign w:val="top"/>
          </w:tcPr>
          <w:p w14:paraId="7625B4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default" w:ascii="Times New Roman" w:hAnsi="Times New Roman" w:eastAsia="仿宋" w:cs="Times New Roman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后台计算程序，由 GUI 自动调用，用户通常不需要手动打开。</w:t>
            </w:r>
          </w:p>
        </w:tc>
      </w:tr>
      <w:tr w14:paraId="7444F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69" w:type="dxa"/>
            <w:vAlign w:val="top"/>
          </w:tcPr>
          <w:p w14:paraId="256E87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default" w:ascii="Times New Roman" w:hAnsi="Times New Roman" w:eastAsia="仿宋" w:cs="Times New Roman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config_test.yaml</w:t>
            </w:r>
          </w:p>
        </w:tc>
        <w:tc>
          <w:tcPr>
            <w:tcW w:w="5546" w:type="dxa"/>
            <w:vAlign w:val="top"/>
          </w:tcPr>
          <w:p w14:paraId="2A0D06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default" w:ascii="Times New Roman" w:hAnsi="Times New Roman" w:eastAsia="仿宋" w:cs="Times New Roman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默认测试配置文件，适合普通用户快速运行。</w:t>
            </w:r>
          </w:p>
        </w:tc>
      </w:tr>
      <w:tr w14:paraId="6D84D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69" w:type="dxa"/>
            <w:vAlign w:val="top"/>
          </w:tcPr>
          <w:p w14:paraId="47B2D4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default" w:ascii="Times New Roman" w:hAnsi="Times New Roman" w:eastAsia="仿宋" w:cs="Times New Roman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config_full.yaml</w:t>
            </w:r>
          </w:p>
        </w:tc>
        <w:tc>
          <w:tcPr>
            <w:tcW w:w="5546" w:type="dxa"/>
            <w:vAlign w:val="top"/>
          </w:tcPr>
          <w:p w14:paraId="445D8A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default" w:ascii="Times New Roman" w:hAnsi="Times New Roman" w:eastAsia="仿宋" w:cs="Times New Roman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文章复现配置文件，用于尽可能复现论文中的完整参数设置。</w:t>
            </w:r>
          </w:p>
        </w:tc>
      </w:tr>
      <w:tr w14:paraId="4EF3A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69" w:type="dxa"/>
            <w:vAlign w:val="top"/>
          </w:tcPr>
          <w:p w14:paraId="5D0176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default" w:ascii="Times New Roman" w:hAnsi="Times New Roman" w:eastAsia="仿宋" w:cs="Times New Roman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data/</w:t>
            </w:r>
          </w:p>
        </w:tc>
        <w:tc>
          <w:tcPr>
            <w:tcW w:w="5546" w:type="dxa"/>
            <w:vAlign w:val="top"/>
          </w:tcPr>
          <w:p w14:paraId="1B4347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default" w:ascii="Times New Roman" w:hAnsi="Times New Roman" w:eastAsia="仿宋" w:cs="Times New Roman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示例输入数据文件夹。默认示例数据为 data/O.xlsx。</w:t>
            </w:r>
          </w:p>
        </w:tc>
      </w:tr>
      <w:tr w14:paraId="2BCA2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69" w:type="dxa"/>
            <w:vAlign w:val="top"/>
          </w:tcPr>
          <w:p w14:paraId="32FF98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default" w:ascii="Times New Roman" w:hAnsi="Times New Roman" w:eastAsia="仿宋" w:cs="Times New Roman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outputs/</w:t>
            </w:r>
          </w:p>
        </w:tc>
        <w:tc>
          <w:tcPr>
            <w:tcW w:w="5546" w:type="dxa"/>
            <w:vAlign w:val="top"/>
          </w:tcPr>
          <w:p w14:paraId="2CE4F0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default" w:ascii="Times New Roman" w:hAnsi="Times New Roman" w:eastAsia="仿宋" w:cs="Times New Roman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结果输出文件夹。第一次运行前可以为空，软件会自动写入结果。</w:t>
            </w:r>
          </w:p>
        </w:tc>
      </w:tr>
      <w:tr w14:paraId="68E3E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69" w:type="dxa"/>
            <w:vAlign w:val="top"/>
          </w:tcPr>
          <w:p w14:paraId="122E2F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default" w:ascii="Times New Roman" w:hAnsi="Times New Roman" w:eastAsia="仿宋" w:cs="Times New Roman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logo.ico / logo.png</w:t>
            </w:r>
          </w:p>
        </w:tc>
        <w:tc>
          <w:tcPr>
            <w:tcW w:w="5546" w:type="dxa"/>
            <w:vAlign w:val="top"/>
          </w:tcPr>
          <w:p w14:paraId="29381B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default" w:ascii="Times New Roman" w:hAnsi="Times New Roman" w:eastAsia="仿宋" w:cs="Times New Roman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软件图标文件。</w:t>
            </w:r>
          </w:p>
        </w:tc>
      </w:tr>
      <w:tr w14:paraId="10F0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69" w:type="dxa"/>
            <w:vAlign w:val="top"/>
          </w:tcPr>
          <w:p w14:paraId="5EA96E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default" w:ascii="Times New Roman" w:hAnsi="Times New Roman" w:eastAsia="仿宋" w:cs="Times New Roman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README.md</w:t>
            </w:r>
          </w:p>
        </w:tc>
        <w:tc>
          <w:tcPr>
            <w:tcW w:w="5546" w:type="dxa"/>
            <w:vAlign w:val="top"/>
          </w:tcPr>
          <w:p w14:paraId="331132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default" w:ascii="Times New Roman" w:hAnsi="Times New Roman" w:eastAsia="仿宋" w:cs="Times New Roman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英文简要说明。</w:t>
            </w:r>
          </w:p>
        </w:tc>
      </w:tr>
      <w:tr w14:paraId="6F1E7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69" w:type="dxa"/>
            <w:vAlign w:val="top"/>
          </w:tcPr>
          <w:p w14:paraId="06344F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default" w:ascii="Times New Roman" w:hAnsi="Times New Roman" w:eastAsia="仿宋" w:cs="Times New Roman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LICENSE</w:t>
            </w:r>
          </w:p>
        </w:tc>
        <w:tc>
          <w:tcPr>
            <w:tcW w:w="5546" w:type="dxa"/>
            <w:vAlign w:val="top"/>
          </w:tcPr>
          <w:p w14:paraId="594372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default" w:ascii="Times New Roman" w:hAnsi="Times New Roman" w:eastAsia="仿宋" w:cs="Times New Roman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许可证文件。</w:t>
            </w:r>
          </w:p>
        </w:tc>
      </w:tr>
      <w:tr w14:paraId="4B625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69" w:type="dxa"/>
            <w:vAlign w:val="top"/>
          </w:tcPr>
          <w:p w14:paraId="189649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default" w:ascii="Times New Roman" w:hAnsi="Times New Roman" w:eastAsia="仿宋" w:cs="Times New Roman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CITATION.cff</w:t>
            </w:r>
          </w:p>
        </w:tc>
        <w:tc>
          <w:tcPr>
            <w:tcW w:w="5546" w:type="dxa"/>
            <w:vAlign w:val="top"/>
          </w:tcPr>
          <w:p w14:paraId="553408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default" w:ascii="Times New Roman" w:hAnsi="Times New Roman" w:eastAsia="仿宋" w:cs="Times New Roman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软件引用信息。</w:t>
            </w:r>
          </w:p>
        </w:tc>
      </w:tr>
    </w:tbl>
    <w:p w14:paraId="3E27D33B">
      <w:pPr>
        <w:bidi w:val="0"/>
        <w:rPr>
          <w:rFonts w:hint="default"/>
          <w:lang w:val="en-US" w:eastAsia="zh-CN"/>
        </w:rPr>
      </w:pPr>
    </w:p>
    <w:p w14:paraId="624265EF">
      <w:pPr>
        <w:rPr>
          <w:rFonts w:hint="default"/>
          <w:lang w:val="en-US" w:eastAsia="zh-CN"/>
        </w:rPr>
      </w:pPr>
    </w:p>
    <w:p w14:paraId="001BCC04">
      <w:pPr>
        <w:rPr>
          <w:rFonts w:hint="default"/>
          <w:lang w:val="en-US" w:eastAsia="zh-CN"/>
        </w:rPr>
      </w:pPr>
    </w:p>
    <w:p w14:paraId="028B224A">
      <w:pPr>
        <w:pStyle w:val="3"/>
        <w:bidi w:val="0"/>
        <w:rPr>
          <w:rFonts w:hint="default"/>
          <w:lang w:val="en-US" w:eastAsia="zh-CN"/>
        </w:rPr>
      </w:pPr>
      <w:bookmarkStart w:id="2" w:name="_Toc1147"/>
      <w:r>
        <w:rPr>
          <w:rFonts w:hint="default"/>
          <w:lang w:val="en-US" w:eastAsia="zh-CN"/>
        </w:rPr>
        <w:t>快速开始</w:t>
      </w:r>
      <w:bookmarkEnd w:id="2"/>
    </w:p>
    <w:p w14:paraId="0D1A83AE">
      <w:pPr>
        <w:numPr>
          <w:ilvl w:val="0"/>
          <w:numId w:val="3"/>
        </w:numPr>
        <w:bidi w:val="0"/>
        <w:spacing w:line="360" w:lineRule="auto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解压 RoC_Workflow_Windows_v1.0.1_20260612.zip。</w:t>
      </w:r>
    </w:p>
    <w:p w14:paraId="075CBED3">
      <w:pPr>
        <w:numPr>
          <w:ilvl w:val="0"/>
          <w:numId w:val="3"/>
        </w:numPr>
        <w:bidi w:val="0"/>
        <w:spacing w:line="360" w:lineRule="auto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打开解压后的 RoC_Workflow 文件夹。</w:t>
      </w:r>
    </w:p>
    <w:p w14:paraId="6EBE171B">
      <w:pPr>
        <w:numPr>
          <w:ilvl w:val="0"/>
          <w:numId w:val="3"/>
        </w:numPr>
        <w:bidi w:val="0"/>
        <w:spacing w:line="360" w:lineRule="auto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双击 RoC_Workflow.exe。</w:t>
      </w:r>
    </w:p>
    <w:p w14:paraId="4B2DED0C">
      <w:pPr>
        <w:numPr>
          <w:ilvl w:val="0"/>
          <w:numId w:val="3"/>
        </w:numPr>
        <w:bidi w:val="0"/>
        <w:spacing w:line="360" w:lineRule="auto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在 1. Input Data 页面选择输入 Excel 文件，并确认 Age column 与 Value column。</w:t>
      </w:r>
    </w:p>
    <w:p w14:paraId="4EC4F316">
      <w:pPr>
        <w:numPr>
          <w:ilvl w:val="0"/>
          <w:numId w:val="3"/>
        </w:numPr>
        <w:bidi w:val="0"/>
        <w:spacing w:line="360" w:lineRule="auto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在 2. RoC Settings 页面设置年龄范围、Step 和 time-bin widths。</w:t>
      </w:r>
    </w:p>
    <w:p w14:paraId="367722B5">
      <w:pPr>
        <w:numPr>
          <w:ilvl w:val="0"/>
          <w:numId w:val="3"/>
        </w:numPr>
        <w:bidi w:val="0"/>
        <w:spacing w:line="360" w:lineRule="auto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在 3. Advanced Analysis 页面确认后续分析选项。</w:t>
      </w:r>
    </w:p>
    <w:p w14:paraId="09154CB8">
      <w:pPr>
        <w:numPr>
          <w:ilvl w:val="0"/>
          <w:numId w:val="3"/>
        </w:numPr>
        <w:bidi w:val="0"/>
        <w:spacing w:line="360" w:lineRule="auto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进入 4. Run &amp; Log，先点击 Check settings / Dry run 检查输入，再点击 Run workflow 开始完整计算。</w:t>
      </w:r>
    </w:p>
    <w:p w14:paraId="3CD96701">
      <w:pPr>
        <w:numPr>
          <w:ilvl w:val="0"/>
          <w:numId w:val="3"/>
        </w:numPr>
        <w:bidi w:val="0"/>
        <w:spacing w:line="360" w:lineRule="auto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计算完成后，在 outputs 文件夹或 5. Results Preview 页面查看结果。</w:t>
      </w:r>
    </w:p>
    <w:p w14:paraId="5690EA69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</w:p>
    <w:p w14:paraId="7D3989EC">
      <w:pPr>
        <w:pStyle w:val="3"/>
        <w:bidi w:val="0"/>
        <w:rPr>
          <w:rFonts w:hint="default"/>
          <w:lang w:val="en-US" w:eastAsia="zh-CN"/>
        </w:rPr>
      </w:pPr>
      <w:bookmarkStart w:id="3" w:name="_Toc30984"/>
      <w:r>
        <w:rPr>
          <w:rFonts w:hint="default"/>
          <w:lang w:val="en-US" w:eastAsia="zh-CN"/>
        </w:rPr>
        <w:t>输入数据格式要求</w:t>
      </w:r>
      <w:bookmarkEnd w:id="3"/>
    </w:p>
    <w:p w14:paraId="10CC9D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输入数据应为 Excel 文件（.xlsx 或 .xls），默认使用第一个工作表。表中必须至少包含年龄列和指标列。Age 或 Value 为空、非数字或无效时，会在预处理阶段被删除。若多个记录具有完全相同 Age，软件会对这些 Value 自动取平均值。Age 可以从年轻到老或从老到年轻排列，软件可根据 Sort data by Age 选项自动排序。</w:t>
      </w:r>
    </w:p>
    <w:p w14:paraId="3835D9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35F007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1A5DF9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3D4CC9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501896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3D218A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2706DD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402561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4EE8C0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2BE9E36D">
      <w:pPr>
        <w:pStyle w:val="3"/>
        <w:bidi w:val="0"/>
        <w:rPr>
          <w:rFonts w:hint="default"/>
          <w:lang w:val="en-US" w:eastAsia="zh-CN"/>
        </w:rPr>
      </w:pPr>
      <w:bookmarkStart w:id="4" w:name="_Toc15417"/>
      <w:r>
        <w:rPr>
          <w:rFonts w:hint="default"/>
          <w:lang w:val="en-US" w:eastAsia="zh-CN"/>
        </w:rPr>
        <w:t>操作页面（GUI）说明</w:t>
      </w:r>
      <w:bookmarkEnd w:id="4"/>
    </w:p>
    <w:p w14:paraId="3792BA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RoC Workflow GUI 包含 5 个页面：1. Input Data、2. RoC Settings、3. Advanced Analysis、4. Run &amp; Log、5. Results Preview。用户可以点击顶部标签切换页面，也可以使用页面底部的 Previous step / Next step 按钮按流程前进。</w:t>
      </w:r>
    </w:p>
    <w:p w14:paraId="064E933C">
      <w:pPr>
        <w:pStyle w:val="4"/>
        <w:bidi w:val="0"/>
        <w:rPr>
          <w:rFonts w:hint="default"/>
          <w:lang w:val="en-US" w:eastAsia="zh-CN"/>
        </w:rPr>
      </w:pPr>
      <w:bookmarkStart w:id="5" w:name="_Toc19339"/>
      <w:r>
        <w:rPr>
          <w:rFonts w:hint="default"/>
          <w:lang w:val="en-US" w:eastAsia="zh-CN"/>
        </w:rPr>
        <w:t xml:space="preserve">5.1 </w:t>
      </w:r>
      <w:r>
        <w:rPr>
          <w:rFonts w:hint="eastAsia"/>
          <w:lang w:val="en-US" w:eastAsia="zh-CN"/>
        </w:rPr>
        <w:t xml:space="preserve"> </w:t>
      </w:r>
      <w:r>
        <w:rPr>
          <w:rFonts w:hint="default" w:ascii="Times New Roman" w:hAnsi="Times New Roman" w:eastAsia="华文楷体" w:cs="Times New Roman"/>
          <w:lang w:val="en-US" w:eastAsia="zh-CN"/>
        </w:rPr>
        <w:t>Input Data 页面</w:t>
      </w:r>
      <w:bookmarkEnd w:id="5"/>
    </w:p>
    <w:p w14:paraId="3CB78C63">
      <w:pPr>
        <w:rPr>
          <w:rFonts w:hint="default" w:ascii="Times New Roman" w:hAnsi="Times New Roman" w:eastAsia="方正仿宋_GB2312" w:cs="Times New Roman"/>
          <w:sz w:val="20"/>
          <w:lang w:val="en-US" w:eastAsia="zh-CN"/>
        </w:rPr>
      </w:pPr>
      <w:r>
        <w:rPr>
          <w:rFonts w:hint="default" w:ascii="Times New Roman" w:hAnsi="Times New Roman" w:eastAsia="方正仿宋_GB2312" w:cs="Times New Roman"/>
          <w:sz w:val="20"/>
          <w:lang w:val="en-US" w:eastAsia="zh-CN"/>
        </w:rPr>
        <w:drawing>
          <wp:inline distT="0" distB="0" distL="114300" distR="114300">
            <wp:extent cx="5720080" cy="3858260"/>
            <wp:effectExtent l="0" t="0" r="7620" b="2540"/>
            <wp:docPr id="1" name="图片 1" descr="e390612160105db39aa3787c209dab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390612160105db39aa3787c209dab6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A3C9">
      <w:pPr>
        <w:numPr>
          <w:ilvl w:val="0"/>
          <w:numId w:val="4"/>
        </w:numPr>
        <w:bidi w:val="0"/>
        <w:ind w:left="42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Base config file：基础配置文件，用于提供默认参数和高级参数。GUI 中显示的参数会在运行时覆盖基础配置文件中的对应设置。</w:t>
      </w:r>
    </w:p>
    <w:p w14:paraId="5C9BB1F9">
      <w:pPr>
        <w:numPr>
          <w:ilvl w:val="0"/>
          <w:numId w:val="4"/>
        </w:numPr>
        <w:bidi w:val="0"/>
        <w:ind w:left="42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Excel file</w:t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输入：Excel 数据文件路径。</w:t>
      </w:r>
    </w:p>
    <w:p w14:paraId="7983CDAD">
      <w:pPr>
        <w:numPr>
          <w:ilvl w:val="0"/>
          <w:numId w:val="4"/>
        </w:numPr>
        <w:bidi w:val="0"/>
        <w:ind w:left="42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Sheet：工作表编号或名称。0 表示第一个工作表。</w:t>
      </w:r>
    </w:p>
    <w:p w14:paraId="3EF97289">
      <w:pPr>
        <w:numPr>
          <w:ilvl w:val="0"/>
          <w:numId w:val="4"/>
        </w:numPr>
        <w:bidi w:val="0"/>
        <w:ind w:left="42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Age column：年龄列名称，默认 Age。</w:t>
      </w:r>
    </w:p>
    <w:p w14:paraId="3850565C">
      <w:pPr>
        <w:numPr>
          <w:ilvl w:val="0"/>
          <w:numId w:val="4"/>
        </w:numPr>
        <w:bidi w:val="0"/>
        <w:ind w:left="42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Value column：指标列名称，默认 Value。</w:t>
      </w:r>
    </w:p>
    <w:p w14:paraId="0CF82860">
      <w:pPr>
        <w:numPr>
          <w:ilvl w:val="0"/>
          <w:numId w:val="4"/>
        </w:numPr>
        <w:bidi w:val="0"/>
        <w:ind w:left="42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Sort data by Age before analysis：是否在计算前按 Age 排序。通常建议勾选。</w:t>
      </w:r>
    </w:p>
    <w:p w14:paraId="58F220DD">
      <w:pPr>
        <w:numPr>
          <w:ilvl w:val="0"/>
          <w:numId w:val="4"/>
        </w:numPr>
        <w:bidi w:val="0"/>
        <w:ind w:left="42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Use Z-score normalized values for RoC analysis：是否将 Value 标准化为 Z_score 后再计算 RoC。适合不同指标之间进行相对比较。</w:t>
      </w:r>
    </w:p>
    <w:p w14:paraId="3C888F45">
      <w:pPr>
        <w:numPr>
          <w:ilvl w:val="0"/>
          <w:numId w:val="4"/>
        </w:numPr>
        <w:bidi w:val="0"/>
        <w:ind w:left="42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Output folder：结果输出文件夹。默认 outputs。</w:t>
      </w:r>
    </w:p>
    <w:p w14:paraId="53D82482">
      <w:pPr>
        <w:pStyle w:val="4"/>
        <w:bidi w:val="0"/>
        <w:rPr>
          <w:rFonts w:hint="default"/>
          <w:lang w:val="en-US" w:eastAsia="zh-CN"/>
        </w:rPr>
      </w:pPr>
      <w:bookmarkStart w:id="6" w:name="_Toc8334"/>
      <w:r>
        <w:rPr>
          <w:rFonts w:hint="default"/>
          <w:lang w:val="en-US" w:eastAsia="zh-CN"/>
        </w:rPr>
        <w:t xml:space="preserve">5.2 </w:t>
      </w:r>
      <w:r>
        <w:rPr>
          <w:rFonts w:hint="eastAsia"/>
          <w:lang w:val="en-US" w:eastAsia="zh-CN"/>
        </w:rPr>
        <w:t xml:space="preserve"> </w:t>
      </w:r>
      <w:r>
        <w:rPr>
          <w:rFonts w:hint="default" w:ascii="Times New Roman" w:hAnsi="Times New Roman" w:eastAsia="华文楷体" w:cs="Times New Roman"/>
          <w:lang w:val="en-US" w:eastAsia="zh-CN"/>
        </w:rPr>
        <w:t>RoC Settings 页面</w:t>
      </w:r>
      <w:bookmarkEnd w:id="6"/>
    </w:p>
    <w:p w14:paraId="4EC51A9F">
      <w:pPr>
        <w:rPr>
          <w:rFonts w:hint="default" w:ascii="Times New Roman" w:hAnsi="Times New Roman" w:eastAsia="方正仿宋_GB2312" w:cs="Times New Roman"/>
          <w:sz w:val="20"/>
          <w:lang w:val="en-US" w:eastAsia="zh-CN"/>
        </w:rPr>
      </w:pPr>
      <w:r>
        <w:rPr>
          <w:rFonts w:hint="default" w:ascii="Times New Roman" w:hAnsi="Times New Roman" w:eastAsia="方正仿宋_GB2312" w:cs="Times New Roman"/>
          <w:sz w:val="20"/>
          <w:lang w:val="en-US" w:eastAsia="zh-CN"/>
        </w:rPr>
        <w:drawing>
          <wp:inline distT="0" distB="0" distL="114300" distR="114300">
            <wp:extent cx="5725160" cy="3853815"/>
            <wp:effectExtent l="0" t="0" r="2540" b="6985"/>
            <wp:docPr id="2" name="图片 2" descr="07435a9b648fa335178dd69d3fa67b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7435a9b648fa335178dd69d3fa67b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9DFBF">
      <w:pPr>
        <w:numPr>
          <w:ilvl w:val="0"/>
          <w:numId w:val="5"/>
        </w:numPr>
        <w:bidi w:val="0"/>
        <w:ind w:left="42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Start age (kyr)：分析区间较老的一端。例如 67000 kyr。</w:t>
      </w:r>
    </w:p>
    <w:p w14:paraId="1CB2A362">
      <w:pPr>
        <w:numPr>
          <w:ilvl w:val="0"/>
          <w:numId w:val="5"/>
        </w:numPr>
        <w:bidi w:val="0"/>
        <w:ind w:left="42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End age (kyr)：分析区间较年轻的一端。例如 0 kyr。</w:t>
      </w:r>
    </w:p>
    <w:p w14:paraId="5E2F3E65">
      <w:pPr>
        <w:numPr>
          <w:ilvl w:val="0"/>
          <w:numId w:val="5"/>
        </w:numPr>
        <w:bidi w:val="0"/>
        <w:ind w:left="42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Step (kyr)：年龄节点间隔。例如 Step = 100 kyr，则生成 0, 100, 200 ... kyr 的年龄节点。</w:t>
      </w:r>
    </w:p>
    <w:p w14:paraId="32C2214C">
      <w:pPr>
        <w:numPr>
          <w:ilvl w:val="0"/>
          <w:numId w:val="5"/>
        </w:numPr>
        <w:bidi w:val="0"/>
        <w:ind w:left="42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Time-bin widths (kyr)：分析时间尺度列表。例如 100, 500, 1000。</w:t>
      </w:r>
    </w:p>
    <w:p w14:paraId="67963D53">
      <w:pPr>
        <w:numPr>
          <w:ilvl w:val="0"/>
          <w:numId w:val="5"/>
        </w:numPr>
        <w:bidi w:val="0"/>
        <w:ind w:left="42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Generate widths：快速生成连续时间尺度。例如 From 50、To 1000、Step 50 可生成 50–1000 kyr 每 50 kyr 一个尺度。</w:t>
      </w:r>
    </w:p>
    <w:p w14:paraId="6F4EB06B">
      <w:pPr>
        <w:numPr>
          <w:ilvl w:val="0"/>
          <w:numId w:val="5"/>
        </w:numPr>
        <w:bidi w:val="0"/>
        <w:ind w:left="42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IBR</w:t>
      </w:r>
      <w:r>
        <w:rPr>
          <w:rFonts w:hint="eastAsia"/>
          <w:sz w:val="24"/>
          <w:szCs w:val="24"/>
          <w:lang w:val="en-US" w:eastAsia="zh-CN"/>
        </w:rPr>
        <w:t xml:space="preserve"> (</w:t>
      </w:r>
      <w:r>
        <w:rPr>
          <w:rFonts w:hint="default"/>
          <w:sz w:val="24"/>
          <w:szCs w:val="24"/>
          <w:lang w:val="en-US" w:eastAsia="zh-CN"/>
        </w:rPr>
        <w:t>Inter-bin Rate</w:t>
      </w:r>
      <w:r>
        <w:rPr>
          <w:rFonts w:hint="eastAsia"/>
          <w:sz w:val="24"/>
          <w:szCs w:val="24"/>
          <w:lang w:val="en-US" w:eastAsia="zh-CN"/>
        </w:rPr>
        <w:t>)</w:t>
      </w:r>
      <w:r>
        <w:rPr>
          <w:rFonts w:hint="default"/>
          <w:sz w:val="24"/>
          <w:szCs w:val="24"/>
          <w:lang w:val="en-US" w:eastAsia="zh-CN"/>
        </w:rPr>
        <w:t>：先计算 time-bin mean，再插值，再计算相邻分析时间尺度大小的 bin 之间的变化率。</w:t>
      </w:r>
    </w:p>
    <w:p w14:paraId="31214E99">
      <w:pPr>
        <w:numPr>
          <w:ilvl w:val="0"/>
          <w:numId w:val="5"/>
        </w:numPr>
        <w:bidi w:val="0"/>
        <w:ind w:left="42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TS</w:t>
      </w:r>
      <w:r>
        <w:rPr>
          <w:rFonts w:hint="eastAsia"/>
          <w:sz w:val="24"/>
          <w:szCs w:val="24"/>
          <w:lang w:val="en-US" w:eastAsia="zh-CN"/>
        </w:rPr>
        <w:t xml:space="preserve"> (</w:t>
      </w:r>
      <w:r>
        <w:rPr>
          <w:rFonts w:hint="default"/>
          <w:sz w:val="24"/>
          <w:szCs w:val="24"/>
          <w:lang w:val="en-US" w:eastAsia="zh-CN"/>
        </w:rPr>
        <w:t>Theil-Sen slope</w:t>
      </w:r>
      <w:r>
        <w:rPr>
          <w:rFonts w:hint="eastAsia"/>
          <w:sz w:val="24"/>
          <w:szCs w:val="24"/>
          <w:lang w:val="en-US" w:eastAsia="zh-CN"/>
        </w:rPr>
        <w:t>)</w:t>
      </w:r>
      <w:r>
        <w:rPr>
          <w:rFonts w:hint="default"/>
          <w:sz w:val="24"/>
          <w:szCs w:val="24"/>
          <w:lang w:val="en-US" w:eastAsia="zh-CN"/>
        </w:rPr>
        <w:t>：在每个 time-bin 内计算稳健斜率。</w:t>
      </w:r>
    </w:p>
    <w:p w14:paraId="1E4F93A2">
      <w:pPr>
        <w:numPr>
          <w:ilvl w:val="0"/>
          <w:numId w:val="5"/>
        </w:numPr>
        <w:bidi w:val="0"/>
        <w:ind w:left="42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IQR</w:t>
      </w:r>
      <w:r>
        <w:rPr>
          <w:rFonts w:hint="eastAsia"/>
          <w:sz w:val="24"/>
          <w:szCs w:val="24"/>
          <w:lang w:val="en-US" w:eastAsia="zh-CN"/>
        </w:rPr>
        <w:t>(</w:t>
      </w:r>
      <w:r>
        <w:rPr>
          <w:rFonts w:hint="default"/>
          <w:sz w:val="24"/>
          <w:szCs w:val="24"/>
          <w:lang w:val="en-US" w:eastAsia="zh-CN"/>
        </w:rPr>
        <w:t>Interquartile range</w:t>
      </w:r>
      <w:r>
        <w:rPr>
          <w:rFonts w:hint="eastAsia"/>
          <w:sz w:val="24"/>
          <w:szCs w:val="24"/>
          <w:lang w:val="en-US" w:eastAsia="zh-CN"/>
        </w:rPr>
        <w:t>)</w:t>
      </w:r>
      <w:r>
        <w:rPr>
          <w:rFonts w:hint="default"/>
          <w:sz w:val="24"/>
          <w:szCs w:val="24"/>
          <w:lang w:val="en-US" w:eastAsia="zh-CN"/>
        </w:rPr>
        <w:t>：在每个 time-bin 内计算四分位距，反映 bin 内变异幅度。</w:t>
      </w:r>
    </w:p>
    <w:p w14:paraId="01DA6414">
      <w:pPr>
        <w:numPr>
          <w:ilvl w:val="0"/>
          <w:numId w:val="5"/>
        </w:numPr>
        <w:bidi w:val="0"/>
        <w:ind w:left="42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No interpolation：不对缺失值进行插值。</w:t>
      </w:r>
    </w:p>
    <w:p w14:paraId="4834BF6F">
      <w:pPr>
        <w:numPr>
          <w:ilvl w:val="0"/>
          <w:numId w:val="5"/>
        </w:numPr>
        <w:bidi w:val="0"/>
        <w:ind w:left="42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Linear interpolation：使用线性插值补齐缺失值。</w:t>
      </w:r>
    </w:p>
    <w:p w14:paraId="1584A51C">
      <w:pPr>
        <w:numPr>
          <w:ilvl w:val="0"/>
          <w:numId w:val="5"/>
        </w:numPr>
        <w:bidi w:val="0"/>
        <w:ind w:left="42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Distance-count weighted interpolation：同时考虑样本数量和距离的加权插值，默认推荐。</w:t>
      </w:r>
    </w:p>
    <w:p w14:paraId="3691BB17">
      <w:pPr>
        <w:numPr>
          <w:ilvl w:val="0"/>
          <w:numId w:val="5"/>
        </w:numPr>
        <w:bidi w:val="0"/>
        <w:ind w:left="42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Count weight alpha：加权插值中的样本数权重参数，仅 weighted interpolation 使用。</w:t>
      </w:r>
    </w:p>
    <w:p w14:paraId="52E23309">
      <w:pPr>
        <w:numPr>
          <w:ilvl w:val="0"/>
          <w:numId w:val="5"/>
        </w:numPr>
        <w:bidi w:val="0"/>
        <w:ind w:left="42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Distance weight beta：加权插值中的距离权重参数，仅 weighted interpolation 使用。</w:t>
      </w:r>
    </w:p>
    <w:p w14:paraId="6DE8E630">
      <w:pPr>
        <w:numPr>
          <w:ilvl w:val="0"/>
          <w:numId w:val="5"/>
        </w:numPr>
        <w:bidi w:val="0"/>
        <w:ind w:left="42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Edge mode：控制插值序列开头和结尾缺失值的处理方式：nearest、nan 或 zero。</w:t>
      </w:r>
    </w:p>
    <w:p w14:paraId="49AF7475">
      <w:pPr>
        <w:pStyle w:val="4"/>
        <w:bidi w:val="0"/>
        <w:rPr>
          <w:rFonts w:hint="default"/>
          <w:lang w:val="en-US" w:eastAsia="zh-CN"/>
        </w:rPr>
      </w:pPr>
      <w:bookmarkStart w:id="7" w:name="_Toc12171"/>
      <w:r>
        <w:rPr>
          <w:rFonts w:hint="default"/>
          <w:lang w:val="en-US" w:eastAsia="zh-CN"/>
        </w:rPr>
        <w:t xml:space="preserve">5.3 </w:t>
      </w:r>
      <w:r>
        <w:rPr>
          <w:rFonts w:hint="default" w:ascii="Times New Roman" w:hAnsi="Times New Roman" w:eastAsia="华文楷体" w:cs="Times New Roman"/>
          <w:lang w:val="en-US" w:eastAsia="zh-CN"/>
        </w:rPr>
        <w:t>Advanced Analysis 页面</w:t>
      </w:r>
      <w:bookmarkEnd w:id="7"/>
    </w:p>
    <w:p w14:paraId="3CAE300C">
      <w:pPr>
        <w:rPr>
          <w:rFonts w:hint="default" w:ascii="Times New Roman" w:hAnsi="Times New Roman" w:eastAsia="方正仿宋_GB2312" w:cs="Times New Roman"/>
          <w:sz w:val="20"/>
          <w:lang w:val="en-US" w:eastAsia="zh-CN"/>
        </w:rPr>
      </w:pPr>
      <w:r>
        <w:rPr>
          <w:rFonts w:hint="default" w:ascii="Times New Roman" w:hAnsi="Times New Roman" w:eastAsia="方正仿宋_GB2312" w:cs="Times New Roman"/>
          <w:sz w:val="20"/>
          <w:lang w:val="en-US" w:eastAsia="zh-CN"/>
        </w:rPr>
        <w:drawing>
          <wp:inline distT="0" distB="0" distL="114300" distR="114300">
            <wp:extent cx="5701665" cy="3837940"/>
            <wp:effectExtent l="0" t="0" r="635" b="10160"/>
            <wp:docPr id="3" name="图片 3" descr="a022377aa6fc20a8429c7b643f419b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022377aa6fc20a8429c7b643f419b7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1665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375C">
      <w:pPr>
        <w:numPr>
          <w:ilvl w:val="0"/>
          <w:numId w:val="6"/>
        </w:numPr>
        <w:bidi w:val="0"/>
        <w:ind w:left="42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LRI time-scale effect analysis and correction：分析 RoC 随时间尺度变化的规律，并生成时间尺度校正后的 relative RoC。</w:t>
      </w:r>
    </w:p>
    <w:p w14:paraId="15750D3D">
      <w:pPr>
        <w:numPr>
          <w:ilvl w:val="0"/>
          <w:numId w:val="6"/>
        </w:numPr>
        <w:bidi w:val="0"/>
        <w:ind w:left="42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nTV / Gini method evaluation：计算 nTV 和 Gini，用于评价不同方法和尺度下 RoC 序列的变异强度与不均匀性。</w:t>
      </w:r>
    </w:p>
    <w:p w14:paraId="55F8C621">
      <w:pPr>
        <w:numPr>
          <w:ilvl w:val="0"/>
          <w:numId w:val="6"/>
        </w:numPr>
        <w:bidi w:val="0"/>
        <w:ind w:left="42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Breakpoint analysis：包含 PWLF breakpoint detection、KDE consensus breakpoint detection 和 phase statistics。</w:t>
      </w:r>
    </w:p>
    <w:p w14:paraId="48BFFA43">
      <w:pPr>
        <w:numPr>
          <w:ilvl w:val="0"/>
          <w:numId w:val="6"/>
        </w:numPr>
        <w:bidi w:val="0"/>
        <w:ind w:left="42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Generate SVG and PNG summary figures：生成汇总图，默认输出 SVG 和 PNG。</w:t>
      </w:r>
    </w:p>
    <w:p w14:paraId="2A19962C">
      <w:pPr>
        <w:numPr>
          <w:ilvl w:val="0"/>
          <w:numId w:val="6"/>
        </w:numPr>
        <w:bidi w:val="0"/>
        <w:ind w:left="42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Breakpoint input：选择基于 raw RoC 还是 time-scale-corrected relative RoC 进行阶段分析。</w:t>
      </w:r>
    </w:p>
    <w:p w14:paraId="495265FB">
      <w:pPr>
        <w:numPr>
          <w:ilvl w:val="0"/>
          <w:numId w:val="6"/>
        </w:numPr>
        <w:bidi w:val="0"/>
        <w:ind w:left="42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Segments：PWLF 分段线性拟合的线段数，可输入多个值，例如 5, 6。</w:t>
      </w:r>
    </w:p>
    <w:p w14:paraId="51C74071">
      <w:pPr>
        <w:numPr>
          <w:ilvl w:val="0"/>
          <w:numId w:val="6"/>
        </w:numPr>
        <w:bidi w:val="0"/>
        <w:ind w:left="42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PWLF half-window：断点两侧局部统计比较的窗口大小。</w:t>
      </w:r>
    </w:p>
    <w:p w14:paraId="3787D936">
      <w:pPr>
        <w:numPr>
          <w:ilvl w:val="0"/>
          <w:numId w:val="6"/>
        </w:numPr>
        <w:bidi w:val="0"/>
        <w:ind w:left="42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PWLF min points：断点两侧进行统计检验所需的最小数据点数。</w:t>
      </w:r>
    </w:p>
    <w:p w14:paraId="4B31D6A5">
      <w:pPr>
        <w:numPr>
          <w:ilvl w:val="0"/>
          <w:numId w:val="6"/>
        </w:numPr>
        <w:bidi w:val="0"/>
        <w:ind w:left="42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KDE grid step：KDE 密度估计的年龄网格步长。</w:t>
      </w:r>
    </w:p>
    <w:p w14:paraId="6549EA87">
      <w:pPr>
        <w:numPr>
          <w:ilvl w:val="0"/>
          <w:numId w:val="6"/>
        </w:numPr>
        <w:bidi w:val="0"/>
        <w:ind w:left="42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KDE bandwidth：KDE 平滑窗口。较大值会合并相近断点，较小值保留更多局部峰。</w:t>
      </w:r>
    </w:p>
    <w:p w14:paraId="5ADB0655">
      <w:pPr>
        <w:numPr>
          <w:ilvl w:val="0"/>
          <w:numId w:val="6"/>
        </w:numPr>
        <w:bidi w:val="0"/>
        <w:ind w:left="420" w:leftChars="0" w:hanging="420" w:firstLineChars="0"/>
        <w:jc w:val="both"/>
        <w:rPr>
          <w:rFonts w:hint="default" w:ascii="Times New Roman" w:hAnsi="Times New Roman" w:eastAsia="方正仿宋_GB2312" w:cs="Times New Roman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Consensus breakpoints：最终保留的共识断点数量。</w:t>
      </w:r>
    </w:p>
    <w:p w14:paraId="4D6E9AB3">
      <w:pPr>
        <w:pStyle w:val="4"/>
        <w:bidi w:val="0"/>
        <w:rPr>
          <w:rFonts w:hint="default"/>
          <w:lang w:val="en-US" w:eastAsia="zh-CN"/>
        </w:rPr>
      </w:pPr>
      <w:bookmarkStart w:id="8" w:name="_Toc21430"/>
      <w:r>
        <w:rPr>
          <w:rFonts w:hint="default"/>
          <w:lang w:val="en-US" w:eastAsia="zh-CN"/>
        </w:rPr>
        <w:t xml:space="preserve">5.4 </w:t>
      </w:r>
      <w:r>
        <w:rPr>
          <w:rFonts w:hint="default" w:ascii="Times New Roman" w:hAnsi="Times New Roman" w:eastAsia="华文楷体" w:cs="Times New Roman"/>
          <w:lang w:val="en-US" w:eastAsia="zh-CN"/>
        </w:rPr>
        <w:t>Run &amp; Log 页面</w:t>
      </w:r>
      <w:bookmarkEnd w:id="8"/>
    </w:p>
    <w:p w14:paraId="049889B1">
      <w:pPr>
        <w:rPr>
          <w:rFonts w:hint="default" w:ascii="Times New Roman" w:hAnsi="Times New Roman" w:eastAsia="方正仿宋_GB2312" w:cs="Times New Roman"/>
          <w:sz w:val="20"/>
          <w:lang w:val="en-US" w:eastAsia="zh-CN"/>
        </w:rPr>
      </w:pPr>
      <w:r>
        <w:rPr>
          <w:rFonts w:hint="default" w:ascii="Times New Roman" w:hAnsi="Times New Roman" w:eastAsia="方正仿宋_GB2312" w:cs="Times New Roman"/>
          <w:sz w:val="20"/>
          <w:lang w:val="en-US" w:eastAsia="zh-CN"/>
        </w:rPr>
        <w:drawing>
          <wp:inline distT="0" distB="0" distL="114300" distR="114300">
            <wp:extent cx="5739765" cy="3863340"/>
            <wp:effectExtent l="0" t="0" r="635" b="10160"/>
            <wp:docPr id="4" name="图片 4" descr="2d2ef603084a7c23d59e70dfab39e0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d2ef603084a7c23d59e70dfab39e07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976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8DAE9">
      <w:pPr>
        <w:numPr>
          <w:ilvl w:val="0"/>
          <w:numId w:val="7"/>
        </w:numPr>
        <w:bidi w:val="0"/>
        <w:ind w:left="42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Check settings / Dry run：只检查配置和输入数据，不执行完整计算。建议每次正式运行前先点击。</w:t>
      </w:r>
    </w:p>
    <w:p w14:paraId="1D69F12F">
      <w:pPr>
        <w:numPr>
          <w:ilvl w:val="0"/>
          <w:numId w:val="7"/>
        </w:numPr>
        <w:bidi w:val="0"/>
        <w:ind w:left="42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Run workflow：开始完整计算。</w:t>
      </w:r>
    </w:p>
    <w:p w14:paraId="3C7C2E95">
      <w:pPr>
        <w:numPr>
          <w:ilvl w:val="0"/>
          <w:numId w:val="7"/>
        </w:numPr>
        <w:bidi w:val="0"/>
        <w:ind w:left="42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Stop：终止当前运行。</w:t>
      </w:r>
    </w:p>
    <w:p w14:paraId="35EDC2CC">
      <w:pPr>
        <w:numPr>
          <w:ilvl w:val="0"/>
          <w:numId w:val="7"/>
        </w:numPr>
        <w:bidi w:val="0"/>
        <w:ind w:left="42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Clear log</w:t>
      </w:r>
      <w:r>
        <w:rPr>
          <w:rFonts w:hint="default"/>
          <w:sz w:val="24"/>
          <w:szCs w:val="24"/>
          <w:lang w:val="en-US" w:eastAsia="zh-CN"/>
        </w:rPr>
        <w:tab/>
      </w:r>
      <w:r>
        <w:rPr>
          <w:rFonts w:hint="default"/>
          <w:sz w:val="24"/>
          <w:szCs w:val="24"/>
          <w:lang w:val="en-US" w:eastAsia="zh-CN"/>
        </w:rPr>
        <w:t>：清空日志窗口。</w:t>
      </w:r>
    </w:p>
    <w:p w14:paraId="5653668B">
      <w:pPr>
        <w:numPr>
          <w:ilvl w:val="0"/>
          <w:numId w:val="7"/>
        </w:numPr>
        <w:bidi w:val="0"/>
        <w:ind w:left="42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Open output folder：打开 outputs 结果文件夹。</w:t>
      </w:r>
    </w:p>
    <w:p w14:paraId="4415C24F">
      <w:pPr>
        <w:numPr>
          <w:ilvl w:val="0"/>
          <w:numId w:val="7"/>
        </w:numPr>
        <w:bidi w:val="0"/>
        <w:ind w:left="42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Estimated run time：运行时间提醒，仅为估计值，实际时间取决于数据量、时间尺度数量、PWLF/KDE 设置和电脑性能。</w:t>
      </w:r>
    </w:p>
    <w:p w14:paraId="058B1198">
      <w:pPr>
        <w:numPr>
          <w:ilvl w:val="0"/>
          <w:numId w:val="7"/>
        </w:numPr>
        <w:bidi w:val="0"/>
        <w:ind w:left="420" w:leftChars="0" w:hanging="420" w:firstLineChars="0"/>
        <w:jc w:val="both"/>
        <w:rPr>
          <w:rFonts w:hint="default" w:ascii="Times New Roman" w:hAnsi="Times New Roman" w:eastAsia="方正仿宋_GB2312" w:cs="Times New Roman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Progress：阶段式进度条，显示当前工作流进度。</w:t>
      </w:r>
    </w:p>
    <w:p w14:paraId="4575B114">
      <w:pPr>
        <w:pStyle w:val="4"/>
        <w:bidi w:val="0"/>
        <w:rPr>
          <w:rFonts w:hint="default"/>
          <w:lang w:val="en-US" w:eastAsia="zh-CN"/>
        </w:rPr>
      </w:pPr>
      <w:bookmarkStart w:id="9" w:name="_Toc16963"/>
      <w:r>
        <w:rPr>
          <w:rFonts w:hint="default"/>
          <w:lang w:val="en-US" w:eastAsia="zh-CN"/>
        </w:rPr>
        <w:t xml:space="preserve">5.5 </w:t>
      </w:r>
      <w:r>
        <w:rPr>
          <w:rFonts w:hint="default" w:ascii="Times New Roman" w:hAnsi="Times New Roman" w:eastAsia="华文楷体" w:cs="Times New Roman"/>
          <w:lang w:val="en-US" w:eastAsia="zh-CN"/>
        </w:rPr>
        <w:t>Results Preview 页面</w:t>
      </w:r>
      <w:bookmarkEnd w:id="9"/>
    </w:p>
    <w:p w14:paraId="764E9903">
      <w:pPr>
        <w:rPr>
          <w:rFonts w:hint="default" w:ascii="Times New Roman" w:hAnsi="Times New Roman" w:eastAsia="方正仿宋_GB2312" w:cs="Times New Roman"/>
          <w:sz w:val="20"/>
          <w:lang w:val="en-US" w:eastAsia="zh-CN"/>
        </w:rPr>
      </w:pPr>
      <w:r>
        <w:rPr>
          <w:rFonts w:hint="default" w:ascii="Times New Roman" w:hAnsi="Times New Roman" w:eastAsia="方正仿宋_GB2312" w:cs="Times New Roman"/>
          <w:sz w:val="20"/>
          <w:lang w:val="en-US" w:eastAsia="zh-CN"/>
        </w:rPr>
        <w:drawing>
          <wp:inline distT="0" distB="0" distL="114300" distR="114300">
            <wp:extent cx="5731510" cy="3857625"/>
            <wp:effectExtent l="0" t="0" r="8890" b="3175"/>
            <wp:docPr id="5" name="图片 5" descr="26d2f520fbab510045673fd76ad83d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6d2f520fbab510045673fd76ad83d4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61CA4">
      <w:pPr>
        <w:numPr>
          <w:ilvl w:val="0"/>
          <w:numId w:val="8"/>
        </w:numPr>
        <w:bidi w:val="0"/>
        <w:ind w:left="42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Output files：左侧文件树显示 outputs 文件夹内容。</w:t>
      </w:r>
    </w:p>
    <w:p w14:paraId="1A77BD8B">
      <w:pPr>
        <w:numPr>
          <w:ilvl w:val="0"/>
          <w:numId w:val="8"/>
        </w:numPr>
        <w:bidi w:val="0"/>
        <w:ind w:left="42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Preview：右侧可预览 Excel、CSV、TXT、PNG 等文件。</w:t>
      </w:r>
    </w:p>
    <w:p w14:paraId="1FD625AD">
      <w:pPr>
        <w:numPr>
          <w:ilvl w:val="0"/>
          <w:numId w:val="8"/>
        </w:numPr>
        <w:bidi w:val="0"/>
        <w:ind w:left="42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Refresh：刷新输出文件树。若结果没有立即显示，可点击此按钮。</w:t>
      </w:r>
    </w:p>
    <w:p w14:paraId="775E9457">
      <w:pPr>
        <w:numPr>
          <w:ilvl w:val="0"/>
          <w:numId w:val="8"/>
        </w:numPr>
        <w:bidi w:val="0"/>
        <w:ind w:left="42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Open selected file：用系统默认程序打开当前选中的文件。</w:t>
      </w:r>
    </w:p>
    <w:p w14:paraId="3525B30B">
      <w:pPr>
        <w:numPr>
          <w:ilvl w:val="0"/>
          <w:numId w:val="8"/>
        </w:numPr>
        <w:bidi w:val="0"/>
        <w:ind w:left="420" w:leftChars="0" w:hanging="420" w:firstLineChars="0"/>
        <w:jc w:val="both"/>
        <w:rPr>
          <w:rFonts w:hint="default" w:ascii="Times New Roman" w:hAnsi="Times New Roman" w:eastAsia="方正仿宋_GB2312" w:cs="Times New Roman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SVG 文件：GUI 中不嵌入预览，建议用浏览器、Illustrator</w:t>
      </w:r>
      <w:r>
        <w:rPr>
          <w:rFonts w:hint="eastAsia"/>
          <w:sz w:val="24"/>
          <w:szCs w:val="24"/>
          <w:lang w:val="en-US" w:eastAsia="zh-CN"/>
        </w:rPr>
        <w:t>等</w:t>
      </w:r>
      <w:r>
        <w:rPr>
          <w:rFonts w:hint="default"/>
          <w:sz w:val="24"/>
          <w:szCs w:val="24"/>
          <w:lang w:val="en-US" w:eastAsia="zh-CN"/>
        </w:rPr>
        <w:t>矢量图软件打开。</w:t>
      </w:r>
    </w:p>
    <w:p w14:paraId="747CFD3F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</w:p>
    <w:p w14:paraId="669BC034">
      <w:pPr>
        <w:pStyle w:val="3"/>
        <w:bidi w:val="0"/>
        <w:rPr>
          <w:rFonts w:hint="default"/>
          <w:lang w:val="en-US" w:eastAsia="zh-CN"/>
        </w:rPr>
      </w:pPr>
      <w:bookmarkStart w:id="10" w:name="_Toc14883"/>
      <w:r>
        <w:rPr>
          <w:rFonts w:hint="default"/>
          <w:lang w:val="en-US" w:eastAsia="zh-CN"/>
        </w:rPr>
        <w:t>配置文件说明</w:t>
      </w:r>
      <w:bookmarkEnd w:id="10"/>
    </w:p>
    <w:p w14:paraId="17AF59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RoC Workflow 使用 YAML 配置文件保存默认参数和高级参数。GUI 中可见的参数会覆盖 base config file 中对应设置；GUI 中没有显示的高级参数仍由 base config file 控制。</w:t>
      </w:r>
    </w:p>
    <w:p w14:paraId="719EC7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</w:p>
    <w:p w14:paraId="4E05A6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</w:p>
    <w:p w14:paraId="284738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</w:p>
    <w:p w14:paraId="545C29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</w:rPr>
      </w:pPr>
    </w:p>
    <w:p w14:paraId="04B4306F">
      <w:pPr>
        <w:pStyle w:val="3"/>
        <w:bidi w:val="0"/>
        <w:rPr>
          <w:rFonts w:hint="default"/>
          <w:lang w:val="en-US" w:eastAsia="zh-CN"/>
        </w:rPr>
      </w:pPr>
      <w:bookmarkStart w:id="11" w:name="_Toc18909"/>
      <w:r>
        <w:rPr>
          <w:rFonts w:hint="default"/>
          <w:lang w:val="en-US" w:eastAsia="zh-CN"/>
        </w:rPr>
        <w:t>输出结果说明</w:t>
      </w:r>
      <w:bookmarkEnd w:id="11"/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803"/>
      </w:tblGrid>
      <w:tr w14:paraId="3F341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7D7D7" w:themeFill="background1" w:themeFillShade="D8"/>
            <w:vAlign w:val="top"/>
          </w:tcPr>
          <w:p w14:paraId="3FD134CD">
            <w:pPr>
              <w:spacing w:after="0" w:line="360" w:lineRule="auto"/>
              <w:ind w:firstLine="0"/>
              <w:jc w:val="center"/>
              <w:rPr>
                <w:rFonts w:hint="eastAsia" w:ascii="Times New Roman" w:hAnsi="Times New Roman" w:eastAsia="仿宋" w:cs="Times New Roman"/>
                <w:b/>
                <w:bCs/>
                <w:sz w:val="19"/>
                <w:lang w:eastAsia="zh-CN"/>
              </w:rPr>
            </w:pPr>
            <w:r>
              <w:rPr>
                <w:rFonts w:hint="eastAsia" w:cs="Times New Roman"/>
                <w:b/>
                <w:bCs/>
                <w:sz w:val="19"/>
                <w:lang w:val="en-US" w:eastAsia="zh-CN"/>
              </w:rPr>
              <w:t>文件夹</w:t>
            </w:r>
          </w:p>
        </w:tc>
        <w:tc>
          <w:tcPr>
            <w:tcW w:w="6803" w:type="dxa"/>
            <w:shd w:val="clear" w:color="auto" w:fill="D7D7D7" w:themeFill="background1" w:themeFillShade="D8"/>
            <w:vAlign w:val="top"/>
          </w:tcPr>
          <w:p w14:paraId="62CDEB07">
            <w:pPr>
              <w:spacing w:after="0" w:line="360" w:lineRule="auto"/>
              <w:ind w:firstLine="0"/>
              <w:jc w:val="center"/>
              <w:rPr>
                <w:rFonts w:hint="default" w:ascii="Times New Roman" w:hAnsi="Times New Roman" w:eastAsia="仿宋" w:cs="Times New Roman"/>
                <w:b/>
                <w:bCs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19"/>
              </w:rPr>
              <w:t>说明</w:t>
            </w:r>
          </w:p>
        </w:tc>
      </w:tr>
      <w:tr w14:paraId="4752B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258D9A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00_preprocessed</w:t>
            </w:r>
          </w:p>
        </w:tc>
        <w:tc>
          <w:tcPr>
            <w:tcW w:w="6803" w:type="dxa"/>
            <w:vAlign w:val="top"/>
          </w:tcPr>
          <w:p w14:paraId="00CB10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预处理后的输入数据，包括去除无效值、重复 Age 平均、可选 Z-score 标准化等结果。</w:t>
            </w:r>
          </w:p>
        </w:tc>
      </w:tr>
      <w:tr w14:paraId="0FDEB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060621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01_timebin</w:t>
            </w:r>
          </w:p>
        </w:tc>
        <w:tc>
          <w:tcPr>
            <w:tcW w:w="6803" w:type="dxa"/>
            <w:vAlign w:val="top"/>
          </w:tcPr>
          <w:p w14:paraId="31C355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原始 time-bin 计算结果。IBR 对应 Mean_origin；TS/IQR 对应 Rate_origin。</w:t>
            </w:r>
          </w:p>
        </w:tc>
      </w:tr>
      <w:tr w14:paraId="488B7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0AF146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02_interpolated</w:t>
            </w:r>
          </w:p>
        </w:tc>
        <w:tc>
          <w:tcPr>
            <w:tcW w:w="6803" w:type="dxa"/>
            <w:vAlign w:val="top"/>
          </w:tcPr>
          <w:p w14:paraId="28DAAD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插值后的中间结果。</w:t>
            </w:r>
            <w:r>
              <w:rPr>
                <w:rFonts w:hint="default" w:ascii="Times New Roman" w:hAnsi="Times New Roman" w:eastAsia="仿宋" w:cs="Times New Roman"/>
                <w:sz w:val="19"/>
                <w:lang w:val="en-US" w:eastAsia="zh-CN"/>
              </w:rPr>
              <w:t>因计算方式不同，</w:t>
            </w:r>
            <w:r>
              <w:rPr>
                <w:rFonts w:hint="default" w:ascii="Times New Roman" w:hAnsi="Times New Roman" w:eastAsia="仿宋" w:cs="Times New Roman"/>
                <w:sz w:val="19"/>
              </w:rPr>
              <w:t>IBR 为</w:t>
            </w:r>
            <w:r>
              <w:rPr>
                <w:rFonts w:hint="default" w:ascii="Times New Roman" w:hAnsi="Times New Roman" w:eastAsia="仿宋" w:cs="Times New Roman"/>
                <w:sz w:val="19"/>
                <w:lang w:val="en-US" w:eastAsia="zh-CN"/>
              </w:rPr>
              <w:t>bin取均值后对空值bin进行插值，再计算RoC</w:t>
            </w:r>
            <w:r>
              <w:rPr>
                <w:rFonts w:hint="default" w:ascii="Times New Roman" w:hAnsi="Times New Roman" w:eastAsia="仿宋" w:cs="Times New Roman"/>
                <w:sz w:val="19"/>
              </w:rPr>
              <w:t>；TS/IQR 为</w:t>
            </w:r>
            <w:r>
              <w:rPr>
                <w:rFonts w:hint="default" w:ascii="Times New Roman" w:hAnsi="Times New Roman" w:eastAsia="仿宋" w:cs="Times New Roman"/>
                <w:sz w:val="19"/>
                <w:lang w:val="en-US" w:eastAsia="zh-CN"/>
              </w:rPr>
              <w:t>各个bin直接计算RoC再对空值</w:t>
            </w:r>
            <w:r>
              <w:rPr>
                <w:rFonts w:hint="default" w:ascii="Times New Roman" w:hAnsi="Times New Roman" w:eastAsia="仿宋" w:cs="Times New Roman"/>
                <w:sz w:val="19"/>
              </w:rPr>
              <w:t xml:space="preserve"> </w:t>
            </w:r>
            <w:r>
              <w:rPr>
                <w:rFonts w:hint="default" w:ascii="Times New Roman" w:hAnsi="Times New Roman" w:eastAsia="仿宋" w:cs="Times New Roman"/>
                <w:sz w:val="19"/>
                <w:lang w:val="en-US" w:eastAsia="zh-CN"/>
              </w:rPr>
              <w:t>bin进行插值。所以此文件夹中</w:t>
            </w:r>
            <w:r>
              <w:rPr>
                <w:rFonts w:hint="default" w:ascii="Times New Roman" w:hAnsi="Times New Roman" w:eastAsia="仿宋" w:cs="Times New Roman"/>
                <w:sz w:val="19"/>
              </w:rPr>
              <w:t>IBR 对应 Mean_origin；TS/IQR 对应 Rate_origin。</w:t>
            </w:r>
          </w:p>
        </w:tc>
      </w:tr>
      <w:tr w14:paraId="33558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0B561A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03_rate</w:t>
            </w:r>
          </w:p>
        </w:tc>
        <w:tc>
          <w:tcPr>
            <w:tcW w:w="6803" w:type="dxa"/>
            <w:vAlign w:val="top"/>
          </w:tcPr>
          <w:p w14:paraId="1D5B0A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最终 RoC  序列，是后续合并、LRI、metrics、PWLF、KDE 和 phase 分析的基础。</w:t>
            </w:r>
          </w:p>
        </w:tc>
      </w:tr>
      <w:tr w14:paraId="5CA88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2CA860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04_merged</w:t>
            </w:r>
          </w:p>
        </w:tc>
        <w:tc>
          <w:tcPr>
            <w:tcW w:w="6803" w:type="dxa"/>
            <w:vAlign w:val="top"/>
          </w:tcPr>
          <w:p w14:paraId="3206F6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多时间尺度合并表，每个方法一个 all_timescales 表。</w:t>
            </w:r>
          </w:p>
        </w:tc>
      </w:tr>
      <w:tr w14:paraId="203B2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569CBC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05_lri</w:t>
            </w:r>
          </w:p>
        </w:tc>
        <w:tc>
          <w:tcPr>
            <w:tcW w:w="6803" w:type="dxa"/>
            <w:vAlign w:val="top"/>
          </w:tcPr>
          <w:p w14:paraId="518EA6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LRI 回归结果、回归点表和分位点表。</w:t>
            </w:r>
          </w:p>
        </w:tc>
      </w:tr>
      <w:tr w14:paraId="0A74B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56D863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06_normalized</w:t>
            </w:r>
          </w:p>
        </w:tc>
        <w:tc>
          <w:tcPr>
            <w:tcW w:w="6803" w:type="dxa"/>
            <w:vAlign w:val="top"/>
          </w:tcPr>
          <w:p w14:paraId="5EAA33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时间尺度校正后的 relative RoC 表。</w:t>
            </w:r>
          </w:p>
        </w:tc>
      </w:tr>
      <w:tr w14:paraId="56051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5D1DD1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07_metrics</w:t>
            </w:r>
          </w:p>
        </w:tc>
        <w:tc>
          <w:tcPr>
            <w:tcW w:w="6803" w:type="dxa"/>
            <w:vAlign w:val="top"/>
          </w:tcPr>
          <w:p w14:paraId="686334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nTV 和 Gini 指标评价结果。</w:t>
            </w:r>
          </w:p>
        </w:tc>
      </w:tr>
      <w:tr w14:paraId="51A8C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785C2B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08_pwlf</w:t>
            </w:r>
          </w:p>
        </w:tc>
        <w:tc>
          <w:tcPr>
            <w:tcW w:w="6803" w:type="dxa"/>
            <w:vAlign w:val="top"/>
          </w:tcPr>
          <w:p w14:paraId="33CB0D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PWLF breakpoint detection 结果。</w:t>
            </w:r>
          </w:p>
        </w:tc>
      </w:tr>
      <w:tr w14:paraId="175A5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1D4CE0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09_kde</w:t>
            </w:r>
          </w:p>
        </w:tc>
        <w:tc>
          <w:tcPr>
            <w:tcW w:w="6803" w:type="dxa"/>
            <w:vAlign w:val="top"/>
          </w:tcPr>
          <w:p w14:paraId="1A29EE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KDE consensus breakpoint detection 结果。</w:t>
            </w:r>
          </w:p>
        </w:tc>
      </w:tr>
      <w:tr w14:paraId="7B146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5A6D04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10_phase</w:t>
            </w:r>
          </w:p>
        </w:tc>
        <w:tc>
          <w:tcPr>
            <w:tcW w:w="6803" w:type="dxa"/>
            <w:vAlign w:val="top"/>
          </w:tcPr>
          <w:p w14:paraId="4B4211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阶段划分和阶段均值统计结果。</w:t>
            </w:r>
          </w:p>
        </w:tc>
      </w:tr>
      <w:tr w14:paraId="065EB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34407D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12_figures</w:t>
            </w:r>
          </w:p>
        </w:tc>
        <w:tc>
          <w:tcPr>
            <w:tcW w:w="6803" w:type="dxa"/>
            <w:vAlign w:val="top"/>
          </w:tcPr>
          <w:p w14:paraId="7B6C5B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自动生成的 SVG 和 PNG 汇总图。当前版本会绘制所有已计算的 Timescale_* 尺度。</w:t>
            </w:r>
          </w:p>
        </w:tc>
      </w:tr>
      <w:tr w14:paraId="65955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573067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run_summary.txt</w:t>
            </w:r>
          </w:p>
        </w:tc>
        <w:tc>
          <w:tcPr>
            <w:tcW w:w="6803" w:type="dxa"/>
            <w:vAlign w:val="top"/>
          </w:tcPr>
          <w:p w14:paraId="0D1671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本次运行参数和输出文件摘要。</w:t>
            </w:r>
          </w:p>
        </w:tc>
      </w:tr>
    </w:tbl>
    <w:p w14:paraId="2215834F">
      <w:pPr>
        <w:bidi w:val="0"/>
        <w:rPr>
          <w:rFonts w:hint="default"/>
          <w:lang w:val="en-US" w:eastAsia="zh-CN"/>
        </w:rPr>
      </w:pPr>
    </w:p>
    <w:p w14:paraId="5B7ADDF1">
      <w:pPr>
        <w:bidi w:val="0"/>
        <w:rPr>
          <w:rFonts w:hint="default"/>
          <w:lang w:val="en-US" w:eastAsia="zh-CN"/>
        </w:rPr>
      </w:pPr>
    </w:p>
    <w:p w14:paraId="2207E5A6">
      <w:pPr>
        <w:rPr>
          <w:rFonts w:hint="default"/>
          <w:lang w:val="en-US" w:eastAsia="zh-CN"/>
        </w:rPr>
      </w:pPr>
    </w:p>
    <w:p w14:paraId="0470C352">
      <w:pPr>
        <w:rPr>
          <w:rFonts w:hint="default"/>
          <w:lang w:val="en-US" w:eastAsia="zh-CN"/>
        </w:rPr>
      </w:pPr>
    </w:p>
    <w:p w14:paraId="4A8E48A2">
      <w:pPr>
        <w:rPr>
          <w:rFonts w:hint="default"/>
          <w:lang w:val="en-US" w:eastAsia="zh-CN"/>
        </w:rPr>
      </w:pPr>
    </w:p>
    <w:p w14:paraId="109EE079">
      <w:pPr>
        <w:pStyle w:val="3"/>
        <w:bidi w:val="0"/>
        <w:rPr>
          <w:rFonts w:hint="default"/>
          <w:lang w:val="en-US" w:eastAsia="zh-CN"/>
        </w:rPr>
      </w:pPr>
      <w:bookmarkStart w:id="12" w:name="_Toc11988"/>
      <w:r>
        <w:rPr>
          <w:rFonts w:hint="default"/>
          <w:lang w:val="en-US" w:eastAsia="zh-CN"/>
        </w:rPr>
        <w:t>主要输出表格字段解释</w:t>
      </w:r>
      <w:bookmarkEnd w:id="12"/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803"/>
      </w:tblGrid>
      <w:tr w14:paraId="32BB3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7D7D7" w:themeFill="background1" w:themeFillShade="D8"/>
            <w:vAlign w:val="top"/>
          </w:tcPr>
          <w:p w14:paraId="5D4FBC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  <w:rPr>
                <w:rFonts w:hint="eastAsia" w:ascii="Times New Roman" w:hAnsi="Times New Roman" w:eastAsia="仿宋" w:cs="Times New Roman"/>
                <w:b/>
                <w:bCs/>
                <w:sz w:val="19"/>
                <w:lang w:eastAsia="zh-CN"/>
              </w:rPr>
            </w:pPr>
            <w:r>
              <w:rPr>
                <w:rFonts w:hint="eastAsia" w:cs="Times New Roman"/>
                <w:b/>
                <w:bCs/>
                <w:sz w:val="19"/>
                <w:lang w:val="en-US" w:eastAsia="zh-CN"/>
              </w:rPr>
              <w:t>字段</w:t>
            </w:r>
          </w:p>
        </w:tc>
        <w:tc>
          <w:tcPr>
            <w:tcW w:w="6803" w:type="dxa"/>
            <w:shd w:val="clear" w:color="auto" w:fill="D7D7D7" w:themeFill="background1" w:themeFillShade="D8"/>
            <w:vAlign w:val="top"/>
          </w:tcPr>
          <w:p w14:paraId="1C2787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仿宋" w:cs="Times New Roman"/>
                <w:b/>
                <w:bCs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19"/>
              </w:rPr>
              <w:t>说明</w:t>
            </w:r>
          </w:p>
        </w:tc>
      </w:tr>
      <w:tr w14:paraId="2D0BF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6FE34C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Time_bin</w:t>
            </w:r>
          </w:p>
        </w:tc>
        <w:tc>
          <w:tcPr>
            <w:tcW w:w="6803" w:type="dxa"/>
            <w:vAlign w:val="top"/>
          </w:tcPr>
          <w:p w14:paraId="07D5D3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time-bin 编号。</w:t>
            </w:r>
          </w:p>
        </w:tc>
      </w:tr>
      <w:tr w14:paraId="46BDF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330DA9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Age_node</w:t>
            </w:r>
          </w:p>
        </w:tc>
        <w:tc>
          <w:tcPr>
            <w:tcW w:w="6803" w:type="dxa"/>
            <w:vAlign w:val="top"/>
          </w:tcPr>
          <w:p w14:paraId="095864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time-bin 的中心年龄节点。</w:t>
            </w:r>
          </w:p>
        </w:tc>
      </w:tr>
      <w:tr w14:paraId="5DE20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676220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Timebin_width_kyr</w:t>
            </w:r>
          </w:p>
        </w:tc>
        <w:tc>
          <w:tcPr>
            <w:tcW w:w="6803" w:type="dxa"/>
            <w:vAlign w:val="top"/>
          </w:tcPr>
          <w:p w14:paraId="20367E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分析时间尺度或 time-bin 宽度。</w:t>
            </w:r>
          </w:p>
        </w:tc>
      </w:tr>
      <w:tr w14:paraId="37FC1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12A0EA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Counts</w:t>
            </w:r>
          </w:p>
        </w:tc>
        <w:tc>
          <w:tcPr>
            <w:tcW w:w="6803" w:type="dxa"/>
            <w:vAlign w:val="top"/>
          </w:tcPr>
          <w:p w14:paraId="7E2F52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该 time-bin 中的数据点数量。</w:t>
            </w:r>
          </w:p>
        </w:tc>
      </w:tr>
      <w:tr w14:paraId="30FB2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49AF96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Age_unique</w:t>
            </w:r>
          </w:p>
        </w:tc>
        <w:tc>
          <w:tcPr>
            <w:tcW w:w="6803" w:type="dxa"/>
            <w:vAlign w:val="top"/>
          </w:tcPr>
          <w:p w14:paraId="22C01B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该 time-bin 中不同年龄点数量。</w:t>
            </w:r>
          </w:p>
        </w:tc>
      </w:tr>
      <w:tr w14:paraId="62BA2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42FBB0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Metric</w:t>
            </w:r>
          </w:p>
        </w:tc>
        <w:tc>
          <w:tcPr>
            <w:tcW w:w="6803" w:type="dxa"/>
            <w:vAlign w:val="top"/>
          </w:tcPr>
          <w:p w14:paraId="781870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当前计算指标：mean、ts 或 iqr。</w:t>
            </w:r>
          </w:p>
        </w:tc>
      </w:tr>
      <w:tr w14:paraId="251B3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3F1D6A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Mean_origin</w:t>
            </w:r>
          </w:p>
        </w:tc>
        <w:tc>
          <w:tcPr>
            <w:tcW w:w="6803" w:type="dxa"/>
            <w:vAlign w:val="top"/>
          </w:tcPr>
          <w:p w14:paraId="117F98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原始 time-bin mean，主要用于 IBR 流程。</w:t>
            </w:r>
          </w:p>
        </w:tc>
      </w:tr>
      <w:tr w14:paraId="79A02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66FEF1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Mean_interp</w:t>
            </w:r>
          </w:p>
        </w:tc>
        <w:tc>
          <w:tcPr>
            <w:tcW w:w="6803" w:type="dxa"/>
            <w:vAlign w:val="top"/>
          </w:tcPr>
          <w:p w14:paraId="292FA5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插值后的 time-bin mean。</w:t>
            </w:r>
          </w:p>
        </w:tc>
      </w:tr>
      <w:tr w14:paraId="25A14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720239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Rate_origin</w:t>
            </w:r>
          </w:p>
        </w:tc>
        <w:tc>
          <w:tcPr>
            <w:tcW w:w="6803" w:type="dxa"/>
            <w:vAlign w:val="top"/>
          </w:tcPr>
          <w:p w14:paraId="210624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TS 或 IQR 的原始 bin-level 结果。</w:t>
            </w:r>
          </w:p>
        </w:tc>
      </w:tr>
      <w:tr w14:paraId="4248C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14ECC9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Rate_interp</w:t>
            </w:r>
          </w:p>
        </w:tc>
        <w:tc>
          <w:tcPr>
            <w:tcW w:w="6803" w:type="dxa"/>
            <w:vAlign w:val="top"/>
          </w:tcPr>
          <w:p w14:paraId="59FBD4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插值后的 TS 或 IQR 结果。</w:t>
            </w:r>
          </w:p>
        </w:tc>
      </w:tr>
      <w:tr w14:paraId="48CB0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4E6429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Age_kyr</w:t>
            </w:r>
          </w:p>
        </w:tc>
        <w:tc>
          <w:tcPr>
            <w:tcW w:w="6803" w:type="dxa"/>
            <w:vAlign w:val="top"/>
          </w:tcPr>
          <w:p w14:paraId="72A0ED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最终 RoC 序列的年龄。</w:t>
            </w:r>
          </w:p>
        </w:tc>
      </w:tr>
      <w:tr w14:paraId="28823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306CC0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Rate</w:t>
            </w:r>
          </w:p>
        </w:tc>
        <w:tc>
          <w:tcPr>
            <w:tcW w:w="6803" w:type="dxa"/>
            <w:vAlign w:val="top"/>
          </w:tcPr>
          <w:p w14:paraId="621F19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最终用于后续分析的 RoC 或 RoC-related 值。</w:t>
            </w:r>
          </w:p>
        </w:tc>
      </w:tr>
      <w:tr w14:paraId="29CBD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101E0B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IQR_quartile_method</w:t>
            </w:r>
          </w:p>
        </w:tc>
        <w:tc>
          <w:tcPr>
            <w:tcW w:w="6803" w:type="dxa"/>
            <w:vAlign w:val="top"/>
          </w:tcPr>
          <w:p w14:paraId="53AB72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IQR 使用的四分位数方法：inc 或 exc。</w:t>
            </w:r>
          </w:p>
        </w:tc>
      </w:tr>
      <w:tr w14:paraId="2AB33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334D52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IQR_min_count</w:t>
            </w:r>
          </w:p>
        </w:tc>
        <w:tc>
          <w:tcPr>
            <w:tcW w:w="6803" w:type="dxa"/>
            <w:vAlign w:val="top"/>
          </w:tcPr>
          <w:p w14:paraId="4036A0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计算 IQR 所需的最小有限数值数量。</w:t>
            </w:r>
          </w:p>
        </w:tc>
      </w:tr>
    </w:tbl>
    <w:p w14:paraId="1E238EE3">
      <w:pPr>
        <w:bidi w:val="0"/>
        <w:rPr>
          <w:rFonts w:hint="default"/>
          <w:lang w:val="en-US" w:eastAsia="zh-CN"/>
        </w:rPr>
      </w:pPr>
    </w:p>
    <w:p w14:paraId="136F2F22">
      <w:pPr>
        <w:bidi w:val="0"/>
        <w:rPr>
          <w:rFonts w:hint="default"/>
          <w:lang w:val="en-US" w:eastAsia="zh-CN"/>
        </w:rPr>
      </w:pPr>
    </w:p>
    <w:p w14:paraId="2FF8352C">
      <w:pPr>
        <w:rPr>
          <w:rFonts w:hint="default"/>
          <w:lang w:val="en-US" w:eastAsia="zh-CN"/>
        </w:rPr>
      </w:pPr>
    </w:p>
    <w:p w14:paraId="031167EE">
      <w:pPr>
        <w:rPr>
          <w:rFonts w:hint="default"/>
          <w:lang w:val="en-US" w:eastAsia="zh-CN"/>
        </w:rPr>
      </w:pPr>
    </w:p>
    <w:p w14:paraId="0BBE0297">
      <w:pPr>
        <w:rPr>
          <w:rFonts w:hint="default"/>
          <w:lang w:val="en-US" w:eastAsia="zh-CN"/>
        </w:rPr>
      </w:pPr>
    </w:p>
    <w:p w14:paraId="560ADE2C">
      <w:pPr>
        <w:rPr>
          <w:rFonts w:hint="default"/>
          <w:lang w:val="en-US" w:eastAsia="zh-CN"/>
        </w:rPr>
      </w:pPr>
    </w:p>
    <w:p w14:paraId="4DED6E79">
      <w:pPr>
        <w:rPr>
          <w:rFonts w:hint="default"/>
          <w:lang w:val="en-US" w:eastAsia="zh-CN"/>
        </w:rPr>
      </w:pPr>
    </w:p>
    <w:p w14:paraId="7A7CCB7C">
      <w:pPr>
        <w:pStyle w:val="3"/>
        <w:bidi w:val="0"/>
        <w:rPr>
          <w:rFonts w:hint="default"/>
          <w:lang w:val="en-US" w:eastAsia="zh-CN"/>
        </w:rPr>
      </w:pPr>
      <w:bookmarkStart w:id="13" w:name="_Toc5358"/>
      <w:r>
        <w:rPr>
          <w:rFonts w:hint="default"/>
          <w:lang w:val="en-US" w:eastAsia="zh-CN"/>
        </w:rPr>
        <w:t>方法原理简述</w:t>
      </w:r>
      <w:bookmarkEnd w:id="13"/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7"/>
        <w:gridCol w:w="7005"/>
      </w:tblGrid>
      <w:tr w14:paraId="129B1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7" w:type="dxa"/>
            <w:shd w:val="clear" w:color="auto" w:fill="D7D7D7" w:themeFill="background1" w:themeFillShade="D8"/>
            <w:vAlign w:val="top"/>
          </w:tcPr>
          <w:p w14:paraId="3871EB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  <w:rPr>
                <w:rFonts w:hint="eastAsia" w:ascii="Times New Roman" w:hAnsi="Times New Roman" w:eastAsia="仿宋" w:cs="Times New Roman"/>
                <w:b/>
                <w:bCs/>
                <w:sz w:val="19"/>
                <w:lang w:eastAsia="zh-CN"/>
              </w:rPr>
            </w:pPr>
            <w:r>
              <w:rPr>
                <w:rFonts w:hint="eastAsia" w:cs="Times New Roman"/>
                <w:b/>
                <w:bCs/>
                <w:sz w:val="19"/>
                <w:lang w:val="en-US" w:eastAsia="zh-CN"/>
              </w:rPr>
              <w:t>方法</w:t>
            </w:r>
          </w:p>
        </w:tc>
        <w:tc>
          <w:tcPr>
            <w:tcW w:w="7005" w:type="dxa"/>
            <w:shd w:val="clear" w:color="auto" w:fill="D7D7D7" w:themeFill="background1" w:themeFillShade="D8"/>
            <w:vAlign w:val="top"/>
          </w:tcPr>
          <w:p w14:paraId="6854B3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仿宋" w:cs="Times New Roman"/>
                <w:b/>
                <w:bCs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19"/>
              </w:rPr>
              <w:t>说明</w:t>
            </w:r>
          </w:p>
        </w:tc>
      </w:tr>
      <w:tr w14:paraId="05844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7" w:type="dxa"/>
            <w:vAlign w:val="top"/>
          </w:tcPr>
          <w:p w14:paraId="724D0B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IBR</w:t>
            </w:r>
          </w:p>
        </w:tc>
        <w:tc>
          <w:tcPr>
            <w:tcW w:w="7005" w:type="dxa"/>
            <w:vAlign w:val="top"/>
          </w:tcPr>
          <w:p w14:paraId="1E7829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Inter-bin Rate。先在每个 time-bin 内计算均值，然后对均值序列插值，再计算相隔一个 time-bin width 的两个非重叠 bin 均值之间的绝对变化率。</w:t>
            </w:r>
          </w:p>
        </w:tc>
      </w:tr>
      <w:tr w14:paraId="33638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7" w:type="dxa"/>
            <w:vAlign w:val="top"/>
          </w:tcPr>
          <w:p w14:paraId="08CD9F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TS</w:t>
            </w:r>
          </w:p>
        </w:tc>
        <w:tc>
          <w:tcPr>
            <w:tcW w:w="7005" w:type="dxa"/>
            <w:vAlign w:val="top"/>
          </w:tcPr>
          <w:p w14:paraId="4D38F9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Theil-Sen slope。在每个 time-bin 内计算稳健斜率，并取绝对值作为 RoC 相关指标。适合降低异常值对趋势估计的影响。</w:t>
            </w:r>
          </w:p>
        </w:tc>
      </w:tr>
      <w:tr w14:paraId="2D64B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7" w:type="dxa"/>
            <w:vAlign w:val="top"/>
          </w:tcPr>
          <w:p w14:paraId="43AC44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IQR</w:t>
            </w:r>
          </w:p>
        </w:tc>
        <w:tc>
          <w:tcPr>
            <w:tcW w:w="7005" w:type="dxa"/>
            <w:vAlign w:val="top"/>
          </w:tcPr>
          <w:p w14:paraId="507037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Interquartile range。计算 time-bin 内 Q3−Q1，反映 bin 内变异幅度。IQR 是 RoC-related variability metric，不是严格意义上的直接变化率。</w:t>
            </w:r>
          </w:p>
        </w:tc>
      </w:tr>
      <w:tr w14:paraId="49F9B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7" w:type="dxa"/>
            <w:vAlign w:val="top"/>
          </w:tcPr>
          <w:p w14:paraId="5C0137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LRI</w:t>
            </w:r>
          </w:p>
        </w:tc>
        <w:tc>
          <w:tcPr>
            <w:tcW w:w="7005" w:type="dxa"/>
            <w:vAlign w:val="top"/>
          </w:tcPr>
          <w:p w14:paraId="3B86B4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Log-log regression index，用于描述 RoC 与分析时间尺度之间的关系，并用于时间尺度效应校正。</w:t>
            </w:r>
          </w:p>
        </w:tc>
      </w:tr>
      <w:tr w14:paraId="26A1E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7" w:type="dxa"/>
            <w:vAlign w:val="top"/>
          </w:tcPr>
          <w:p w14:paraId="67EA4E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nTV</w:t>
            </w:r>
          </w:p>
        </w:tc>
        <w:tc>
          <w:tcPr>
            <w:tcW w:w="7005" w:type="dxa"/>
            <w:vAlign w:val="top"/>
          </w:tcPr>
          <w:p w14:paraId="356493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Normalized total variation，用于衡量 RoC 序列的总体变异强度。</w:t>
            </w:r>
          </w:p>
        </w:tc>
      </w:tr>
      <w:tr w14:paraId="33C14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7" w:type="dxa"/>
            <w:vAlign w:val="top"/>
          </w:tcPr>
          <w:p w14:paraId="247855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Gini</w:t>
            </w:r>
          </w:p>
        </w:tc>
        <w:tc>
          <w:tcPr>
            <w:tcW w:w="7005" w:type="dxa"/>
            <w:vAlign w:val="top"/>
          </w:tcPr>
          <w:p w14:paraId="531093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衡量 RoC 分布不均匀性。数值越高，说明变化越集中于少数时间段。</w:t>
            </w:r>
          </w:p>
        </w:tc>
      </w:tr>
      <w:tr w14:paraId="596F2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7" w:type="dxa"/>
            <w:vAlign w:val="top"/>
          </w:tcPr>
          <w:p w14:paraId="3C80E9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PWLF</w:t>
            </w:r>
          </w:p>
        </w:tc>
        <w:tc>
          <w:tcPr>
            <w:tcW w:w="7005" w:type="dxa"/>
            <w:vAlign w:val="top"/>
          </w:tcPr>
          <w:p w14:paraId="2DD9D8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Piecewise linear fitting。基于累计 RoC 曲线识别阶段转折。</w:t>
            </w:r>
          </w:p>
        </w:tc>
      </w:tr>
      <w:tr w14:paraId="20839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7" w:type="dxa"/>
            <w:vAlign w:val="top"/>
          </w:tcPr>
          <w:p w14:paraId="5DCDC1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KDE</w:t>
            </w:r>
          </w:p>
        </w:tc>
        <w:tc>
          <w:tcPr>
            <w:tcW w:w="7005" w:type="dxa"/>
            <w:vAlign w:val="top"/>
          </w:tcPr>
          <w:p w14:paraId="2480CD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Kernel density estimation。整合不同方法、不同尺度和不同 PWLF segment 设置下的断点，识别共识断点。</w:t>
            </w:r>
          </w:p>
        </w:tc>
      </w:tr>
      <w:tr w14:paraId="65300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7" w:type="dxa"/>
            <w:vAlign w:val="top"/>
          </w:tcPr>
          <w:p w14:paraId="5CC3E6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Phase statistics</w:t>
            </w:r>
          </w:p>
        </w:tc>
        <w:tc>
          <w:tcPr>
            <w:tcW w:w="7005" w:type="dxa"/>
            <w:vAlign w:val="top"/>
          </w:tcPr>
          <w:p w14:paraId="386C09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textAlignment w:val="auto"/>
              <w:rPr>
                <w:rFonts w:hint="default" w:ascii="Times New Roman" w:hAnsi="Times New Roman" w:eastAsia="仿宋" w:cs="Times New Roman"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sz w:val="19"/>
              </w:rPr>
              <w:t>基于共识断点划分阶段，并统计不同阶段、不同方法和不同尺度下的 RoC 均值等指标。</w:t>
            </w:r>
          </w:p>
        </w:tc>
      </w:tr>
    </w:tbl>
    <w:p w14:paraId="5FB4D77C">
      <w:pPr>
        <w:bidi w:val="0"/>
        <w:rPr>
          <w:rFonts w:hint="default"/>
          <w:lang w:val="en-US" w:eastAsia="zh-CN"/>
        </w:rPr>
      </w:pPr>
    </w:p>
    <w:p w14:paraId="7F3EE61D">
      <w:pPr>
        <w:rPr>
          <w:rFonts w:hint="default"/>
          <w:lang w:val="en-US" w:eastAsia="zh-CN"/>
        </w:rPr>
      </w:pPr>
    </w:p>
    <w:p w14:paraId="42B5C10F">
      <w:pPr>
        <w:rPr>
          <w:rFonts w:hint="default"/>
          <w:lang w:val="en-US" w:eastAsia="zh-CN"/>
        </w:rPr>
      </w:pPr>
    </w:p>
    <w:p w14:paraId="671F926F">
      <w:pPr>
        <w:rPr>
          <w:rFonts w:hint="default"/>
          <w:lang w:val="en-US" w:eastAsia="zh-CN"/>
        </w:rPr>
      </w:pPr>
    </w:p>
    <w:p w14:paraId="71E24000">
      <w:pPr>
        <w:rPr>
          <w:rFonts w:hint="default"/>
          <w:lang w:val="en-US" w:eastAsia="zh-CN"/>
        </w:rPr>
      </w:pPr>
    </w:p>
    <w:p w14:paraId="1AA3CD0A">
      <w:pPr>
        <w:rPr>
          <w:rFonts w:hint="default"/>
          <w:lang w:val="en-US" w:eastAsia="zh-CN"/>
        </w:rPr>
      </w:pPr>
    </w:p>
    <w:p w14:paraId="5861505A">
      <w:pPr>
        <w:rPr>
          <w:rFonts w:hint="default"/>
          <w:lang w:val="en-US" w:eastAsia="zh-CN"/>
        </w:rPr>
      </w:pPr>
    </w:p>
    <w:p w14:paraId="02DBE468">
      <w:pPr>
        <w:rPr>
          <w:rFonts w:hint="default"/>
          <w:lang w:val="en-US" w:eastAsia="zh-CN"/>
        </w:rPr>
      </w:pPr>
    </w:p>
    <w:p w14:paraId="4213365A">
      <w:pPr>
        <w:rPr>
          <w:rFonts w:hint="default"/>
          <w:lang w:val="en-US" w:eastAsia="zh-CN"/>
        </w:rPr>
      </w:pPr>
    </w:p>
    <w:p w14:paraId="1BC5A1B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14" w:name="_Toc28498"/>
      <w:r>
        <w:rPr>
          <w:rFonts w:hint="default"/>
          <w:lang w:val="en-US" w:eastAsia="zh-CN"/>
        </w:rPr>
        <w:t>引用方式</w:t>
      </w:r>
      <w:bookmarkEnd w:id="14"/>
    </w:p>
    <w:p w14:paraId="71AF29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如果在论文、报告或项目中使用 RoC Workflow，建议引用软件名称、版本号、作者、年份、GitHub 地址或 DOI。正式引用信息可参考发布包中的 CITATION.cff 文件。</w:t>
      </w:r>
    </w:p>
    <w:p w14:paraId="44B231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76F758E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15" w:name="_Toc5887"/>
      <w:r>
        <w:rPr>
          <w:rFonts w:hint="default"/>
          <w:lang w:val="en-US" w:eastAsia="zh-CN"/>
        </w:rPr>
        <w:t>版本信息与更新记录</w:t>
      </w:r>
      <w:bookmarkEnd w:id="15"/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803"/>
      </w:tblGrid>
      <w:tr w14:paraId="7D6FA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7D7D7" w:themeFill="background1" w:themeFillShade="D8"/>
            <w:vAlign w:val="top"/>
          </w:tcPr>
          <w:p w14:paraId="04C0F9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仿宋" w:cs="Times New Roman"/>
                <w:b/>
                <w:bCs/>
                <w:sz w:val="19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sz w:val="19"/>
                <w:lang w:val="en-US" w:eastAsia="zh-CN"/>
              </w:rPr>
              <w:t>内容</w:t>
            </w:r>
          </w:p>
        </w:tc>
        <w:tc>
          <w:tcPr>
            <w:tcW w:w="6803" w:type="dxa"/>
            <w:shd w:val="clear" w:color="auto" w:fill="D7D7D7" w:themeFill="background1" w:themeFillShade="D8"/>
            <w:vAlign w:val="top"/>
          </w:tcPr>
          <w:p w14:paraId="088F1F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firstLine="0"/>
              <w:jc w:val="center"/>
              <w:textAlignment w:val="auto"/>
              <w:rPr>
                <w:rFonts w:hint="default" w:ascii="Times New Roman" w:hAnsi="Times New Roman" w:eastAsia="仿宋" w:cs="Times New Roman"/>
                <w:b/>
                <w:bCs/>
                <w:sz w:val="19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19"/>
              </w:rPr>
              <w:t>说明</w:t>
            </w:r>
          </w:p>
        </w:tc>
      </w:tr>
      <w:tr w14:paraId="35B22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605E15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default"/>
                <w:sz w:val="19"/>
                <w:szCs w:val="19"/>
              </w:rPr>
            </w:pPr>
            <w:r>
              <w:rPr>
                <w:rFonts w:hint="default"/>
                <w:sz w:val="19"/>
                <w:szCs w:val="19"/>
              </w:rPr>
              <w:t>软件名称</w:t>
            </w:r>
          </w:p>
        </w:tc>
        <w:tc>
          <w:tcPr>
            <w:tcW w:w="6803" w:type="dxa"/>
            <w:vAlign w:val="top"/>
          </w:tcPr>
          <w:p w14:paraId="08A2E9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default"/>
                <w:sz w:val="19"/>
                <w:szCs w:val="19"/>
              </w:rPr>
            </w:pPr>
            <w:r>
              <w:rPr>
                <w:rFonts w:hint="default"/>
                <w:sz w:val="19"/>
                <w:szCs w:val="19"/>
              </w:rPr>
              <w:t>RoC Workflow</w:t>
            </w:r>
          </w:p>
        </w:tc>
      </w:tr>
      <w:tr w14:paraId="799B1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673F52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default"/>
                <w:sz w:val="19"/>
                <w:szCs w:val="19"/>
              </w:rPr>
            </w:pPr>
            <w:r>
              <w:rPr>
                <w:rFonts w:hint="default"/>
                <w:sz w:val="19"/>
                <w:szCs w:val="19"/>
              </w:rPr>
              <w:t>当前版本</w:t>
            </w:r>
          </w:p>
        </w:tc>
        <w:tc>
          <w:tcPr>
            <w:tcW w:w="6803" w:type="dxa"/>
            <w:vAlign w:val="top"/>
          </w:tcPr>
          <w:p w14:paraId="206FE0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default"/>
                <w:sz w:val="19"/>
                <w:szCs w:val="19"/>
              </w:rPr>
            </w:pPr>
            <w:r>
              <w:rPr>
                <w:rFonts w:hint="default"/>
                <w:sz w:val="19"/>
                <w:szCs w:val="19"/>
              </w:rPr>
              <w:t>v1.0.1</w:t>
            </w:r>
          </w:p>
        </w:tc>
      </w:tr>
      <w:tr w14:paraId="51E93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0DCA04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default"/>
                <w:sz w:val="19"/>
                <w:szCs w:val="19"/>
              </w:rPr>
            </w:pPr>
            <w:r>
              <w:rPr>
                <w:rFonts w:hint="default"/>
                <w:sz w:val="19"/>
                <w:szCs w:val="19"/>
              </w:rPr>
              <w:t>发布日期</w:t>
            </w:r>
          </w:p>
        </w:tc>
        <w:tc>
          <w:tcPr>
            <w:tcW w:w="6803" w:type="dxa"/>
            <w:vAlign w:val="top"/>
          </w:tcPr>
          <w:p w14:paraId="484016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default"/>
                <w:sz w:val="19"/>
                <w:szCs w:val="19"/>
              </w:rPr>
            </w:pPr>
            <w:r>
              <w:rPr>
                <w:rFonts w:hint="default"/>
                <w:sz w:val="19"/>
                <w:szCs w:val="19"/>
              </w:rPr>
              <w:t>2026-06-12</w:t>
            </w:r>
          </w:p>
        </w:tc>
      </w:tr>
      <w:tr w14:paraId="1F045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53BE3D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default"/>
                <w:sz w:val="19"/>
                <w:szCs w:val="19"/>
              </w:rPr>
            </w:pPr>
            <w:r>
              <w:rPr>
                <w:rFonts w:hint="default"/>
                <w:sz w:val="19"/>
                <w:szCs w:val="19"/>
              </w:rPr>
              <w:t>平台</w:t>
            </w:r>
          </w:p>
        </w:tc>
        <w:tc>
          <w:tcPr>
            <w:tcW w:w="6803" w:type="dxa"/>
            <w:vAlign w:val="top"/>
          </w:tcPr>
          <w:p w14:paraId="0F9D3D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default"/>
                <w:sz w:val="19"/>
                <w:szCs w:val="19"/>
              </w:rPr>
            </w:pPr>
            <w:r>
              <w:rPr>
                <w:rFonts w:hint="default"/>
                <w:sz w:val="19"/>
                <w:szCs w:val="19"/>
              </w:rPr>
              <w:t>Windows</w:t>
            </w:r>
          </w:p>
        </w:tc>
      </w:tr>
      <w:tr w14:paraId="42CF5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top"/>
          </w:tcPr>
          <w:p w14:paraId="181077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default"/>
                <w:sz w:val="19"/>
                <w:szCs w:val="19"/>
              </w:rPr>
            </w:pPr>
            <w:r>
              <w:rPr>
                <w:rFonts w:hint="default"/>
                <w:sz w:val="19"/>
                <w:szCs w:val="19"/>
              </w:rPr>
              <w:t>主要用途</w:t>
            </w:r>
          </w:p>
        </w:tc>
        <w:tc>
          <w:tcPr>
            <w:tcW w:w="6803" w:type="dxa"/>
            <w:vAlign w:val="top"/>
          </w:tcPr>
          <w:p w14:paraId="3057BD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  <w:rPr>
                <w:rFonts w:hint="default"/>
                <w:sz w:val="19"/>
                <w:szCs w:val="19"/>
              </w:rPr>
            </w:pPr>
            <w:r>
              <w:rPr>
                <w:rFonts w:hint="default"/>
                <w:sz w:val="19"/>
                <w:szCs w:val="19"/>
              </w:rPr>
              <w:t>深时古气候记录的多时间尺度 RoC 分析。</w:t>
            </w:r>
          </w:p>
        </w:tc>
      </w:tr>
    </w:tbl>
    <w:p w14:paraId="673F2F07">
      <w:pPr>
        <w:rPr>
          <w:rFonts w:hint="default" w:ascii="Times New Roman" w:hAnsi="Times New Roman" w:eastAsia="方正仿宋_GB2312" w:cs="Times New Roman"/>
          <w:sz w:val="24"/>
          <w:szCs w:val="24"/>
        </w:rPr>
      </w:pPr>
    </w:p>
    <w:p w14:paraId="267830D3">
      <w:pPr>
        <w:pStyle w:val="3"/>
        <w:bidi w:val="0"/>
        <w:rPr>
          <w:rFonts w:hint="default" w:ascii="Times New Roman" w:hAnsi="Times New Roman" w:eastAsia="方正仿宋_GB2312" w:cs="Times New Roman"/>
          <w:szCs w:val="24"/>
        </w:rPr>
      </w:pPr>
      <w:r>
        <w:rPr>
          <w:rFonts w:hint="eastAsia"/>
          <w:lang w:val="en-US" w:eastAsia="zh-CN"/>
        </w:rPr>
        <w:t xml:space="preserve"> </w:t>
      </w:r>
      <w:bookmarkStart w:id="16" w:name="_Toc9374"/>
      <w:r>
        <w:rPr>
          <w:rFonts w:hint="default"/>
        </w:rPr>
        <w:t>开发者信息与联系方式</w:t>
      </w:r>
      <w:bookmarkEnd w:id="16"/>
    </w:p>
    <w:p w14:paraId="1853D0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方正仿宋_GB2312" w:cs="Times New Roman"/>
          <w:sz w:val="24"/>
          <w:szCs w:val="24"/>
        </w:rPr>
      </w:pPr>
    </w:p>
    <w:p w14:paraId="7D459A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赵洪祎</w:t>
      </w:r>
    </w:p>
    <w:p w14:paraId="1E3DF4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中国地质大学（北京）</w:t>
      </w:r>
    </w:p>
    <w:p w14:paraId="1B1936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fldChar w:fldCharType="begin"/>
      </w:r>
      <w:r>
        <w:rPr>
          <w:rFonts w:hint="default"/>
          <w:sz w:val="24"/>
          <w:szCs w:val="24"/>
          <w:lang w:val="en-US" w:eastAsia="zh-CN"/>
        </w:rPr>
        <w:instrText xml:space="preserve"> HYPERLINK "mailto:zhaohy@cugb.edu.cn" </w:instrText>
      </w:r>
      <w:r>
        <w:rPr>
          <w:rFonts w:hint="default"/>
          <w:sz w:val="24"/>
          <w:szCs w:val="24"/>
          <w:lang w:val="en-US" w:eastAsia="zh-CN"/>
        </w:rPr>
        <w:fldChar w:fldCharType="separate"/>
      </w:r>
      <w:r>
        <w:rPr>
          <w:rStyle w:val="14"/>
          <w:rFonts w:hint="default" w:ascii="Times New Roman" w:hAnsi="Times New Roman" w:eastAsia="方正仿宋_GB2312" w:cs="Times New Roman"/>
          <w:sz w:val="24"/>
          <w:szCs w:val="24"/>
          <w:lang w:val="en-US" w:eastAsia="zh-CN"/>
        </w:rPr>
        <w:t>zhaohy@</w:t>
      </w:r>
      <w:r>
        <w:rPr>
          <w:rStyle w:val="14"/>
          <w:rFonts w:hint="eastAsia" w:eastAsia="方正仿宋_GB2312" w:cs="Times New Roman"/>
          <w:sz w:val="24"/>
          <w:szCs w:val="24"/>
          <w:lang w:val="en-US" w:eastAsia="zh-CN"/>
        </w:rPr>
        <w:t>email.</w:t>
      </w:r>
      <w:r>
        <w:rPr>
          <w:rStyle w:val="14"/>
          <w:rFonts w:hint="default" w:ascii="Times New Roman" w:hAnsi="Times New Roman" w:eastAsia="方正仿宋_GB2312" w:cs="Times New Roman"/>
          <w:sz w:val="24"/>
          <w:szCs w:val="24"/>
          <w:lang w:val="en-US" w:eastAsia="zh-CN"/>
        </w:rPr>
        <w:t>cugb.edu.cn</w:t>
      </w:r>
      <w:r>
        <w:rPr>
          <w:rFonts w:hint="default"/>
          <w:sz w:val="24"/>
          <w:szCs w:val="24"/>
          <w:lang w:val="en-US" w:eastAsia="zh-CN"/>
        </w:rPr>
        <w:fldChar w:fldCharType="end"/>
      </w:r>
    </w:p>
    <w:p w14:paraId="3EB52D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54CF47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张来明</w:t>
      </w:r>
    </w:p>
    <w:p w14:paraId="1D24EB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中国地质大学（北京）</w:t>
      </w:r>
    </w:p>
    <w:p w14:paraId="188A57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Style w:val="14"/>
          <w:rFonts w:hint="default"/>
          <w:sz w:val="24"/>
          <w:szCs w:val="24"/>
          <w:lang w:val="en-US" w:eastAsia="zh-CN"/>
        </w:rPr>
      </w:pPr>
      <w:r>
        <w:rPr>
          <w:rStyle w:val="14"/>
          <w:rFonts w:hint="default"/>
          <w:sz w:val="24"/>
          <w:szCs w:val="24"/>
          <w:lang w:val="en-US" w:eastAsia="zh-CN"/>
        </w:rPr>
        <w:t>lzhang@cugb.edu.cn</w:t>
      </w:r>
    </w:p>
    <w:sectPr>
      <w:footerReference r:id="rId7" w:type="default"/>
      <w:pgSz w:w="11906" w:h="16838"/>
      <w:pgMar w:top="1440" w:right="1440" w:bottom="1440" w:left="1440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08D16B4B-5636-478A-8A1E-0FE3AECE6063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5BF7BA89-9633-4C05-9687-A94B198B0690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3BDBE029-CEEB-43F6-990F-60D2026EF4D9}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4" w:fontKey="{19625EC2-1F09-434C-9BC1-0D2322385560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5" w:fontKey="{F755B6B2-56B2-49F8-9379-C58D31C9726E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6" w:fontKey="{37E18432-2C60-4077-AEB5-64C349B328F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33D10E">
    <w:pPr>
      <w:pStyle w:val="7"/>
      <w:tabs>
        <w:tab w:val="center" w:pos="4680"/>
        <w:tab w:val="right" w:pos="9360"/>
        <w:tab w:val="clear" w:pos="4153"/>
        <w:tab w:val="clear" w:pos="8306"/>
      </w:tabs>
      <w:jc w:val="center"/>
      <w:rPr>
        <w:rFonts w:hint="eastAsia" w:ascii="微软雅黑" w:hAnsi="微软雅黑" w:eastAsia="微软雅黑" w:cs="微软雅黑"/>
        <w:color w:val="808080"/>
        <w:sz w:val="16"/>
      </w:rPr>
    </w:pPr>
  </w:p>
  <w:p w14:paraId="766D4091">
    <w:pPr>
      <w:pStyle w:val="7"/>
      <w:tabs>
        <w:tab w:val="center" w:pos="4680"/>
        <w:tab w:val="right" w:pos="9360"/>
        <w:tab w:val="clear" w:pos="4153"/>
        <w:tab w:val="clear" w:pos="8306"/>
      </w:tabs>
      <w:jc w:val="center"/>
      <w:rPr>
        <w:rFonts w:hint="eastAsia" w:ascii="微软雅黑" w:hAnsi="微软雅黑" w:eastAsia="微软雅黑" w:cs="微软雅黑"/>
        <w:color w:val="808080"/>
        <w:sz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580309">
    <w:pPr>
      <w:pStyle w:val="7"/>
      <w:tabs>
        <w:tab w:val="center" w:pos="4680"/>
        <w:tab w:val="right" w:pos="9360"/>
        <w:tab w:val="clear" w:pos="4153"/>
        <w:tab w:val="clear" w:pos="8306"/>
      </w:tabs>
      <w:jc w:val="center"/>
      <w:rPr>
        <w:rFonts w:hint="eastAsia" w:ascii="微软雅黑" w:hAnsi="微软雅黑" w:eastAsia="微软雅黑" w:cs="微软雅黑"/>
        <w:color w:val="808080"/>
        <w:sz w:val="16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27D7CA">
    <w:pPr>
      <w:pStyle w:val="8"/>
      <w:jc w:val="center"/>
      <w:rPr>
        <w:rFonts w:hint="eastAsia" w:ascii="Times New Roman" w:hAnsi="Times New Roman" w:eastAsia="宋体" w:cs="Times New Roman"/>
        <w:sz w:val="18"/>
        <w:szCs w:val="18"/>
      </w:rPr>
    </w:pPr>
    <w:r>
      <w:rPr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FBD2086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KVIPQyAgAAY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pUg9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FBD2086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Times New Roman" w:hAnsi="Times New Roman" w:eastAsia="宋体" w:cs="Times New Roman"/>
        <w:sz w:val="18"/>
        <w:szCs w:val="18"/>
      </w:rPr>
      <w:t>Deeptime RoC Analysis深时多时间尺度变率分析软件 V1.0.1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C74882"/>
    <w:multiLevelType w:val="singleLevel"/>
    <w:tmpl w:val="AAC74882"/>
    <w:lvl w:ilvl="0" w:tentative="0">
      <w:start w:val="1"/>
      <w:numFmt w:val="decimal"/>
      <w:pStyle w:val="3"/>
      <w:lvlText w:val="%1."/>
      <w:lvlJc w:val="left"/>
      <w:pPr>
        <w:tabs>
          <w:tab w:val="left" w:pos="420"/>
        </w:tabs>
        <w:ind w:left="425" w:leftChars="0" w:hanging="425" w:firstLineChars="0"/>
      </w:pPr>
      <w:rPr>
        <w:rFonts w:hint="default" w:ascii="Arial" w:hAnsi="Arial" w:eastAsia="黑体"/>
        <w:b/>
        <w:bCs/>
      </w:rPr>
    </w:lvl>
  </w:abstractNum>
  <w:abstractNum w:abstractNumId="1">
    <w:nsid w:val="ACDBD6F3"/>
    <w:multiLevelType w:val="singleLevel"/>
    <w:tmpl w:val="ACDBD6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FF23922"/>
    <w:multiLevelType w:val="singleLevel"/>
    <w:tmpl w:val="BFF23922"/>
    <w:lvl w:ilvl="0" w:tentative="0">
      <w:start w:val="1"/>
      <w:numFmt w:val="bullet"/>
      <w:lvlText w:val="•"/>
      <w:lvlJc w:val="left"/>
      <w:pPr>
        <w:ind w:left="420" w:leftChars="0" w:hanging="420" w:firstLineChars="0"/>
      </w:pPr>
      <w:rPr>
        <w:rFonts w:hint="default" w:ascii="Arial" w:hAnsi="Arial" w:cs="Arial"/>
      </w:rPr>
    </w:lvl>
  </w:abstractNum>
  <w:abstractNum w:abstractNumId="3">
    <w:nsid w:val="FF289D44"/>
    <w:multiLevelType w:val="singleLevel"/>
    <w:tmpl w:val="FF289D44"/>
    <w:lvl w:ilvl="0" w:tentative="0">
      <w:start w:val="1"/>
      <w:numFmt w:val="bullet"/>
      <w:lvlText w:val="•"/>
      <w:lvlJc w:val="left"/>
      <w:pPr>
        <w:ind w:left="420" w:leftChars="0" w:hanging="420" w:firstLineChars="0"/>
      </w:pPr>
      <w:rPr>
        <w:rFonts w:hint="default" w:ascii="Arial" w:hAnsi="Arial" w:cs="Arial"/>
      </w:rPr>
    </w:lvl>
  </w:abstractNum>
  <w:abstractNum w:abstractNumId="4">
    <w:nsid w:val="1B101B7E"/>
    <w:multiLevelType w:val="singleLevel"/>
    <w:tmpl w:val="1B101B7E"/>
    <w:lvl w:ilvl="0" w:tentative="0">
      <w:start w:val="1"/>
      <w:numFmt w:val="bullet"/>
      <w:lvlText w:val="•"/>
      <w:lvlJc w:val="left"/>
      <w:pPr>
        <w:ind w:left="420" w:leftChars="0" w:hanging="420" w:firstLineChars="0"/>
      </w:pPr>
      <w:rPr>
        <w:rFonts w:hint="default" w:ascii="Arial" w:hAnsi="Arial" w:cs="Arial"/>
      </w:rPr>
    </w:lvl>
  </w:abstractNum>
  <w:abstractNum w:abstractNumId="5">
    <w:nsid w:val="267002EF"/>
    <w:multiLevelType w:val="singleLevel"/>
    <w:tmpl w:val="267002EF"/>
    <w:lvl w:ilvl="0" w:tentative="0">
      <w:start w:val="1"/>
      <w:numFmt w:val="bullet"/>
      <w:lvlText w:val="•"/>
      <w:lvlJc w:val="left"/>
      <w:pPr>
        <w:ind w:left="420" w:leftChars="0" w:hanging="420" w:firstLineChars="0"/>
      </w:pPr>
      <w:rPr>
        <w:rFonts w:hint="default" w:ascii="Arial" w:hAnsi="Arial" w:cs="Arial"/>
      </w:rPr>
    </w:lvl>
  </w:abstractNum>
  <w:abstractNum w:abstractNumId="6">
    <w:nsid w:val="40BCDAED"/>
    <w:multiLevelType w:val="singleLevel"/>
    <w:tmpl w:val="40BCDAED"/>
    <w:lvl w:ilvl="0" w:tentative="0">
      <w:start w:val="1"/>
      <w:numFmt w:val="decimal"/>
      <w:pStyle w:val="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4E510063"/>
    <w:multiLevelType w:val="singleLevel"/>
    <w:tmpl w:val="4E510063"/>
    <w:lvl w:ilvl="0" w:tentative="0">
      <w:start w:val="1"/>
      <w:numFmt w:val="bullet"/>
      <w:lvlText w:val="•"/>
      <w:lvlJc w:val="left"/>
      <w:pPr>
        <w:ind w:left="420" w:leftChars="0" w:hanging="420" w:firstLineChars="0"/>
      </w:pPr>
      <w:rPr>
        <w:rFonts w:hint="default" w:ascii="Arial" w:hAnsi="Arial" w:cs="Arial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5"/>
  </w:num>
  <w:num w:numId="5">
    <w:abstractNumId w:val="7"/>
  </w:num>
  <w:num w:numId="6">
    <w:abstractNumId w:val="3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9C221A"/>
    <w:rsid w:val="0AC01CE4"/>
    <w:rsid w:val="12157F40"/>
    <w:rsid w:val="156B48B6"/>
    <w:rsid w:val="1A766183"/>
    <w:rsid w:val="271E423C"/>
    <w:rsid w:val="2ACC55ED"/>
    <w:rsid w:val="436B2081"/>
    <w:rsid w:val="499C221A"/>
    <w:rsid w:val="4B342571"/>
    <w:rsid w:val="4FA15A45"/>
    <w:rsid w:val="51C123B5"/>
    <w:rsid w:val="6B46740E"/>
    <w:rsid w:val="6E7E3639"/>
    <w:rsid w:val="7E710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spacing w:line="360" w:lineRule="auto"/>
      <w:ind w:firstLine="0" w:firstLineChars="0"/>
    </w:pPr>
    <w:rPr>
      <w:rFonts w:ascii="Times New Roman" w:hAnsi="Times New Roman" w:eastAsia="仿宋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240" w:after="120" w:line="360" w:lineRule="auto"/>
      <w:outlineLvl w:val="0"/>
    </w:pPr>
    <w:rPr>
      <w:rFonts w:ascii="Arial" w:hAnsi="Arial" w:eastAsia="黑体" w:cs="Arial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1"/>
    <w:unhideWhenUsed/>
    <w:qFormat/>
    <w:uiPriority w:val="9"/>
    <w:pPr>
      <w:keepNext/>
      <w:keepLines/>
      <w:spacing w:before="120" w:after="120"/>
      <w:outlineLvl w:val="1"/>
    </w:pPr>
    <w:rPr>
      <w:rFonts w:ascii="Times New Roman" w:hAnsi="Times New Roman" w:eastAsia="方正楷体_GB2312" w:cstheme="majorBidi"/>
      <w:b/>
      <w:bCs/>
      <w:color w:val="000000" w:themeColor="text1"/>
      <w:sz w:val="24"/>
      <w:szCs w:val="26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3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 w:afterLines="0" w:afterAutospacing="0"/>
    </w:pPr>
  </w:style>
  <w:style w:type="paragraph" w:styleId="6">
    <w:name w:val="List Number"/>
    <w:basedOn w:val="1"/>
    <w:uiPriority w:val="0"/>
    <w:pPr>
      <w:numPr>
        <w:ilvl w:val="0"/>
        <w:numId w:val="2"/>
      </w:numPr>
    </w:p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uiPriority w:val="0"/>
  </w:style>
  <w:style w:type="paragraph" w:styleId="10">
    <w:name w:val="toc 2"/>
    <w:basedOn w:val="1"/>
    <w:next w:val="1"/>
    <w:uiPriority w:val="0"/>
    <w:pPr>
      <w:ind w:left="420" w:leftChars="200"/>
    </w:pPr>
  </w:style>
  <w:style w:type="table" w:styleId="12">
    <w:name w:val="Table Grid"/>
    <w:basedOn w:val="11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Hyperlink"/>
    <w:basedOn w:val="1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2967</Words>
  <Characters>5496</Characters>
  <Lines>0</Lines>
  <Paragraphs>0</Paragraphs>
  <TotalTime>1</TotalTime>
  <ScaleCrop>false</ScaleCrop>
  <LinksUpToDate>false</LinksUpToDate>
  <CharactersWithSpaces>6134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2026-06-12T07:03:00Z</dcterms:created>
  <dc:creator>ZhaoHY</dc:creator>
  <cp:lastModifiedBy>ZhaoHY</cp:lastModifiedBy>
  <dcterms:modified xsi:type="dcterms:W3CDTF">2026-06-25T04:34:38Z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3E933E7089844FF5A32B67662CE1EE83_11</vt:lpwstr>
  </property>
  <property fmtid="{D5CDD505-2E9C-101B-9397-08002B2CF9AE}" pid="4" name="KSOTemplateDocerSaveRecord">
    <vt:lpwstr>eyJoZGlkIjoiZjkwMDllYWJhNzhjNjQ2ZDk1NTExMWMxZDdkOTI2ZjciLCJ1c2VySWQiOiI0MDA3NjI2ODYifQ==</vt:lpwstr>
  </property>
</Properties>
</file>