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4737c3b9bb52ce15518cd156dacd11b19df60b1"/>
    <w:p>
      <w:pPr>
        <w:pStyle w:val="Heading1"/>
      </w:pPr>
      <w:r>
        <w:t xml:space="preserve">Speaker notes — The Afterlives of the September 11 Digital Archive</w:t>
      </w:r>
    </w:p>
    <w:p>
      <w:pPr>
        <w:pStyle w:val="FirstParagraph"/>
      </w:pPr>
      <w:r>
        <w:t xml:space="preserve">CUNY Graduate Center · Elebash Recital Hall · September 10, 2026</w:t>
      </w:r>
    </w:p>
    <w:p>
      <w:pPr>
        <w:pStyle w:val="BodyText"/>
      </w:pPr>
      <w:r>
        <w:t xml:space="preserve">Notes only. Nothing here is on a slide. Slide numbers match the deck.</w:t>
      </w:r>
    </w:p>
    <w:p>
      <w:r>
        <w:pict>
          <v:rect style="width:0;height:1.5pt" o:hralign="center" o:hrstd="t" o:hr="t"/>
        </w:pict>
      </w:r>
    </w:p>
    <w:bookmarkStart w:id="9" w:name="slide-1-title"/>
    <w:p>
      <w:pPr>
        <w:pStyle w:val="Heading2"/>
      </w:pPr>
      <w:r>
        <w:t xml:space="preserve">Slide 1 — Title</w:t>
      </w:r>
    </w:p>
    <w:p>
      <w:pPr>
        <w:pStyle w:val="FirstParagraph"/>
      </w:pPr>
      <w:r>
        <w:t xml:space="preserve">Locate yourself. You are the odd one out on this panel: you didn’t build this.</w:t>
      </w:r>
      <w:r>
        <w:t xml:space="preserve"> </w:t>
      </w:r>
      <w:r>
        <w:t xml:space="preserve">You learned from it, and it shaped the approach your team took when you built</w:t>
      </w:r>
      <w:r>
        <w:t xml:space="preserve"> </w:t>
      </w:r>
      <w:r>
        <w:t xml:space="preserve">the CUNY Distance Learning Archive, which documented the impact of COVID-19</w:t>
      </w:r>
      <w:r>
        <w:t xml:space="preserve"> </w:t>
      </w:r>
      <w:r>
        <w:t xml:space="preserve">across CUNY.</w:t>
      </w:r>
    </w:p>
    <w:p>
      <w:pPr>
        <w:pStyle w:val="BodyText"/>
      </w:pPr>
      <w:r>
        <w:t xml:space="preserve">As director of ASHP you knew the lore, but only started working on this a few</w:t>
      </w:r>
      <w:r>
        <w:t xml:space="preserve"> </w:t>
      </w:r>
      <w:r>
        <w:t xml:space="preserve">weeks ago, in conversation with Anke.</w:t>
      </w:r>
    </w:p>
    <w:p>
      <w:r>
        <w:pict>
          <v:rect style="width:0;height:1.5pt" o:hralign="center" o:hrstd="t" o:hr="t"/>
        </w:pict>
      </w:r>
    </w:p>
    <w:bookmarkEnd w:id="9"/>
    <w:bookmarkStart w:id="10" w:name="slide-2-who-kept-it-alive-the-timeline"/>
    <w:p>
      <w:pPr>
        <w:pStyle w:val="Heading2"/>
      </w:pPr>
      <w:r>
        <w:t xml:space="preserve">Slide 2 — Who kept it alive (the timeline)</w:t>
      </w:r>
    </w:p>
    <w:p>
      <w:pPr>
        <w:pStyle w:val="FirstParagraph"/>
      </w:pPr>
      <w:r>
        <w:rPr>
          <w:b/>
          <w:bCs/>
        </w:rPr>
        <w:t xml:space="preserve">This is the slide that carries the stewardship argument. Say it, don’t show it.</w:t>
      </w:r>
    </w:p>
    <w:p>
      <w:pPr>
        <w:pStyle w:val="BodyText"/>
      </w:pPr>
      <w:r>
        <w:t xml:space="preserve">The people who kept this archive running are not on this stage. That’s why the</w:t>
      </w:r>
      <w:r>
        <w:t xml:space="preserve"> </w:t>
      </w:r>
      <w:r>
        <w:t xml:space="preserve">chart is the second thing you show.</w:t>
      </w:r>
    </w:p>
    <w:p>
      <w:pPr>
        <w:pStyle w:val="BodyText"/>
      </w:pPr>
      <w:r>
        <w:rPr>
          <w:b/>
          <w:bCs/>
        </w:rPr>
        <w:t xml:space="preserve">The question worth naming out loud:</w:t>
      </w:r>
      <w:r>
        <w:t xml:space="preserve"> </w:t>
      </w:r>
      <w:r>
        <w:rPr>
          <w:i/>
          <w:iCs/>
        </w:rPr>
        <w:t xml:space="preserve">who is ultimately responsible over this</w:t>
      </w:r>
      <w:r>
        <w:rPr>
          <w:i/>
          <w:iCs/>
        </w:rPr>
        <w:t xml:space="preserve"> </w:t>
      </w:r>
      <w:r>
        <w:rPr>
          <w:i/>
          <w:iCs/>
        </w:rPr>
        <w:t xml:space="preserve">timescale?</w:t>
      </w:r>
    </w:p>
    <w:p>
      <w:pPr>
        <w:pStyle w:val="BodyText"/>
      </w:pPr>
      <w:r>
        <w:t xml:space="preserve">Honestly? For most of the last twenty years, the answer is: whoever happened to</w:t>
      </w:r>
      <w:r>
        <w:t xml:space="preserve"> </w:t>
      </w:r>
      <w:r>
        <w:t xml:space="preserve">still be there. Jim Safley has been on this project since 2005 — twenty-one</w:t>
      </w:r>
      <w:r>
        <w:t xml:space="preserve"> </w:t>
      </w:r>
      <w:r>
        <w:t xml:space="preserve">years. Sheila Brennan ran it for a decade. That is not an institutional</w:t>
      </w:r>
      <w:r>
        <w:t xml:space="preserve"> </w:t>
      </w:r>
      <w:r>
        <w:t xml:space="preserve">stewardship model. That’s people not letting go of something.</w:t>
      </w:r>
    </w:p>
    <w:p>
      <w:pPr>
        <w:pStyle w:val="BodyText"/>
      </w:pPr>
      <w:r>
        <w:t xml:space="preserve">It worked. It is not a plan.</w:t>
      </w:r>
    </w:p>
    <w:p>
      <w:pPr>
        <w:pStyle w:val="BodyText"/>
      </w:pPr>
      <w:r>
        <w:rPr>
          <w:b/>
          <w:bCs/>
        </w:rPr>
        <w:t xml:space="preserve">And it’s measurable.</w:t>
      </w:r>
      <w:r>
        <w:t xml:space="preserve"> </w:t>
      </w:r>
      <w:r>
        <w:t xml:space="preserve">When you went to find out who had maintained this</w:t>
      </w:r>
      <w:r>
        <w:t xml:space="preserve"> </w:t>
      </w:r>
      <w:r>
        <w:t xml:space="preserve">archive, the archive couldn’t tell you. You had to email someone. Provenance is</w:t>
      </w:r>
      <w:r>
        <w:t xml:space="preserve"> </w:t>
      </w:r>
      <w:r>
        <w:t xml:space="preserve">the kind of thing an archive should be able to answer about itself, and this one</w:t>
      </w:r>
      <w:r>
        <w:t xml:space="preserve"> </w:t>
      </w:r>
      <w:r>
        <w:t xml:space="preserve">can’t.</w:t>
      </w:r>
    </w:p>
    <w:p>
      <w:pPr>
        <w:pStyle w:val="BodyText"/>
      </w:pPr>
      <w:r>
        <w:rPr>
          <w:b/>
          <w:bCs/>
        </w:rPr>
        <w:t xml:space="preserve">On the two eras.</w:t>
      </w:r>
      <w:r>
        <w:t xml:space="preserve"> </w:t>
      </w:r>
      <w:r>
        <w:t xml:space="preserve">Point at the chart. ASHP and CHNM collected it together —</w:t>
      </w:r>
      <w:r>
        <w:t xml:space="preserve"> </w:t>
      </w:r>
      <w:r>
        <w:t xml:space="preserve">that’s the era in which the thing came into existence, 150,000 items from</w:t>
      </w:r>
      <w:r>
        <w:t xml:space="preserve"> </w:t>
      </w:r>
      <w:r>
        <w:t xml:space="preserve">ordinary people. After 2005 the stewardship is CHNM, then RRCHNM: the</w:t>
      </w:r>
      <w:r>
        <w:t xml:space="preserve"> </w:t>
      </w:r>
      <w:r>
        <w:t xml:space="preserve">preservation, the migration, the hosting, and the fundraising to pay for all</w:t>
      </w:r>
      <w:r>
        <w:t xml:space="preserve"> </w:t>
      </w:r>
      <w:r>
        <w:t xml:space="preserve">three. Different work, different era, both real.</w:t>
      </w:r>
    </w:p>
    <w:p>
      <w:pPr>
        <w:pStyle w:val="BodyText"/>
      </w:pPr>
      <w:r>
        <w:rPr>
          <w:b/>
          <w:bCs/>
        </w:rPr>
        <w:t xml:space="preserve">On funding.</w:t>
      </w:r>
      <w:r>
        <w:t xml:space="preserve"> </w:t>
      </w:r>
      <w:r>
        <w:t xml:space="preserve">Very different landscape now, both inside institutions and</w:t>
      </w:r>
      <w:r>
        <w:t xml:space="preserve"> </w:t>
      </w:r>
      <w:r>
        <w:t xml:space="preserve">outside them, from twenty-five years ago. Jessica Otis is carrying that now.</w:t>
      </w:r>
    </w:p>
    <w:p>
      <w:pPr>
        <w:pStyle w:val="BodyText"/>
      </w:pPr>
      <w:r>
        <w:rPr>
          <w:b/>
          <w:bCs/>
        </w:rPr>
        <w:t xml:space="preserve">What RRCHNM is doing right now</w:t>
      </w:r>
      <w:r>
        <w:t xml:space="preserve"> </w:t>
      </w:r>
      <w:r>
        <w:t xml:space="preserve">— say this here, plainly, while their names</w:t>
      </w:r>
      <w:r>
        <w:t xml:space="preserve"> </w:t>
      </w:r>
      <w:r>
        <w:t xml:space="preserve">are on the screen. They have an active plan: Title II accessibility compliance,</w:t>
      </w:r>
      <w:r>
        <w:t xml:space="preserve"> </w:t>
      </w:r>
      <w:r>
        <w:t xml:space="preserve">and flattening the site for long-term sustainability. That work is underway.</w:t>
      </w:r>
    </w:p>
    <w:p>
      <w:pPr>
        <w:pStyle w:val="BodyText"/>
      </w:pPr>
      <w:r>
        <w:rPr>
          <w:b/>
          <w:bCs/>
        </w:rPr>
        <w:t xml:space="preserve">Where tonight’s work came from.</w:t>
      </w:r>
      <w:r>
        <w:t xml:space="preserve"> </w:t>
      </w:r>
      <w:r>
        <w:t xml:space="preserve">This started in conversation with Anke, and</w:t>
      </w:r>
      <w:r>
        <w:t xml:space="preserve"> </w:t>
      </w:r>
      <w:r>
        <w:t xml:space="preserve">I’ve discussed it with Katie Donia, an alumna of the GC’s Master’s degree in</w:t>
      </w:r>
      <w:r>
        <w:t xml:space="preserve"> </w:t>
      </w:r>
      <w:r>
        <w:t xml:space="preserve">Data Analysis and Visualization who also works in Public Events. What I’m</w:t>
      </w:r>
      <w:r>
        <w:t xml:space="preserve"> </w:t>
      </w:r>
      <w:r>
        <w:t xml:space="preserve">showing you is not a rival plan. We want to offer what we have to RRCHNM, to</w:t>
      </w:r>
      <w:r>
        <w:t xml:space="preserve"> </w:t>
      </w:r>
      <w:r>
        <w:t xml:space="preserve">integrate into the preservation work they are already doing.</w:t>
      </w:r>
    </w:p>
    <w:p>
      <w:pPr>
        <w:pStyle w:val="BodyText"/>
      </w:pPr>
      <w:r>
        <w:t xml:space="preserve">Say this early and mean it. Nothing later in the deck should sound like a</w:t>
      </w:r>
      <w:r>
        <w:t xml:space="preserve"> </w:t>
      </w:r>
      <w:r>
        <w:t xml:space="preserve">critique of the people maintaining the Archive.</w:t>
      </w:r>
    </w:p>
    <w:p>
      <w:r>
        <w:pict>
          <v:rect style="width:0;height:1.5pt" o:hralign="center" o:hrstd="t" o:hr="t"/>
        </w:pict>
      </w:r>
    </w:p>
    <w:bookmarkEnd w:id="10"/>
    <w:bookmarkStart w:id="11" w:name="slide-3-final-challenging-tasks"/>
    <w:p>
      <w:pPr>
        <w:pStyle w:val="Heading2"/>
      </w:pPr>
      <w:r>
        <w:t xml:space="preserve">Slide 3 —</w:t>
      </w:r>
      <w:r>
        <w:t xml:space="preserve"> </w:t>
      </w:r>
      <w:r>
        <w:t xml:space="preserve">“Final challenging tasks”</w:t>
      </w:r>
    </w:p>
    <w:p>
      <w:pPr>
        <w:pStyle w:val="FirstParagraph"/>
      </w:pPr>
      <w:r>
        <w:t xml:space="preserve">Brier and Brown’s 2011 article. Steve is sitting right here — acknowledge that.</w:t>
      </w:r>
    </w:p>
    <w:p>
      <w:pPr>
        <w:pStyle w:val="BodyText"/>
      </w:pPr>
      <w:r>
        <w:t xml:space="preserve">Three of the four are engineering problems and two of those got solved, because</w:t>
      </w:r>
      <w:r>
        <w:t xml:space="preserve"> </w:t>
      </w:r>
      <w:r>
        <w:t xml:space="preserve">somebody funded them. The one that didn’t get funded is metadata, and it’s the</w:t>
      </w:r>
      <w:r>
        <w:t xml:space="preserve"> </w:t>
      </w:r>
      <w:r>
        <w:t xml:space="preserve">one that decides whether anyone can find anything.</w:t>
      </w:r>
    </w:p>
    <w:p>
      <w:pPr>
        <w:pStyle w:val="BodyText"/>
      </w:pPr>
      <w:r>
        <w:t xml:space="preserve">The interface: yes, it was redesigned. In 2011. It is a 2011 interface.</w:t>
      </w:r>
    </w:p>
    <w:p>
      <w:r>
        <w:pict>
          <v:rect style="width:0;height:1.5pt" o:hralign="center" o:hrstd="t" o:hr="t"/>
        </w:pict>
      </w:r>
    </w:p>
    <w:bookmarkEnd w:id="11"/>
    <w:bookmarkStart w:id="12" w:name="between-slides-3-and-4-the-turn-no-slide"/>
    <w:p>
      <w:pPr>
        <w:pStyle w:val="Heading2"/>
      </w:pPr>
      <w:r>
        <w:t xml:space="preserve">Between slides 3 and 4 — the turn (no slide)</w:t>
      </w:r>
    </w:p>
    <w:p>
      <w:pPr>
        <w:pStyle w:val="FirstParagraph"/>
      </w:pPr>
      <w:r>
        <w:rPr>
          <w:b/>
          <w:bCs/>
        </w:rPr>
        <w:t xml:space="preserve">This is the hinge of the talk. Say it with nothing on the screen.</w:t>
      </w:r>
    </w:p>
    <w:p>
      <w:pPr>
        <w:pStyle w:val="BodyText"/>
      </w:pPr>
      <w:r>
        <w:t xml:space="preserve">The four tasks Brier and Brown named in 2011 are still the right list. What</w:t>
      </w:r>
      <w:r>
        <w:t xml:space="preserve"> </w:t>
      </w:r>
      <w:r>
        <w:t xml:space="preserve">none of them could have anticipated is that it would become possible for a</w:t>
      </w:r>
      <w:r>
        <w:t xml:space="preserve"> </w:t>
      </w:r>
      <w:r>
        <w:t xml:space="preserve">machine to</w:t>
      </w:r>
      <w:r>
        <w:t xml:space="preserve"> </w:t>
      </w:r>
      <w:r>
        <w:rPr>
          <w:i/>
          <w:iCs/>
        </w:rPr>
        <w:t xml:space="preserve">read</w:t>
      </w:r>
      <w:r>
        <w:t xml:space="preserve"> </w:t>
      </w:r>
      <w:r>
        <w:t xml:space="preserve">the archive.</w:t>
      </w:r>
    </w:p>
    <w:p>
      <w:pPr>
        <w:pStyle w:val="BodyText"/>
      </w:pPr>
      <w:r>
        <w:t xml:space="preserve">The handwriting. The voicemails. The photographs. All of it, readable.</w:t>
      </w:r>
    </w:p>
    <w:p>
      <w:pPr>
        <w:pStyle w:val="BodyText"/>
      </w:pPr>
      <w:r>
        <w:t xml:space="preserve">That changes which of the remaining tasks are hard — not by making the Archive</w:t>
      </w:r>
      <w:r>
        <w:t xml:space="preserve"> </w:t>
      </w:r>
      <w:r>
        <w:t xml:space="preserve">more valuable, but by moving the cost of reading it from unaffordable to an</w:t>
      </w:r>
      <w:r>
        <w:t xml:space="preserve"> </w:t>
      </w:r>
      <w:r>
        <w:t xml:space="preserve">afternoon of GPU time in the New Media Lab. Metadata was the task that never got</w:t>
      </w:r>
      <w:r>
        <w:t xml:space="preserve"> </w:t>
      </w:r>
      <w:r>
        <w:t xml:space="preserve">funded because it was the task that could not be automated. That is no longer</w:t>
      </w:r>
      <w:r>
        <w:t xml:space="preserve"> </w:t>
      </w:r>
      <w:r>
        <w:t xml:space="preserve">true.</w:t>
      </w:r>
    </w:p>
    <w:p>
      <w:pPr>
        <w:pStyle w:val="BodyText"/>
      </w:pPr>
      <w:r>
        <w:t xml:space="preserve">Then advance to Data.</w:t>
      </w:r>
    </w:p>
    <w:p>
      <w:pPr>
        <w:pStyle w:val="BodyText"/>
      </w:pPr>
      <w:r>
        <w:rPr>
          <w:b/>
          <w:bCs/>
        </w:rPr>
        <w:t xml:space="preserve">Say what it bought us: discoverability and accessibility.</w:t>
      </w:r>
      <w:r>
        <w:t xml:space="preserve"> </w:t>
      </w:r>
      <w:r>
        <w:t xml:space="preserve">The two tasks</w:t>
      </w:r>
      <w:r>
        <w:t xml:space="preserve"> </w:t>
      </w:r>
      <w:r>
        <w:t xml:space="preserve">Brier and Brown left open — metadata and the interface — both come down to</w:t>
      </w:r>
      <w:r>
        <w:t xml:space="preserve"> </w:t>
      </w:r>
      <w:r>
        <w:t xml:space="preserve">this, and accessibility comes along with them for free. Text that a machine can</w:t>
      </w:r>
      <w:r>
        <w:t xml:space="preserve"> </w:t>
      </w:r>
      <w:r>
        <w:t xml:space="preserve">read is text a visitor can search, and text a screen reader can speak.</w:t>
      </w:r>
      <w:r>
        <w:t xml:space="preserve"> </w:t>
      </w:r>
      <w:r>
        <w:t xml:space="preserve">Handwriting that was an image is now a string. A voicemail that was a waveform</w:t>
      </w:r>
      <w:r>
        <w:t xml:space="preserve"> </w:t>
      </w:r>
      <w:r>
        <w:t xml:space="preserve">is now a transcript. Nothing about the holdings changed; what changed is that they can</w:t>
      </w:r>
      <w:r>
        <w:t xml:space="preserve"> </w:t>
      </w:r>
      <w:r>
        <w:t xml:space="preserve">be found and they can be heard.</w:t>
      </w:r>
    </w:p>
    <w:p>
      <w:pPr>
        <w:pStyle w:val="BodyText"/>
      </w:pPr>
      <w:r>
        <w:rPr>
          <w:b/>
          <w:bCs/>
        </w:rPr>
        <w:t xml:space="preserve">And this is not only our interest.</w:t>
      </w:r>
      <w:r>
        <w:t xml:space="preserve"> </w:t>
      </w:r>
      <w:r>
        <w:t xml:space="preserve">RRCHNM is working on bringing the</w:t>
      </w:r>
      <w:r>
        <w:t xml:space="preserve"> </w:t>
      </w:r>
      <w:r>
        <w:t xml:space="preserve">Archive into compliance with the ADA Title II web accessibility rule — a legal</w:t>
      </w:r>
      <w:r>
        <w:t xml:space="preserve"> </w:t>
      </w:r>
      <w:r>
        <w:t xml:space="preserve">obligation for a public institution, not a nice-to-have. Alt text, transcripts</w:t>
      </w:r>
      <w:r>
        <w:t xml:space="preserve"> </w:t>
      </w:r>
      <w:r>
        <w:t xml:space="preserve">and captions at this scale were previously an unfunded mandate. Machine reading</w:t>
      </w:r>
      <w:r>
        <w:t xml:space="preserve"> </w:t>
      </w:r>
      <w:r>
        <w:t xml:space="preserve">is what makes the compliance work tractable, and the compliance work is what</w:t>
      </w:r>
      <w:r>
        <w:t xml:space="preserve"> </w:t>
      </w:r>
      <w:r>
        <w:t xml:space="preserve">makes the discoverability work fundable. Same labor, two arguments.</w:t>
      </w:r>
    </w:p>
    <w:p>
      <w:r>
        <w:pict>
          <v:rect style="width:0;height:1.5pt" o:hralign="center" o:hrstd="t" o:hr="t"/>
        </w:pict>
      </w:r>
    </w:p>
    <w:bookmarkEnd w:id="12"/>
    <w:bookmarkStart w:id="13" w:name="slides-46-data-processing-output"/>
    <w:p>
      <w:pPr>
        <w:pStyle w:val="Heading2"/>
      </w:pPr>
      <w:r>
        <w:t xml:space="preserve">Slides 4–6 — Data / Processing / Output</w:t>
      </w:r>
    </w:p>
    <w:p>
      <w:pPr>
        <w:pStyle w:val="FirstParagraph"/>
      </w:pPr>
      <w:r>
        <w:t xml:space="preserve">Keep this fast. It is evidence that the pipeline is real, not the point of the</w:t>
      </w:r>
      <w:r>
        <w:t xml:space="preserve"> </w:t>
      </w:r>
      <w:r>
        <w:t xml:space="preserve">talk.</w:t>
      </w:r>
    </w:p>
    <w:p>
      <w:pPr>
        <w:pStyle w:val="BodyText"/>
      </w:pPr>
      <w:r>
        <w:rPr>
          <w:b/>
          <w:bCs/>
        </w:rPr>
        <w:t xml:space="preserve">Slide 5 (Processing) carries the local-model argument.</w:t>
      </w:r>
      <w:r>
        <w:t xml:space="preserve"> </w:t>
      </w:r>
      <w:r>
        <w:t xml:space="preserve">Three words are on</w:t>
      </w:r>
      <w:r>
        <w:t xml:space="preserve"> </w:t>
      </w:r>
      <w:r>
        <w:t xml:space="preserve">the slide; here is what each one means.</w:t>
      </w:r>
    </w:p>
    <w:p>
      <w:pPr>
        <w:pStyle w:val="BodyText"/>
      </w:pPr>
      <w:r>
        <w:rPr>
          <w:b/>
          <w:bCs/>
        </w:rPr>
        <w:t xml:space="preserve">Privacy.</w:t>
      </w:r>
      <w:r>
        <w:t xml:space="preserve"> </w:t>
      </w:r>
      <w:r>
        <w:t xml:space="preserve">The Archive is full of people’s names, home addresses, phone</w:t>
      </w:r>
      <w:r>
        <w:t xml:space="preserve"> </w:t>
      </w:r>
      <w:r>
        <w:t xml:space="preserve">numbers and voices. Because the models run on our own hardware, none of that</w:t>
      </w:r>
      <w:r>
        <w:t xml:space="preserve"> </w:t>
      </w:r>
      <w:r>
        <w:t xml:space="preserve">was uploaded to an outside company. Using a commercial API would have meant</w:t>
      </w:r>
      <w:r>
        <w:t xml:space="preserve"> </w:t>
      </w:r>
      <w:r>
        <w:t xml:space="preserve">sending 150 gigabytes of other people’s personal material to a vendor.</w:t>
      </w:r>
    </w:p>
    <w:p>
      <w:pPr>
        <w:pStyle w:val="BodyText"/>
      </w:pPr>
      <w:r>
        <w:rPr>
          <w:b/>
          <w:bCs/>
        </w:rPr>
        <w:t xml:space="preserve">Reproducibility.</w:t>
      </w:r>
      <w:r>
        <w:t xml:space="preserve"> </w:t>
      </w:r>
      <w:r>
        <w:t xml:space="preserve">Open-weights models can be kept and run again. If someone</w:t>
      </w:r>
      <w:r>
        <w:t xml:space="preserve"> </w:t>
      </w:r>
      <w:r>
        <w:t xml:space="preserve">asks in five years how a particular transcript was produced, we can re-run the</w:t>
      </w:r>
      <w:r>
        <w:t xml:space="preserve"> </w:t>
      </w:r>
      <w:r>
        <w:t xml:space="preserve">same model at the same version and show them. A commercial service can change</w:t>
      </w:r>
      <w:r>
        <w:t xml:space="preserve"> </w:t>
      </w:r>
      <w:r>
        <w:t xml:space="preserve">its model underneath you, or shut down.</w:t>
      </w:r>
    </w:p>
    <w:p>
      <w:pPr>
        <w:pStyle w:val="BodyText"/>
      </w:pPr>
      <w:r>
        <w:rPr>
          <w:b/>
          <w:bCs/>
        </w:rPr>
        <w:t xml:space="preserve">Cost.</w:t>
      </w:r>
      <w:r>
        <w:t xml:space="preserve"> </w:t>
      </w:r>
      <w:r>
        <w:t xml:space="preserve">Machine reading used to be the expensive part of a project this size.</w:t>
      </w:r>
      <w:r>
        <w:t xml:space="preserve"> </w:t>
      </w:r>
      <w:r>
        <w:t xml:space="preserve">It isn’t any more. The cost has moved to human review — checking the output,</w:t>
      </w:r>
      <w:r>
        <w:t xml:space="preserve"> </w:t>
      </w:r>
      <w:r>
        <w:t xml:space="preserve">handling personal information, and improving the metadata. That is what the</w:t>
      </w:r>
      <w:r>
        <w:t xml:space="preserve"> </w:t>
      </w:r>
      <w:r>
        <w:t xml:space="preserve">four tiers later in the deck are asking for.</w:t>
      </w:r>
    </w:p>
    <w:p>
      <w:pPr>
        <w:pStyle w:val="BodyText"/>
      </w:pPr>
      <w:r>
        <w:t xml:space="preserve">The PDF accessibility tool is the CUNY AI Lab’s — say so.</w:t>
      </w:r>
    </w:p>
    <w:p>
      <w:pPr>
        <w:pStyle w:val="BodyText"/>
      </w:pPr>
      <w:r>
        <w:rPr>
          <w:b/>
          <w:bCs/>
        </w:rPr>
        <w:t xml:space="preserve">Where this goes next — say it as a method, not a one-off.</w:t>
      </w:r>
      <w:r>
        <w:t xml:space="preserve"> </w:t>
      </w:r>
      <w:r>
        <w:t xml:space="preserve">The September 11</w:t>
      </w:r>
      <w:r>
        <w:t xml:space="preserve"> </w:t>
      </w:r>
      <w:r>
        <w:t xml:space="preserve">Digital Archive is the case study, but the pipeline isn’t specific to it. One of</w:t>
      </w:r>
      <w:r>
        <w:t xml:space="preserve"> </w:t>
      </w:r>
      <w:r>
        <w:t xml:space="preserve">the things we’re exploring through the CUNY AI Lab is using exactly this</w:t>
      </w:r>
      <w:r>
        <w:t xml:space="preserve"> </w:t>
      </w:r>
      <w:r>
        <w:t xml:space="preserve">approach to recover older digital humanities projects: sites built on</w:t>
      </w:r>
      <w:r>
        <w:t xml:space="preserve"> </w:t>
      </w:r>
      <w:r>
        <w:t xml:space="preserve">infrastructure nobody maintains any more, content locked in formats nothing</w:t>
      </w:r>
      <w:r>
        <w:t xml:space="preserve"> </w:t>
      </w:r>
      <w:r>
        <w:t xml:space="preserve">reads, holdings with no metadata and no one left who remembers the schema. The</w:t>
      </w:r>
      <w:r>
        <w:t xml:space="preserve"> </w:t>
      </w:r>
      <w:r>
        <w:t xml:space="preserve">field has twenty-five years of those. Reading them back has always been the</w:t>
      </w:r>
      <w:r>
        <w:t xml:space="preserve"> </w:t>
      </w:r>
      <w:r>
        <w:t xml:space="preserve">part nobody could afford. That’s the part that just got cheap.</w:t>
      </w:r>
    </w:p>
    <w:p>
      <w:pPr>
        <w:pStyle w:val="BodyText"/>
      </w:pPr>
      <w:r>
        <w:rPr>
          <w:b/>
          <w:bCs/>
        </w:rPr>
        <w:t xml:space="preserve">For Tom</w:t>
      </w:r>
      <w:r>
        <w:t xml:space="preserve"> </w:t>
      </w:r>
      <w:r>
        <w:t xml:space="preserve">(say this to him directly, not to the room): your blog posts on</w:t>
      </w:r>
      <w:r>
        <w:t xml:space="preserve"> </w:t>
      </w:r>
      <w:r>
        <w:t xml:space="preserve">using LLMs for digital scholarship were a breath of fresh air. Your team was</w:t>
      </w:r>
      <w:r>
        <w:t xml:space="preserve"> </w:t>
      </w:r>
      <w:r>
        <w:t xml:space="preserve">doing the same thing and you were one of the first DH practitioners to</w:t>
      </w:r>
      <w:r>
        <w:t xml:space="preserve"> </w:t>
      </w:r>
      <w:r>
        <w:t xml:space="preserve">articulate it.</w:t>
      </w:r>
    </w:p>
    <w:p>
      <w:r>
        <w:pict>
          <v:rect style="width:0;height:1.5pt" o:hralign="center" o:hrstd="t" o:hr="t"/>
        </w:pict>
      </w:r>
    </w:p>
    <w:bookmarkEnd w:id="13"/>
    <w:bookmarkStart w:id="14" w:name="slide-7-recovery-review-and-remediation"/>
    <w:p>
      <w:pPr>
        <w:pStyle w:val="Heading2"/>
      </w:pPr>
      <w:r>
        <w:t xml:space="preserve">Slide 7 — Recovery, Review, and Remediation</w:t>
      </w:r>
    </w:p>
    <w:p>
      <w:pPr>
        <w:pStyle w:val="FirstParagraph"/>
      </w:pPr>
      <w:r>
        <w:t xml:space="preserve">Just the list on screen. Everything below is yours to say.</w:t>
      </w:r>
    </w:p>
    <w:p>
      <w:pPr>
        <w:pStyle w:val="BodyText"/>
      </w:pPr>
      <w:r>
        <w:t xml:space="preserve">Tiers 0 through 3 are recovery, review and remediation: getting dead formats</w:t>
      </w:r>
      <w:r>
        <w:t xml:space="preserve"> </w:t>
      </w:r>
      <w:r>
        <w:t xml:space="preserve">open again, deciding what personal information can be published, checking</w:t>
      </w:r>
      <w:r>
        <w:t xml:space="preserve"> </w:t>
      </w:r>
      <w:r>
        <w:t xml:space="preserve">whether the machine got it right, and building metadata. Tier 4 is none of</w:t>
      </w:r>
      <w:r>
        <w:t xml:space="preserve"> </w:t>
      </w:r>
      <w:r>
        <w:t xml:space="preserve">those — it is what becomes possible once the first four are done, which is why</w:t>
      </w:r>
      <w:r>
        <w:t xml:space="preserve"> </w:t>
      </w:r>
      <w:r>
        <w:t xml:space="preserve">it sits below the rule.</w:t>
      </w:r>
    </w:p>
    <w:p>
      <w:pPr>
        <w:pStyle w:val="BodyText"/>
      </w:pPr>
      <w:r>
        <w:rPr>
          <w:b/>
          <w:bCs/>
        </w:rPr>
        <w:t xml:space="preserve">On Tier 0.</w:t>
      </w:r>
      <w:r>
        <w:t xml:space="preserve"> </w:t>
      </w:r>
      <w:r>
        <w:t xml:space="preserve">Flash pieces, dead formats, files no current browser will open.</w:t>
      </w:r>
      <w:r>
        <w:t xml:space="preserve"> </w:t>
      </w:r>
      <w:r>
        <w:t xml:space="preserve">Material that had effectively left the Archive while still sitting on the disk.</w:t>
      </w:r>
      <w:r>
        <w:t xml:space="preserve"> </w:t>
      </w:r>
      <w:r>
        <w:t xml:space="preserve">123 Flash objects are already back.</w:t>
      </w:r>
    </w:p>
    <w:p>
      <w:r>
        <w:pict>
          <v:rect style="width:0;height:1.5pt" o:hralign="center" o:hrstd="t" o:hr="t"/>
        </w:pict>
      </w:r>
    </w:p>
    <w:bookmarkEnd w:id="14"/>
    <w:bookmarkStart w:id="15" w:name="X26f1b86c92057d284882cc8837619c57d9c405e"/>
    <w:p>
      <w:pPr>
        <w:pStyle w:val="Heading2"/>
      </w:pPr>
      <w:r>
        <w:t xml:space="preserve">Slide 8 — Tier 1, Review: Personally identifiable information</w:t>
      </w:r>
    </w:p>
    <w:p>
      <w:pPr>
        <w:pStyle w:val="FirstParagraph"/>
      </w:pPr>
      <w:r>
        <w:t xml:space="preserve">Title and the triage screens only. All of this is spoken.</w:t>
      </w:r>
    </w:p>
    <w:p>
      <w:pPr>
        <w:pStyle w:val="BodyText"/>
      </w:pPr>
      <w:r>
        <w:t xml:space="preserve">Machine reading makes an archive searchable. It also makes it searchable for</w:t>
      </w:r>
      <w:r>
        <w:t xml:space="preserve"> </w:t>
      </w:r>
      <w:r>
        <w:t xml:space="preserve">things a depositor in 2002 never imagined being findable.</w:t>
      </w:r>
    </w:p>
    <w:p>
      <w:pPr>
        <w:pStyle w:val="BodyText"/>
      </w:pPr>
      <w:r>
        <w:t xml:space="preserve">For example:</w:t>
      </w:r>
    </w:p>
    <w:p>
      <w:pPr>
        <w:pStyle w:val="Compact"/>
        <w:numPr>
          <w:ilvl w:val="0"/>
          <w:numId w:val="1001"/>
        </w:numPr>
      </w:pPr>
      <w:r>
        <w:t xml:space="preserve">The depositor ticked</w:t>
      </w:r>
      <w:r>
        <w:t xml:space="preserve"> </w:t>
      </w:r>
      <w:r>
        <w:rPr>
          <w:i/>
          <w:iCs/>
        </w:rPr>
        <w:t xml:space="preserve">No</w:t>
      </w:r>
      <w:r>
        <w:t xml:space="preserve"> </w:t>
      </w:r>
      <w:r>
        <w:t xml:space="preserve">to consent</w:t>
      </w:r>
    </w:p>
    <w:p>
      <w:pPr>
        <w:pStyle w:val="Compact"/>
        <w:numPr>
          <w:ilvl w:val="0"/>
          <w:numId w:val="1001"/>
        </w:numPr>
      </w:pPr>
      <w:r>
        <w:t xml:space="preserve">A minor who is directly reachable</w:t>
      </w:r>
    </w:p>
    <w:p>
      <w:pPr>
        <w:pStyle w:val="Compact"/>
        <w:numPr>
          <w:ilvl w:val="0"/>
          <w:numId w:val="1001"/>
        </w:numPr>
      </w:pPr>
      <w:r>
        <w:t xml:space="preserve">An address or phone number spoken aloud in a recording</w:t>
      </w:r>
    </w:p>
    <w:p>
      <w:pPr>
        <w:pStyle w:val="Compact"/>
        <w:numPr>
          <w:ilvl w:val="0"/>
          <w:numId w:val="1001"/>
        </w:numPr>
      </w:pPr>
      <w:r>
        <w:t xml:space="preserve">A full name and school written on a card</w:t>
      </w:r>
    </w:p>
    <w:p>
      <w:pPr>
        <w:pStyle w:val="Compact"/>
        <w:numPr>
          <w:ilvl w:val="0"/>
          <w:numId w:val="1001"/>
        </w:numPr>
      </w:pPr>
      <w:r>
        <w:t xml:space="preserve">Contact details buried in a scanned document</w:t>
      </w:r>
    </w:p>
    <w:p>
      <w:pPr>
        <w:pStyle w:val="FirstParagraph"/>
      </w:pPr>
      <w:r>
        <w:t xml:space="preserve">The counts are on the screen beside you if anyone asks: 157 where consent was</w:t>
      </w:r>
      <w:r>
        <w:t xml:space="preserve"> </w:t>
      </w:r>
      <w:r>
        <w:t xml:space="preserve">refused, 168 minors who are directly reachable, 117 recordings with an address</w:t>
      </w:r>
      <w:r>
        <w:t xml:space="preserve"> </w:t>
      </w:r>
      <w:r>
        <w:t xml:space="preserve">or phone number spoken aloud, and roughly 19,600 items in the queue overall.</w:t>
      </w:r>
      <w:r>
        <w:t xml:space="preserve"> </w:t>
      </w:r>
      <w:r>
        <w:t xml:space="preserve">Most of it resolves through about ten bulk rules applied to categories, not</w:t>
      </w:r>
      <w:r>
        <w:t xml:space="preserve"> </w:t>
      </w:r>
      <w:r>
        <w:t xml:space="preserve">thousands of separate judgements.</w:t>
      </w:r>
    </w:p>
    <w:p>
      <w:r>
        <w:pict>
          <v:rect style="width:0;height:1.5pt" o:hralign="center" o:hrstd="t" o:hr="t"/>
        </w:pict>
      </w:r>
    </w:p>
    <w:bookmarkEnd w:id="15"/>
    <w:bookmarkStart w:id="16" w:name="Xa4d367bf82c98552d9c08cd97474711d445a699"/>
    <w:p>
      <w:pPr>
        <w:pStyle w:val="Heading2"/>
      </w:pPr>
      <w:r>
        <w:t xml:space="preserve">Slide 9 — Tier 2, Quality review (Is the machine right?)</w:t>
      </w:r>
    </w:p>
    <w:p>
      <w:pPr>
        <w:pStyle w:val="FirstParagraph"/>
      </w:pPr>
      <w:r>
        <w:t xml:space="preserve">Title and the dashboard only.</w:t>
      </w:r>
    </w:p>
    <w:p>
      <w:pPr>
        <w:pStyle w:val="BodyText"/>
      </w:pPr>
      <w:r>
        <w:t xml:space="preserve">An accuracy figure means nothing until enough has been checked. A hundred and</w:t>
      </w:r>
      <w:r>
        <w:t xml:space="preserve"> </w:t>
      </w:r>
      <w:r>
        <w:t xml:space="preserve">fifty of a source is a defensible slice; ten is an anecdote. The dashboard is</w:t>
      </w:r>
      <w:r>
        <w:t xml:space="preserve"> </w:t>
      </w:r>
      <w:r>
        <w:t xml:space="preserve">showing you almost entirely zeros, and that is the honest state of it.</w:t>
      </w:r>
    </w:p>
    <w:p>
      <w:pPr>
        <w:pStyle w:val="BodyText"/>
      </w:pPr>
      <w:r>
        <w:rPr>
          <w:b/>
          <w:bCs/>
        </w:rPr>
        <w:t xml:space="preserve">The sentence to land:</w:t>
      </w:r>
      <w:r>
        <w:t xml:space="preserve"> </w:t>
      </w:r>
      <w:r>
        <w:t xml:space="preserve">the model’s original output is never overwritten — a</w:t>
      </w:r>
      <w:r>
        <w:t xml:space="preserve"> </w:t>
      </w:r>
      <w:r>
        <w:t xml:space="preserve">corrected transcript is stored</w:t>
      </w:r>
      <w:r>
        <w:t xml:space="preserve"> </w:t>
      </w:r>
      <w:r>
        <w:rPr>
          <w:i/>
          <w:iCs/>
        </w:rPr>
        <w:t xml:space="preserve">beside</w:t>
      </w:r>
      <w:r>
        <w:t xml:space="preserve"> </w:t>
      </w:r>
      <w:r>
        <w:t xml:space="preserve">it, with who corrected it and when. That</w:t>
      </w:r>
      <w:r>
        <w:t xml:space="preserve"> </w:t>
      </w:r>
      <w:r>
        <w:t xml:space="preserve">is the provenance point from slide 2, answered.</w:t>
      </w:r>
    </w:p>
    <w:p>
      <w:pPr>
        <w:pStyle w:val="BodyText"/>
      </w:pPr>
      <w:r>
        <w:t xml:space="preserve">Say this here rather than on slide 10, since the dashboard is what makes it</w:t>
      </w:r>
      <w:r>
        <w:t xml:space="preserve"> </w:t>
      </w:r>
      <w:r>
        <w:t xml:space="preserve">concrete.</w:t>
      </w:r>
    </w:p>
    <w:p>
      <w:r>
        <w:pict>
          <v:rect style="width:0;height:1.5pt" o:hralign="center" o:hrstd="t" o:hr="t"/>
        </w:pict>
      </w:r>
    </w:p>
    <w:bookmarkEnd w:id="16"/>
    <w:bookmarkStart w:id="17" w:name="X95b230bea1f8053effbb81a15b872a880d361ee"/>
    <w:p>
      <w:pPr>
        <w:pStyle w:val="Heading2"/>
      </w:pPr>
      <w:r>
        <w:t xml:space="preserve">Slide 10 — Tier 2 continued, the review interface</w:t>
      </w:r>
    </w:p>
    <w:p>
      <w:pPr>
        <w:pStyle w:val="FirstParagraph"/>
      </w:pPr>
      <w:r>
        <w:t xml:space="preserve">Deliberately carries the same title as slide 9. Slide 9 counts the checking;</w:t>
      </w:r>
      <w:r>
        <w:t xml:space="preserve"> </w:t>
      </w:r>
      <w:r>
        <w:t xml:space="preserve">this one shows the tool that does it. Same tier, same heading, so it reads as a</w:t>
      </w:r>
      <w:r>
        <w:t xml:space="preserve"> </w:t>
      </w:r>
      <w:r>
        <w:t xml:space="preserve">continuation rather than a new topic.</w:t>
      </w:r>
    </w:p>
    <w:p>
      <w:pPr>
        <w:pStyle w:val="BodyText"/>
      </w:pPr>
      <w:r>
        <w:rPr>
          <w:b/>
          <w:bCs/>
        </w:rPr>
        <w:t xml:space="preserve">The sentence that used to be on the slide:</w:t>
      </w:r>
      <w:r>
        <w:t xml:space="preserve"> </w:t>
      </w:r>
      <w:r>
        <w:t xml:space="preserve">every item comes up beside what</w:t>
      </w:r>
      <w:r>
        <w:t xml:space="preserve"> </w:t>
      </w:r>
      <w:r>
        <w:t xml:space="preserve">the model said about it. A reviewer judges the match, fixes the text if it is</w:t>
      </w:r>
      <w:r>
        <w:t xml:space="preserve"> </w:t>
      </w:r>
      <w:r>
        <w:t xml:space="preserve">wrong, and the model’s original output is kept either way.</w:t>
      </w:r>
    </w:p>
    <w:p>
      <w:pPr>
        <w:pStyle w:val="BodyText"/>
      </w:pPr>
      <w:r>
        <w:t xml:space="preserve">Press space three times. Each press names a kind of artifact and swaps the</w:t>
      </w:r>
      <w:r>
        <w:t xml:space="preserve"> </w:t>
      </w:r>
      <w:r>
        <w:t xml:space="preserve">screenshot: handwriting, then photographs, then audio. Same interface each time.</w:t>
      </w:r>
    </w:p>
    <w:p>
      <w:pPr>
        <w:pStyle w:val="BodyText"/>
      </w:pPr>
      <w:r>
        <w:t xml:space="preserve">Click any screenshot to zoom it full-screen if someone asks for detail.</w:t>
      </w:r>
    </w:p>
    <w:p>
      <w:r>
        <w:pict>
          <v:rect style="width:0;height:1.5pt" o:hralign="center" o:hrstd="t" o:hr="t"/>
        </w:pict>
      </w:r>
    </w:p>
    <w:bookmarkEnd w:id="17"/>
    <w:bookmarkStart w:id="18" w:name="slide-11-tier-3-metadata-enhancement"/>
    <w:p>
      <w:pPr>
        <w:pStyle w:val="Heading2"/>
      </w:pPr>
      <w:r>
        <w:t xml:space="preserve">Slide 11 — Tier 3, Metadata Enhancement</w:t>
      </w:r>
    </w:p>
    <w:p>
      <w:pPr>
        <w:pStyle w:val="FirstParagraph"/>
      </w:pPr>
      <w:r>
        <w:t xml:space="preserve">On the slide: now that every item has text, writing (or inferring) metadata</w:t>
      </w:r>
      <w:r>
        <w:t xml:space="preserve"> </w:t>
      </w:r>
      <w:r>
        <w:t xml:space="preserve">for discoverability and accessibility becomes far easier. That is the whole</w:t>
      </w:r>
      <w:r>
        <w:t xml:space="preserve"> </w:t>
      </w:r>
      <w:r>
        <w:t xml:space="preserve">point. The stage shows zero tags across seventy thousand items.</w:t>
      </w:r>
    </w:p>
    <w:p>
      <w:pPr>
        <w:pStyle w:val="BodyText"/>
      </w:pPr>
      <w:r>
        <w:t xml:space="preserve">Eighteen fields and twenty-four usable dates, if anyone asks for the rest.</w:t>
      </w:r>
    </w:p>
    <w:p>
      <w:r>
        <w:pict>
          <v:rect style="width:0;height:1.5pt" o:hralign="center" o:hrstd="t" o:hr="t"/>
        </w:pict>
      </w:r>
    </w:p>
    <w:bookmarkEnd w:id="18"/>
    <w:bookmarkStart w:id="19" w:name="X067ba8a88349b0547b58a2b7d318f2316ffcca7"/>
    <w:p>
      <w:pPr>
        <w:pStyle w:val="Heading2"/>
      </w:pPr>
      <w:r>
        <w:t xml:space="preserve">Slide 12 — Tier 4, New opportunities for interpretation</w:t>
      </w:r>
    </w:p>
    <w:p>
      <w:pPr>
        <w:pStyle w:val="FirstParagraph"/>
      </w:pPr>
      <w:r>
        <w:t xml:space="preserve">Five rows on the slide. Move briskly — these are illustrations of what becomes</w:t>
      </w:r>
      <w:r>
        <w:t xml:space="preserve"> </w:t>
      </w:r>
      <w:r>
        <w:t xml:space="preserve">possible, not results. Nobody has run any of them yet. Say so.</w:t>
      </w:r>
    </w:p>
    <w:p>
      <w:pPr>
        <w:pStyle w:val="BodyText"/>
      </w:pPr>
      <w:r>
        <w:rPr>
          <w:b/>
          <w:bCs/>
        </w:rPr>
        <w:t xml:space="preserve">01 · Text analysis.</w:t>
      </w:r>
      <w:r>
        <w:t xml:space="preserve"> </w:t>
      </w:r>
      <w:r>
        <w:t xml:space="preserve">Naming the event over time is the obvious first pass:</w:t>
      </w:r>
      <w:r>
        <w:t xml:space="preserve"> </w:t>
      </w:r>
      <w:r>
        <w:t xml:space="preserve">“September 11”</w:t>
      </w:r>
      <w:r>
        <w:t xml:space="preserve"> </w:t>
      </w:r>
      <w:r>
        <w:t xml:space="preserve">vs</w:t>
      </w:r>
      <w:r>
        <w:t xml:space="preserve"> </w:t>
      </w:r>
      <w:r>
        <w:t xml:space="preserve">“9/11”</w:t>
      </w:r>
      <w:r>
        <w:t xml:space="preserve"> </w:t>
      </w:r>
      <w:r>
        <w:t xml:space="preserve">vs</w:t>
      </w:r>
      <w:r>
        <w:t xml:space="preserve"> </w:t>
      </w:r>
      <w:r>
        <w:t xml:space="preserve">“the attacks”</w:t>
      </w:r>
      <w:r>
        <w:t xml:space="preserve"> </w:t>
      </w:r>
      <w:r>
        <w:t xml:space="preserve">vs</w:t>
      </w:r>
      <w:r>
        <w:t xml:space="preserve"> </w:t>
      </w:r>
      <w:r>
        <w:t xml:space="preserve">“the towers”</w:t>
      </w:r>
      <w:r>
        <w:t xml:space="preserve"> </w:t>
      </w:r>
      <w:r>
        <w:t xml:space="preserve">vs</w:t>
      </w:r>
      <w:r>
        <w:t xml:space="preserve"> </w:t>
      </w:r>
      <w:r>
        <w:t xml:space="preserve">“Ground Zero”</w:t>
      </w:r>
      <w:r>
        <w:t xml:space="preserve"> </w:t>
      </w:r>
      <w:r>
        <w:t xml:space="preserve">—</w:t>
      </w:r>
      <w:r>
        <w:t xml:space="preserve"> </w:t>
      </w:r>
      <w:r>
        <w:t xml:space="preserve">when does the shorthand consolidate? Diachronic naming is the standard move in</w:t>
      </w:r>
      <w:r>
        <w:t xml:space="preserve"> </w:t>
      </w:r>
      <w:r>
        <w:t xml:space="preserve">memory studies. What is unusual is the corpus: this is one of very few bodies of</w:t>
      </w:r>
      <w:r>
        <w:t xml:space="preserve"> </w:t>
      </w:r>
      <w:r>
        <w:t xml:space="preserve">dated, ordinary, non-journalistic language about the event, written by people</w:t>
      </w:r>
      <w:r>
        <w:t xml:space="preserve"> </w:t>
      </w:r>
      <w:r>
        <w:t xml:space="preserve">who were not being edited.</w:t>
      </w:r>
    </w:p>
    <w:p>
      <w:pPr>
        <w:pStyle w:val="BodyText"/>
      </w:pPr>
      <w:r>
        <w:rPr>
          <w:b/>
          <w:bCs/>
        </w:rPr>
        <w:t xml:space="preserve">02 · Mapping contributions.</w:t>
      </w:r>
      <w:r>
        <w:t xml:space="preserve"> </w:t>
      </w:r>
      <w:r>
        <w:t xml:space="preserve">About 20,000 hometowns. Map them, ring them by</w:t>
      </w:r>
      <w:r>
        <w:t xml:space="preserve"> </w:t>
      </w:r>
      <w:r>
        <w:t xml:space="preserve">distance from Lower Manhattan, then ask the real question: does what people</w:t>
      </w:r>
      <w:r>
        <w:t xml:space="preserve"> </w:t>
      </w:r>
      <w:r>
        <w:t xml:space="preserve">write vary by how far they travelled? A visitor from Nebraska and one from</w:t>
      </w:r>
      <w:r>
        <w:t xml:space="preserve"> </w:t>
      </w:r>
      <w:r>
        <w:t xml:space="preserve">Jersey City are doing different things by standing in that room.</w:t>
      </w:r>
    </w:p>
    <w:p>
      <w:pPr>
        <w:pStyle w:val="BodyText"/>
      </w:pPr>
      <w:r>
        <w:rPr>
          <w:b/>
          <w:bCs/>
        </w:rPr>
        <w:t xml:space="preserve">03 · Absence.</w:t>
      </w:r>
      <w:r>
        <w:t xml:space="preserve"> </w:t>
      </w:r>
      <w:r>
        <w:t xml:space="preserve">With an index you can finally count what isn’t here:</w:t>
      </w:r>
      <w:r>
        <w:t xml:space="preserve"> </w:t>
      </w:r>
      <w:r>
        <w:t xml:space="preserve">backlash, Sikh and Arab American experience, the murder of Balbir Singh Sodhi,</w:t>
      </w:r>
      <w:r>
        <w:t xml:space="preserve"> </w:t>
      </w:r>
      <w:r>
        <w:t xml:space="preserve">dissent, conspiracy, the wars that followed. Until now nobody could responsibly</w:t>
      </w:r>
      <w:r>
        <w:t xml:space="preserve"> </w:t>
      </w:r>
      <w:r>
        <w:t xml:space="preserve">say the Archive under-represents anything, because nobody could count. A claim</w:t>
      </w:r>
      <w:r>
        <w:t xml:space="preserve"> </w:t>
      </w:r>
      <w:r>
        <w:t xml:space="preserve">about silence in an archive should be a measurement, not a hunch. This is the</w:t>
      </w:r>
      <w:r>
        <w:t xml:space="preserve"> </w:t>
      </w:r>
      <w:r>
        <w:t xml:space="preserve">one to dwell on if there is time.</w:t>
      </w:r>
    </w:p>
    <w:p>
      <w:pPr>
        <w:pStyle w:val="BodyText"/>
      </w:pPr>
      <w:r>
        <w:rPr>
          <w:b/>
          <w:bCs/>
        </w:rPr>
        <w:t xml:space="preserve">04 · Languages.</w:t>
      </w:r>
      <w:r>
        <w:t xml:space="preserve"> </w:t>
      </w:r>
      <w:r>
        <w:t xml:space="preserve">Detected across 51 million characters. There is a</w:t>
      </w:r>
      <w:r>
        <w:t xml:space="preserve"> </w:t>
      </w:r>
      <w:r>
        <w:t xml:space="preserve">Chinatown oral history collection in here and an Italian-language Flash</w:t>
      </w:r>
      <w:r>
        <w:t xml:space="preserve"> </w:t>
      </w:r>
      <w:r>
        <w:t xml:space="preserve">newscast. An English-only reading hides whoever else is in there — it is the</w:t>
      </w:r>
      <w:r>
        <w:t xml:space="preserve"> </w:t>
      </w:r>
      <w:r>
        <w:t xml:space="preserve">difference between an archive of New York and an archive of English-speaking</w:t>
      </w:r>
      <w:r>
        <w:t xml:space="preserve"> </w:t>
      </w:r>
      <w:r>
        <w:t xml:space="preserve">New York.</w:t>
      </w:r>
    </w:p>
    <w:p>
      <w:pPr>
        <w:pStyle w:val="BodyText"/>
      </w:pPr>
      <w:r>
        <w:rPr>
          <w:b/>
          <w:bCs/>
        </w:rPr>
        <w:t xml:space="preserve">05 · And more.</w:t>
      </w:r>
      <w:r>
        <w:t xml:space="preserve"> </w:t>
      </w:r>
      <w:r>
        <w:t xml:space="preserve">What is behind the catch-all, if anyone asks: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Children’s drawings.</w:t>
      </w:r>
      <w:r>
        <w:t xml:space="preserve"> </w:t>
      </w:r>
      <w:r>
        <w:t xml:space="preserve">A sketch flag is recorded per page and the pilot rate</w:t>
      </w:r>
      <w:r>
        <w:t xml:space="preserve"> </w:t>
      </w:r>
      <w:r>
        <w:t xml:space="preserve">implies several thousand. Towers, planes, flags, hearts — how children drew</w:t>
      </w:r>
      <w:r>
        <w:t xml:space="preserve"> </w:t>
      </w:r>
      <w:r>
        <w:t xml:space="preserve">something most of them only saw on television.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archived web as a link graph.</w:t>
      </w:r>
      <w:r>
        <w:t xml:space="preserve"> </w:t>
      </w:r>
      <w:r>
        <w:t xml:space="preserve">3,369 site captures, 55,825 members.</w:t>
      </w:r>
      <w:r>
        <w:t xml:space="preserve"> </w:t>
      </w:r>
      <w:r>
        <w:t xml:space="preserve">Extract the hyperlinks and the shape of an early-2000s web neighbourhood comes</w:t>
      </w:r>
      <w:r>
        <w:t xml:space="preserve"> </w:t>
      </w:r>
      <w:r>
        <w:t xml:space="preserve">back: who linked to whom, and what has since disappeared from the other end of</w:t>
      </w:r>
      <w:r>
        <w:t xml:space="preserve"> </w:t>
      </w:r>
      <w:r>
        <w:t xml:space="preserve">those links.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Iraq and the FDNY.</w:t>
      </w:r>
      <w:r>
        <w:t xml:space="preserve"> </w:t>
      </w:r>
      <w:r>
        <w:t xml:space="preserve">Still unwritten.</w:t>
      </w:r>
    </w:p>
    <w:p>
      <w:r>
        <w:pict>
          <v:rect style="width:0;height:1.5pt" o:hralign="center" o:hrstd="t" o:hr="t"/>
        </w:pict>
      </w:r>
    </w:p>
    <w:bookmarkEnd w:id="19"/>
    <w:bookmarkStart w:id="20" w:name="closing-the-rule-spoken-not-shown"/>
    <w:p>
      <w:pPr>
        <w:pStyle w:val="Heading2"/>
      </w:pPr>
      <w:r>
        <w:t xml:space="preserve">Closing — the rule, spoken not shown</w:t>
      </w:r>
    </w:p>
    <w:p>
      <w:pPr>
        <w:pStyle w:val="FirstParagraph"/>
      </w:pPr>
      <w:r>
        <w:t xml:space="preserve">There is no longer a slide for this. It is how you finish.</w:t>
      </w:r>
    </w:p>
    <w:p>
      <w:pPr>
        <w:pStyle w:val="BodyText"/>
      </w:pPr>
      <w:r>
        <w:t xml:space="preserve">Every visual must walk back to the artifact. If a chart says 6,761 cards in</w:t>
      </w:r>
      <w:r>
        <w:t xml:space="preserve"> </w:t>
      </w:r>
      <w:r>
        <w:t xml:space="preserve">April 2003, clicking it gets you those cards, and clicking a card gets you the</w:t>
      </w:r>
      <w:r>
        <w:t xml:space="preserve"> </w:t>
      </w:r>
      <w:r>
        <w:t xml:space="preserve">scan beside the transcript beside who corrected it.</w:t>
      </w:r>
    </w:p>
    <w:p>
      <w:pPr>
        <w:pStyle w:val="BodyText"/>
      </w:pPr>
      <w:r>
        <w:t xml:space="preserve">A visualization that cannot be walked back to the object is an assertion. The</w:t>
      </w:r>
      <w:r>
        <w:t xml:space="preserve"> </w:t>
      </w:r>
      <w:r>
        <w:t xml:space="preserve">whole point of indexing a plural archive is that its claims stay auditable by</w:t>
      </w:r>
      <w:r>
        <w:t xml:space="preserve"> </w:t>
      </w:r>
      <w:r>
        <w:t xml:space="preserve">the person reading them.</w:t>
      </w:r>
    </w:p>
    <w:p>
      <w:pPr>
        <w:pStyle w:val="BodyText"/>
      </w:pPr>
      <w:r>
        <w:rPr>
          <w:b/>
          <w:bCs/>
        </w:rPr>
        <w:t xml:space="preserve">And the plurality argument</w:t>
      </w:r>
      <w:r>
        <w:t xml:space="preserve">, if it has not already come up: multiplicity you</w:t>
      </w:r>
      <w:r>
        <w:t xml:space="preserve"> </w:t>
      </w:r>
      <w:r>
        <w:t xml:space="preserve">can’t search is functionally a singular. The institutional narrative didn’t</w:t>
      </w:r>
      <w:r>
        <w:t xml:space="preserve"> </w:t>
      </w:r>
      <w:r>
        <w:t xml:space="preserve">defeat the plural archive — it just had better retrieval. Search isn’t a</w:t>
      </w:r>
      <w:r>
        <w:t xml:space="preserve"> </w:t>
      </w:r>
      <w:r>
        <w:t xml:space="preserve">technical postscript to preservation; it’s where an archive either keeps its</w:t>
      </w:r>
      <w:r>
        <w:t xml:space="preserve"> </w:t>
      </w:r>
      <w:r>
        <w:t xml:space="preserve">promise of plurality or quietly stops keeping it.</w:t>
      </w:r>
    </w:p>
    <w:p>
      <w:pPr>
        <w:pStyle w:val="BodyText"/>
      </w:pPr>
      <w:r>
        <w:t xml:space="preserve">Then stop and hand back to the panel.</w:t>
      </w:r>
    </w:p>
    <w:p>
      <w:r>
        <w:pict>
          <v:rect style="width:0;height:1.5pt" o:hralign="center" o:hrstd="t" o:hr="t"/>
        </w:pict>
      </w:r>
    </w:p>
    <w:bookmarkEnd w:id="20"/>
    <w:bookmarkStart w:id="21" w:name="things-to-check-before-you-go-on"/>
    <w:p>
      <w:pPr>
        <w:pStyle w:val="Heading2"/>
      </w:pPr>
      <w:r>
        <w:t xml:space="preserve">Things to check before you go on</w:t>
      </w:r>
    </w:p>
    <w:p>
      <w:pPr>
        <w:pStyle w:val="Compact"/>
        <w:numPr>
          <w:ilvl w:val="0"/>
          <w:numId w:val="1003"/>
        </w:numPr>
      </w:pPr>
      <w:r>
        <w:t xml:space="preserve">Iraq / FDNY now lives only under</w:t>
      </w:r>
      <w:r>
        <w:t xml:space="preserve"> </w:t>
      </w:r>
      <w:r>
        <w:t xml:space="preserve">“And more”</w:t>
      </w:r>
      <w:r>
        <w:t xml:space="preserve"> </w:t>
      </w:r>
      <w:r>
        <w:t xml:space="preserve">in the notes — write it up if you want to speak to it</w:t>
      </w:r>
    </w:p>
    <w:p>
      <w:pPr>
        <w:pStyle w:val="Compact"/>
        <w:numPr>
          <w:ilvl w:val="0"/>
          <w:numId w:val="1004"/>
        </w:numPr>
      </w:pPr>
      <w:r>
        <w:t xml:space="preserve">Start year for Trinh, Heppler and Scott — the chart currently guesses 2025</w:t>
      </w:r>
    </w:p>
    <w:p>
      <w:pPr>
        <w:pStyle w:val="Compact"/>
        <w:numPr>
          <w:ilvl w:val="0"/>
          <w:numId w:val="1005"/>
        </w:numPr>
      </w:pPr>
      <w:r>
        <w:t xml:space="preserve">Jim Safley’s bar now runs 2002–present (24 years), per the staff list —</w:t>
      </w:r>
      <w:r>
        <w:t xml:space="preserve"> </w:t>
      </w:r>
      <w:r>
        <w:t xml:space="preserve">he was Project Associate and Archive Specialist at CHNM from 2002. Your</w:t>
      </w:r>
      <w:r>
        <w:t xml:space="preserve"> </w:t>
      </w:r>
      <w:r>
        <w:t xml:space="preserve">earlier note said twenty-one years, counting from 2005. Which do you want?</w:t>
      </w:r>
    </w:p>
    <w:p>
      <w:pPr>
        <w:pStyle w:val="Compact"/>
        <w:numPr>
          <w:ilvl w:val="0"/>
          <w:numId w:val="1006"/>
        </w:numPr>
      </w:pPr>
      <w:r>
        <w:t xml:space="preserve">Fritz Umbach is drawn on the</w:t>
      </w:r>
      <w:r>
        <w:t xml:space="preserve"> </w:t>
      </w:r>
      <w:r>
        <w:t xml:space="preserve">“both”</w:t>
      </w:r>
      <w:r>
        <w:t xml:space="preserve"> </w:t>
      </w:r>
      <w:r>
        <w:t xml:space="preserve">split with Tom Scheinfeldt. He was at</w:t>
      </w:r>
      <w:r>
        <w:t xml:space="preserve"> </w:t>
      </w:r>
      <w:r>
        <w:t xml:space="preserve">John Jay (CUNY) rather than ASHP — say if that should read differently.</w:t>
      </w:r>
    </w:p>
    <w:p>
      <w:pPr>
        <w:pStyle w:val="Compact"/>
        <w:numPr>
          <w:ilvl w:val="0"/>
          <w:numId w:val="1007"/>
        </w:numPr>
      </w:pPr>
      <w:r>
        <w:t xml:space="preserve">Confirm the exact citation for the Brier &amp; Brown 2011 article if anyone asks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sz w:val="28"/>
        <w:szCs w:val="28"/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200" w:before="0" w:line="300" w:lineRule="auto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120" w:before="0" w:line="300" w:lineRule="auto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240" w:before="0" w:line="300" w:lineRule="auto"/>
      <w:contextualSpacing/>
      <w:jc w:val="center"/>
    </w:pPr>
    <w:rPr>
      <w:rFonts w:asciiTheme="majorHAnsi" w:cstheme="majorBidi" w:eastAsiaTheme="majorEastAsia" w:hAnsiTheme="majorHAnsi"/>
      <w:sz w:val="48"/>
      <w:szCs w:val="48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200" w:before="480" w:line="300" w:lineRule="auto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80" w:before="400" w:line="300" w:lineRule="auto"/>
      <w:outlineLvl w:val="1"/>
    </w:pPr>
    <w:rPr>
      <w:rFonts w:asciiTheme="majorHAnsi" w:cstheme="majorBidi" w:eastAsiaTheme="majorEastAsia" w:hAnsiTheme="majorHAnsi"/>
      <w:color w:themeColor="accent1" w:themeShade="BF" w:val="0F4761"/>
      <w:sz w:val="34"/>
      <w:szCs w:val="34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40" w:before="320" w:line="300" w:lineRule="auto"/>
      <w:outlineLvl w:val="2"/>
    </w:pPr>
    <w:rPr>
      <w:rFonts w:cstheme="majorBidi" w:eastAsiaTheme="majorEastAsia"/>
      <w:color w:themeColor="accent1" w:themeShade="BF" w:val="0F4761"/>
      <w:sz w:val="30"/>
      <w:szCs w:val="30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2026-09-10T21:15:05Z</dcterms:created>
  <dcterms:modified xsi:type="dcterms:W3CDTF">2026-09-10T21:15:05Z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