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DATA608 Knowledge and Visual Analytics (001)</w:t>
      </w:r>
    </w:p>
    <w:p>
      <w:pPr>
        <w:pStyle w:val="Normal"/>
        <w:bidi w:val="0"/>
        <w:jc w:val="start"/>
        <w:rPr/>
      </w:pPr>
      <w:r>
        <w:rPr/>
        <w:t>Daniel Craig</w:t>
      </w:r>
    </w:p>
    <w:p>
      <w:pPr>
        <w:pStyle w:val="Normal"/>
        <w:bidi w:val="0"/>
        <w:jc w:val="start"/>
        <w:rPr/>
      </w:pPr>
      <w:r>
        <w:rPr/>
        <w:t>9/10/23</w:t>
      </w:r>
    </w:p>
    <w:p>
      <w:pPr>
        <w:pStyle w:val="Normal"/>
        <w:bidi w:val="0"/>
        <w:jc w:val="start"/>
        <w:rPr/>
      </w:pPr>
      <w:r>
        <w:rPr/>
      </w:r>
    </w:p>
    <w:p>
      <w:pPr>
        <w:pStyle w:val="Normal"/>
        <w:bidi w:val="0"/>
        <w:jc w:val="center"/>
        <w:rPr/>
      </w:pPr>
      <w:r>
        <w:rPr/>
      </w:r>
    </w:p>
    <w:p>
      <w:pPr>
        <w:pStyle w:val="Heading1"/>
        <w:bidi w:val="0"/>
        <w:jc w:val="center"/>
        <w:rPr>
          <w:u w:val="single"/>
        </w:rPr>
      </w:pPr>
      <w:r>
        <w:rPr>
          <w:u w:val="single"/>
        </w:rPr>
        <w:t>Executive Summary</w:t>
      </w:r>
    </w:p>
    <w:p>
      <w:pPr>
        <w:pStyle w:val="Normal"/>
        <w:bidi w:val="0"/>
        <w:jc w:val="center"/>
        <w:rPr/>
      </w:pPr>
      <w:r>
        <w:rPr/>
      </w:r>
    </w:p>
    <w:p>
      <w:pPr>
        <w:pStyle w:val="Normal"/>
        <w:bidi w:val="0"/>
        <w:jc w:val="center"/>
        <w:rPr/>
      </w:pPr>
      <w:r>
        <w:rPr/>
      </w:r>
    </w:p>
    <w:p>
      <w:pPr>
        <w:pStyle w:val="Heading2"/>
        <w:bidi w:val="0"/>
        <w:jc w:val="start"/>
        <w:rPr/>
      </w:pPr>
      <w:r>
        <w:rPr>
          <w:u w:val="single"/>
        </w:rPr>
        <w:t>Topic:</w:t>
      </w:r>
      <w:r>
        <w:rPr/>
        <w:t xml:space="preserve"> Infrastructure Investment &amp; Jobs Act (IIJA)</w:t>
      </w:r>
      <w:r>
        <w:rPr/>
        <w:t xml:space="preserve"> Allocation</w:t>
      </w:r>
    </w:p>
    <w:p>
      <w:pPr>
        <w:pStyle w:val="Normal"/>
        <w:bidi w:val="0"/>
        <w:jc w:val="start"/>
        <w:rPr/>
      </w:pPr>
      <w:r>
        <w:rPr/>
      </w:r>
    </w:p>
    <w:p>
      <w:pPr>
        <w:pStyle w:val="Normal"/>
        <w:bidi w:val="0"/>
        <w:jc w:val="start"/>
        <w:rPr/>
      </w:pPr>
      <w:r>
        <w:rPr/>
      </w:r>
    </w:p>
    <w:p>
      <w:pPr>
        <w:pStyle w:val="TextBody"/>
        <w:bidi w:val="0"/>
        <w:jc w:val="start"/>
        <w:rPr/>
      </w:pPr>
      <w:r>
        <w:rPr/>
        <w:t>Target Questions:</w:t>
      </w:r>
    </w:p>
    <w:p>
      <w:pPr>
        <w:pStyle w:val="TextBody"/>
        <w:bidi w:val="0"/>
        <w:jc w:val="start"/>
        <w:rPr/>
      </w:pPr>
      <w:r>
        <w:rPr/>
        <w:t>1.  Is the allocation equitable based on the population of each of the States and Territories, or is bias apparent?</w:t>
      </w:r>
    </w:p>
    <w:p>
      <w:pPr>
        <w:pStyle w:val="TextBody"/>
        <w:bidi w:val="0"/>
        <w:jc w:val="start"/>
        <w:rPr/>
      </w:pPr>
      <w:r>
        <w:rPr/>
        <w:t>2. Does the allocation favor the political interests of the Biden administration?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4"/>
        <w:bidi w:val="0"/>
        <w:jc w:val="start"/>
        <w:rPr/>
      </w:pPr>
      <w:r>
        <w:rPr/>
        <w:t>Context:</w:t>
      </w:r>
    </w:p>
    <w:p>
      <w:pPr>
        <w:pStyle w:val="TextBody"/>
        <w:bidi w:val="0"/>
        <w:jc w:val="start"/>
        <w:rPr/>
      </w:pPr>
      <w:r>
        <w:rPr/>
        <w:tab/>
      </w:r>
      <w:r>
        <w:rPr/>
        <w:t>The Infrastructure Investment &amp; Jobs Act (IIJA) was signed into law by President Biden on November 15</w:t>
      </w:r>
      <w:r>
        <w:rPr>
          <w:vertAlign w:val="superscript"/>
        </w:rPr>
        <w:t>th</w:t>
      </w:r>
      <w:r>
        <w:rPr/>
        <w:t xml:space="preserve">, 2021. This law encompasses the continuation of past infrastructure focused programs, as well as consolidates recently approved programs under one act. IIJA also expands on these past laws to further improve infrastructure in several areas (NCSL 2022). The official document can be viewed here: </w:t>
      </w:r>
      <w:hyperlink r:id="rId2">
        <w:r>
          <w:rPr>
            <w:rStyle w:val="InternetLink"/>
          </w:rPr>
          <w:t>H.R.3684: Infrastructure Investment and Jobs Act | Congress.gov</w:t>
        </w:r>
      </w:hyperlink>
      <w:r>
        <w:rPr/>
        <w:t xml:space="preserve"> </w:t>
      </w:r>
    </w:p>
    <w:p>
      <w:pPr>
        <w:pStyle w:val="TextBody"/>
        <w:bidi w:val="0"/>
        <w:jc w:val="start"/>
        <w:rPr/>
      </w:pPr>
      <w:r>
        <w:rPr/>
        <w:t>List of previous acts/laws consolidated under IIJA:</w:t>
      </w:r>
    </w:p>
    <w:p>
      <w:pPr>
        <w:pStyle w:val="TextBody"/>
        <w:numPr>
          <w:ilvl w:val="0"/>
          <w:numId w:val="2"/>
        </w:numPr>
        <w:bidi w:val="0"/>
        <w:jc w:val="start"/>
        <w:rPr/>
      </w:pPr>
      <w:r>
        <w:rPr/>
        <w:t>Fixing America’s Surface Transportation Act (FAST) – focused on funding US Department of Transportation for highway, vehicle safety, public transportation rail, research and more between the years of 2016 and 2020 (FHWA 2023)</w:t>
      </w:r>
    </w:p>
    <w:p>
      <w:pPr>
        <w:pStyle w:val="TextBody"/>
        <w:numPr>
          <w:ilvl w:val="0"/>
          <w:numId w:val="2"/>
        </w:numPr>
        <w:bidi w:val="0"/>
        <w:jc w:val="start"/>
        <w:rPr/>
      </w:pPr>
      <w:r>
        <w:rPr/>
        <w:t>Surface Transportation Re-Authorization Act (STRA) – focused on improving and building roads, highways, and bridges (EPW2021)</w:t>
      </w:r>
    </w:p>
    <w:p>
      <w:pPr>
        <w:pStyle w:val="TextBody"/>
        <w:numPr>
          <w:ilvl w:val="0"/>
          <w:numId w:val="2"/>
        </w:numPr>
        <w:bidi w:val="0"/>
        <w:jc w:val="start"/>
        <w:rPr/>
      </w:pPr>
      <w:r>
        <w:rPr/>
        <w:t>INVEST in America Act – Original name of IIJA before inclusions for broadband access, clean water, and electric grid renewal in addition to the original focus of transportation (NCSL 2022)</w:t>
      </w:r>
    </w:p>
    <w:p>
      <w:pPr>
        <w:pStyle w:val="Heading4"/>
        <w:numPr>
          <w:ilvl w:val="0"/>
          <w:numId w:val="0"/>
        </w:numPr>
        <w:bidi w:val="0"/>
        <w:ind w:start="0" w:hanging="0"/>
        <w:jc w:val="start"/>
        <w:rPr/>
      </w:pPr>
      <w:r>
        <w:rPr/>
        <w:t>Monetary/</w:t>
      </w:r>
      <w:r>
        <w:rPr/>
        <w:t xml:space="preserve">Infrastructure </w:t>
      </w:r>
      <w:r>
        <w:rPr/>
        <w:t>Breakdown:</w:t>
      </w:r>
    </w:p>
    <w:p>
      <w:pPr>
        <w:pStyle w:val="TextBody"/>
        <w:bidi w:val="0"/>
        <w:jc w:val="start"/>
        <w:rPr/>
      </w:pPr>
      <w:r>
        <w:rPr/>
        <w:t>Total: $1.2 Trillion</w:t>
      </w:r>
    </w:p>
    <w:p>
      <w:pPr>
        <w:pStyle w:val="TextBody"/>
        <w:bidi w:val="0"/>
        <w:jc w:val="start"/>
        <w:rPr/>
      </w:pPr>
      <w:r>
        <w:rPr/>
        <w:t xml:space="preserve">Summarized Breakdown of some larger items below. For full breakdown please reference: </w:t>
      </w:r>
      <w:hyperlink r:id="rId3">
        <w:r>
          <w:rPr>
            <w:rStyle w:val="InternetLink"/>
          </w:rPr>
          <w:t>IIJA Guidebook from Whitehouse</w:t>
        </w:r>
      </w:hyperlink>
      <w:r>
        <w:rPr/>
        <w:t xml:space="preserve">  </w:t>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4986" w:type="dxa"/>
            <w:tcBorders>
              <w:top w:val="single" w:sz="4" w:space="0" w:color="000000"/>
              <w:start w:val="single" w:sz="4" w:space="0" w:color="000000"/>
              <w:bottom w:val="single" w:sz="4" w:space="0" w:color="000000"/>
            </w:tcBorders>
          </w:tcPr>
          <w:p>
            <w:pPr>
              <w:pStyle w:val="TableContents"/>
              <w:bidi w:val="0"/>
              <w:jc w:val="start"/>
              <w:rPr/>
            </w:pPr>
            <w:r>
              <w:rPr/>
              <w:t>Bridges, Roads:</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$60.5 Billion</w:t>
            </w:r>
          </w:p>
        </w:tc>
      </w:tr>
      <w:tr>
        <w:trPr/>
        <w:tc>
          <w:tcPr>
            <w:tcW w:w="4986" w:type="dxa"/>
            <w:tcBorders>
              <w:start w:val="single" w:sz="4" w:space="0" w:color="000000"/>
              <w:bottom w:val="single" w:sz="4" w:space="0" w:color="000000"/>
            </w:tcBorders>
          </w:tcPr>
          <w:p>
            <w:pPr>
              <w:pStyle w:val="TableContents"/>
              <w:bidi w:val="0"/>
              <w:jc w:val="start"/>
              <w:rPr/>
            </w:pPr>
            <w:r>
              <w:rPr/>
              <w:t>State Formula Programs:</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$26 Billion</w:t>
            </w:r>
          </w:p>
        </w:tc>
      </w:tr>
      <w:tr>
        <w:trPr/>
        <w:tc>
          <w:tcPr>
            <w:tcW w:w="4986" w:type="dxa"/>
            <w:tcBorders>
              <w:start w:val="single" w:sz="4" w:space="0" w:color="000000"/>
              <w:bottom w:val="single" w:sz="4" w:space="0" w:color="000000"/>
            </w:tcBorders>
          </w:tcPr>
          <w:p>
            <w:pPr>
              <w:pStyle w:val="TableContents"/>
              <w:bidi w:val="0"/>
              <w:jc w:val="start"/>
              <w:rPr/>
            </w:pPr>
            <w:r>
              <w:rPr/>
              <w:t>Public Transit:</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$91 Billion</w:t>
            </w:r>
          </w:p>
        </w:tc>
      </w:tr>
      <w:tr>
        <w:trPr/>
        <w:tc>
          <w:tcPr>
            <w:tcW w:w="4986" w:type="dxa"/>
            <w:tcBorders>
              <w:start w:val="single" w:sz="4" w:space="0" w:color="000000"/>
              <w:bottom w:val="single" w:sz="4" w:space="0" w:color="000000"/>
            </w:tcBorders>
          </w:tcPr>
          <w:p>
            <w:pPr>
              <w:pStyle w:val="TableContents"/>
              <w:bidi w:val="0"/>
              <w:jc w:val="start"/>
              <w:rPr/>
            </w:pPr>
            <w:r>
              <w:rPr/>
              <w:t>Rail:</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$66 Billion</w:t>
            </w:r>
          </w:p>
        </w:tc>
      </w:tr>
      <w:tr>
        <w:trPr/>
        <w:tc>
          <w:tcPr>
            <w:tcW w:w="4986" w:type="dxa"/>
            <w:tcBorders>
              <w:start w:val="single" w:sz="4" w:space="0" w:color="000000"/>
              <w:bottom w:val="single" w:sz="4" w:space="0" w:color="000000"/>
            </w:tcBorders>
          </w:tcPr>
          <w:p>
            <w:pPr>
              <w:pStyle w:val="TableContents"/>
              <w:bidi w:val="0"/>
              <w:jc w:val="start"/>
              <w:rPr/>
            </w:pPr>
            <w:r>
              <w:rPr/>
              <w:t>Airports:</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$25 Billion</w:t>
            </w:r>
          </w:p>
        </w:tc>
      </w:tr>
      <w:tr>
        <w:trPr/>
        <w:tc>
          <w:tcPr>
            <w:tcW w:w="4986" w:type="dxa"/>
            <w:tcBorders>
              <w:start w:val="single" w:sz="4" w:space="0" w:color="000000"/>
              <w:bottom w:val="single" w:sz="4" w:space="0" w:color="000000"/>
            </w:tcBorders>
          </w:tcPr>
          <w:p>
            <w:pPr>
              <w:pStyle w:val="TableContents"/>
              <w:bidi w:val="0"/>
              <w:jc w:val="start"/>
              <w:rPr/>
            </w:pPr>
            <w:r>
              <w:rPr/>
              <w:t>Inland Waterways &amp; Ports:</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$14.5 Billion</w:t>
            </w:r>
          </w:p>
        </w:tc>
      </w:tr>
      <w:tr>
        <w:trPr/>
        <w:tc>
          <w:tcPr>
            <w:tcW w:w="4986" w:type="dxa"/>
            <w:tcBorders>
              <w:start w:val="single" w:sz="4" w:space="0" w:color="000000"/>
              <w:bottom w:val="single" w:sz="4" w:space="0" w:color="000000"/>
            </w:tcBorders>
          </w:tcPr>
          <w:p>
            <w:pPr>
              <w:pStyle w:val="TableContents"/>
              <w:bidi w:val="0"/>
              <w:jc w:val="start"/>
              <w:rPr/>
            </w:pPr>
            <w:r>
              <w:rPr/>
              <w:t>Broadband Access and Affordability:</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$57.7 Billion</w:t>
            </w:r>
          </w:p>
        </w:tc>
      </w:tr>
      <w:tr>
        <w:trPr/>
        <w:tc>
          <w:tcPr>
            <w:tcW w:w="4986" w:type="dxa"/>
            <w:tcBorders>
              <w:start w:val="single" w:sz="4" w:space="0" w:color="000000"/>
              <w:bottom w:val="single" w:sz="4" w:space="0" w:color="000000"/>
            </w:tcBorders>
          </w:tcPr>
          <w:p>
            <w:pPr>
              <w:pStyle w:val="TableContents"/>
              <w:bidi w:val="0"/>
              <w:jc w:val="start"/>
              <w:rPr/>
            </w:pPr>
            <w:r>
              <w:rPr/>
              <w:t>Water/Sewage:</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$48.7 Billion</w:t>
            </w:r>
          </w:p>
        </w:tc>
      </w:tr>
      <w:tr>
        <w:trPr/>
        <w:tc>
          <w:tcPr>
            <w:tcW w:w="4986" w:type="dxa"/>
            <w:tcBorders>
              <w:start w:val="single" w:sz="4" w:space="0" w:color="000000"/>
              <w:bottom w:val="single" w:sz="4" w:space="0" w:color="000000"/>
            </w:tcBorders>
          </w:tcPr>
          <w:p>
            <w:pPr>
              <w:pStyle w:val="TableContents"/>
              <w:bidi w:val="0"/>
              <w:jc w:val="start"/>
              <w:rPr/>
            </w:pPr>
            <w:r>
              <w:rPr/>
              <w:t>Env. Remediation/Contaminants/Geo. Programs:</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$32.7 Billion</w:t>
            </w:r>
          </w:p>
        </w:tc>
      </w:tr>
      <w:tr>
        <w:trPr/>
        <w:tc>
          <w:tcPr>
            <w:tcW w:w="4986" w:type="dxa"/>
            <w:tcBorders>
              <w:start w:val="single" w:sz="4" w:space="0" w:color="000000"/>
              <w:bottom w:val="single" w:sz="4" w:space="0" w:color="000000"/>
            </w:tcBorders>
          </w:tcPr>
          <w:p>
            <w:pPr>
              <w:pStyle w:val="TableContents"/>
              <w:bidi w:val="0"/>
              <w:jc w:val="start"/>
              <w:rPr/>
            </w:pPr>
            <w:r>
              <w:rPr/>
              <w:t>Energy(Grid, Carbon, Hydrogen, Nuclear):</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$35.5 Billion</w:t>
            </w:r>
          </w:p>
        </w:tc>
      </w:tr>
      <w:tr>
        <w:trPr/>
        <w:tc>
          <w:tcPr>
            <w:tcW w:w="4986" w:type="dxa"/>
            <w:tcBorders>
              <w:start w:val="single" w:sz="4" w:space="0" w:color="000000"/>
              <w:bottom w:val="single" w:sz="4" w:space="0" w:color="000000"/>
            </w:tcBorders>
          </w:tcPr>
          <w:p>
            <w:pPr>
              <w:pStyle w:val="TableContents"/>
              <w:bidi w:val="0"/>
              <w:jc w:val="start"/>
              <w:rPr/>
            </w:pPr>
            <w:r>
              <w:rPr/>
              <w:t>Disaster Mitigation</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$5 Billion</w:t>
            </w:r>
          </w:p>
        </w:tc>
      </w:tr>
      <w:tr>
        <w:trPr/>
        <w:tc>
          <w:tcPr>
            <w:tcW w:w="4986" w:type="dxa"/>
            <w:tcBorders>
              <w:start w:val="single" w:sz="4" w:space="0" w:color="000000"/>
              <w:bottom w:val="single" w:sz="4" w:space="0" w:color="000000"/>
            </w:tcBorders>
          </w:tcPr>
          <w:p>
            <w:pPr>
              <w:pStyle w:val="TableContents"/>
              <w:bidi w:val="0"/>
              <w:jc w:val="start"/>
              <w:rPr/>
            </w:pPr>
            <w:r>
              <w:rPr/>
              <w:t>Cybersecurity:</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$1 Billion</w:t>
            </w:r>
          </w:p>
        </w:tc>
      </w:tr>
    </w:tbl>
    <w:p>
      <w:pPr>
        <w:pStyle w:val="TextBody"/>
        <w:bidi w:val="0"/>
        <w:jc w:val="start"/>
        <w:rPr/>
      </w:pPr>
      <w:r>
        <w:rPr/>
        <w:tab/>
        <w:tab/>
        <w:tab/>
        <w:tab/>
        <w:tab/>
        <w:tab/>
        <w:tab/>
        <w:tab/>
        <w:tab/>
        <w:tab/>
        <w:t>(The Infrastructure 2021)</w:t>
      </w:r>
    </w:p>
    <w:p>
      <w:pPr>
        <w:pStyle w:val="TextBody"/>
        <w:bidi w:val="0"/>
        <w:jc w:val="start"/>
        <w:rPr/>
      </w:pPr>
      <w:r>
        <w:rPr/>
      </w:r>
    </w:p>
    <w:p>
      <w:pPr>
        <w:pStyle w:val="Heading4"/>
        <w:bidi w:val="0"/>
        <w:jc w:val="start"/>
        <w:rPr/>
      </w:pPr>
      <w:r>
        <w:rPr/>
        <w:t>Target Questions:</w:t>
      </w:r>
    </w:p>
    <w:p>
      <w:pPr>
        <w:pStyle w:val="TextBody"/>
        <w:bidi w:val="0"/>
        <w:jc w:val="start"/>
        <w:rPr/>
      </w:pPr>
      <w:r>
        <w:rPr/>
        <w:t>1.  Is the allocation equitable based on the population of each of the States and Territories, or is bias apparent?</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t>2. Does the allocation favor the political interests of the Biden administration?</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Heading4"/>
        <w:bidi w:val="0"/>
        <w:jc w:val="start"/>
        <w:rPr/>
      </w:pPr>
      <w:r>
        <w:rPr/>
      </w:r>
    </w:p>
    <w:p>
      <w:pPr>
        <w:pStyle w:val="TextBody"/>
        <w:bidi w:val="0"/>
        <w:jc w:val="start"/>
        <w:rPr/>
      </w:pPr>
      <w:r>
        <w:rPr/>
      </w:r>
    </w:p>
    <w:p>
      <w:pPr>
        <w:pStyle w:val="TextBody"/>
        <w:bidi w:val="0"/>
        <w:jc w:val="start"/>
        <w:rPr/>
      </w:pPr>
      <w:r>
        <w:rPr/>
      </w:r>
    </w:p>
    <w:p>
      <w:pPr>
        <w:pStyle w:val="Heading4"/>
        <w:bidi w:val="0"/>
        <w:jc w:val="start"/>
        <w:rPr/>
      </w:pPr>
      <w:r>
        <w:rPr/>
        <w:t>References &amp; Code Appendix:</w:t>
      </w:r>
    </w:p>
    <w:p>
      <w:pPr>
        <w:pStyle w:val="TextBody"/>
        <w:bidi w:val="0"/>
        <w:jc w:val="start"/>
        <w:rPr/>
      </w:pPr>
      <w:r>
        <w:rPr/>
      </w:r>
    </w:p>
    <w:p>
      <w:pPr>
        <w:pStyle w:val="TextBody"/>
        <w:bidi w:val="0"/>
        <w:jc w:val="start"/>
        <w:rPr/>
      </w:pPr>
      <w:r>
        <w:rPr/>
        <w:t xml:space="preserve">NCSL. (2022). </w:t>
      </w:r>
      <w:r>
        <w:rPr>
          <w:i/>
        </w:rPr>
        <w:t>Resource Infrastructure Investment and jobs act: Implementation and key resources</w:t>
      </w:r>
      <w:r>
        <w:rPr/>
        <w:t xml:space="preserve">. National Conference of State Legislatures. https://www.ncsl.org/state-federal/infrastructure-investment-and-jobs-act-implementation-and-key-resources </w:t>
      </w:r>
    </w:p>
    <w:p>
      <w:pPr>
        <w:pStyle w:val="Normal"/>
        <w:bidi w:val="0"/>
        <w:jc w:val="start"/>
        <w:rPr/>
      </w:pPr>
      <w:r>
        <w:rPr/>
      </w:r>
    </w:p>
    <w:p>
      <w:pPr>
        <w:pStyle w:val="TextBody"/>
        <w:bidi w:val="0"/>
        <w:jc w:val="start"/>
        <w:rPr>
          <w:rFonts w:ascii="Calibri" w:hAnsi="Calibri"/>
          <w:b w:val="false"/>
          <w:i w:val="false"/>
          <w:caps w:val="false"/>
          <w:smallCaps w:val="false"/>
          <w:color w:val="000000"/>
          <w:spacing w:val="0"/>
        </w:rPr>
      </w:pPr>
      <w:r>
        <w:rPr>
          <w:rFonts w:ascii="Calibri" w:hAnsi="Calibri"/>
          <w:b w:val="false"/>
          <w:i/>
          <w:caps w:val="false"/>
          <w:smallCaps w:val="false"/>
          <w:color w:val="000000"/>
          <w:spacing w:val="0"/>
        </w:rPr>
        <w:t>Fixing America’s Surface Transportation Act (FAST Act) - FHWA Operations</w:t>
      </w:r>
      <w:r>
        <w:rPr>
          <w:rFonts w:ascii="Calibri" w:hAnsi="Calibri"/>
          <w:b w:val="false"/>
          <w:i w:val="false"/>
          <w:caps w:val="false"/>
          <w:smallCaps w:val="false"/>
          <w:color w:val="000000"/>
          <w:spacing w:val="0"/>
        </w:rPr>
        <w:t>. (2023). Ops.fhwa.dot.gov. https://ops.fhwa.dot.gov/fastact/</w:t>
      </w:r>
    </w:p>
    <w:p>
      <w:pPr>
        <w:pStyle w:val="TextBody"/>
        <w:widowControl/>
        <w:bidi w:val="0"/>
        <w:ind w:start="0" w:end="0" w:hanging="0"/>
        <w:jc w:val="start"/>
        <w:rPr>
          <w:caps w:val="false"/>
          <w:smallCaps w:val="false"/>
          <w:color w:val="000000"/>
          <w:spacing w:val="0"/>
        </w:rPr>
      </w:pPr>
      <w:r>
        <w:rPr>
          <w:caps w:val="false"/>
          <w:smallCaps w:val="false"/>
          <w:color w:val="000000"/>
          <w:spacing w:val="0"/>
        </w:rPr>
        <w:t>‌</w:t>
      </w:r>
    </w:p>
    <w:p>
      <w:pPr>
        <w:pStyle w:val="TextBody"/>
        <w:widowControl/>
        <w:bidi w:val="0"/>
        <w:ind w:start="0" w:end="0" w:hanging="0"/>
        <w:jc w:val="start"/>
        <w:rPr/>
      </w:pPr>
      <w:r>
        <w:rPr>
          <w:rFonts w:ascii="Calibri" w:hAnsi="Calibri"/>
          <w:b w:val="false"/>
          <w:i/>
          <w:caps w:val="false"/>
          <w:smallCaps w:val="false"/>
          <w:color w:val="000000"/>
          <w:spacing w:val="0"/>
        </w:rPr>
        <w:t>EPW Committee Advances Surface Transportation Bill With Unanimous Support</w:t>
      </w:r>
      <w:r>
        <w:rPr>
          <w:rFonts w:ascii="Calibri" w:hAnsi="Calibri"/>
          <w:b w:val="false"/>
          <w:i w:val="false"/>
          <w:caps w:val="false"/>
          <w:smallCaps w:val="false"/>
          <w:color w:val="000000"/>
          <w:spacing w:val="0"/>
        </w:rPr>
        <w:t>. (</w:t>
      </w:r>
      <w:r>
        <w:rPr>
          <w:rFonts w:ascii="Calibri" w:hAnsi="Calibri"/>
          <w:b w:val="false"/>
          <w:i w:val="false"/>
          <w:caps w:val="false"/>
          <w:smallCaps w:val="false"/>
          <w:color w:val="000000"/>
          <w:spacing w:val="0"/>
        </w:rPr>
        <w:t>2021</w:t>
      </w:r>
      <w:r>
        <w:rPr>
          <w:rFonts w:ascii="Calibri" w:hAnsi="Calibri"/>
          <w:b w:val="false"/>
          <w:i w:val="false"/>
          <w:caps w:val="false"/>
          <w:smallCaps w:val="false"/>
          <w:color w:val="000000"/>
          <w:spacing w:val="0"/>
        </w:rPr>
        <w:t xml:space="preserve">). U.S. Senate Committee on Environment and Public Works. Retrieved September 9, 2023, from </w:t>
      </w:r>
      <w:hyperlink r:id="rId5">
        <w:r>
          <w:rPr>
            <w:rStyle w:val="InternetLink"/>
            <w:rFonts w:ascii="Calibri" w:hAnsi="Calibri"/>
            <w:b w:val="false"/>
            <w:i w:val="false"/>
            <w:caps w:val="false"/>
            <w:smallCaps w:val="false"/>
            <w:color w:val="000000"/>
            <w:spacing w:val="0"/>
          </w:rPr>
          <w:t>https://www.epw.senate.gov/public/index.cfm/2021/5/carper-and-capito-applaud-committee-passage-of-bipartisan-surface-transportation-bill</w:t>
        </w:r>
      </w:hyperlink>
    </w:p>
    <w:p>
      <w:pPr>
        <w:pStyle w:val="TextBody"/>
        <w:widowControl/>
        <w:bidi w:val="0"/>
        <w:ind w:start="0" w:end="0" w:hanging="0"/>
        <w:jc w:val="start"/>
        <w:rPr>
          <w:rFonts w:ascii="Calibri" w:hAnsi="Calibri"/>
          <w:b w:val="false"/>
          <w:i w:val="false"/>
          <w:caps w:val="false"/>
          <w:smallCaps w:val="false"/>
          <w:color w:val="000000"/>
          <w:spacing w:val="0"/>
        </w:rPr>
      </w:pPr>
      <w:r>
        <w:rPr>
          <w:rFonts w:ascii="Calibri" w:hAnsi="Calibri"/>
          <w:b w:val="false"/>
          <w:i w:val="false"/>
          <w:caps w:val="false"/>
          <w:smallCaps w:val="false"/>
          <w:color w:val="000000"/>
          <w:spacing w:val="0"/>
        </w:rPr>
      </w:r>
    </w:p>
    <w:p>
      <w:pPr>
        <w:pStyle w:val="TextBody"/>
        <w:widowControl/>
        <w:bidi w:val="0"/>
        <w:ind w:start="0" w:end="0" w:hanging="0"/>
        <w:jc w:val="start"/>
        <w:rPr>
          <w:rFonts w:ascii="Calibri" w:hAnsi="Calibri"/>
          <w:b w:val="false"/>
          <w:i w:val="false"/>
          <w:caps w:val="false"/>
          <w:smallCaps w:val="false"/>
          <w:color w:val="000000"/>
          <w:spacing w:val="0"/>
        </w:rPr>
      </w:pPr>
      <w:r>
        <w:rPr>
          <w:rFonts w:ascii="Calibri" w:hAnsi="Calibri"/>
          <w:b w:val="false"/>
          <w:i/>
          <w:caps w:val="false"/>
          <w:smallCaps w:val="false"/>
          <w:color w:val="000000"/>
          <w:spacing w:val="0"/>
        </w:rPr>
        <w:t>The Infrastructure Investment and Jobs Act: An Explainer for States</w:t>
      </w:r>
      <w:r>
        <w:rPr>
          <w:rFonts w:ascii="Calibri" w:hAnsi="Calibri"/>
          <w:b w:val="false"/>
          <w:i w:val="false"/>
          <w:caps w:val="false"/>
          <w:smallCaps w:val="false"/>
          <w:color w:val="000000"/>
          <w:spacing w:val="0"/>
        </w:rPr>
        <w:t>. (2021). https://documents.ncsl.org/wwwncsl/State-Federal/NCSL_Infrastructure_Briefing_Nov22-Final.pdf</w:t>
      </w:r>
    </w:p>
    <w:p>
      <w:pPr>
        <w:pStyle w:val="TextBody"/>
        <w:widowControl/>
        <w:bidi w:val="0"/>
        <w:ind w:start="0" w:end="0" w:hanging="0"/>
        <w:jc w:val="start"/>
        <w:rPr>
          <w:caps w:val="false"/>
          <w:smallCaps w:val="false"/>
          <w:color w:val="000000"/>
          <w:spacing w:val="0"/>
        </w:rPr>
      </w:pPr>
      <w:r>
        <w:rPr>
          <w:caps w:val="false"/>
          <w:smallCaps w:val="false"/>
          <w:color w:val="000000"/>
          <w:spacing w:val="0"/>
        </w:rPr>
        <w:t>‌</w:t>
      </w:r>
    </w:p>
    <w:p>
      <w:pPr>
        <w:pStyle w:val="TextBody"/>
        <w:widowControl/>
        <w:bidi w:val="0"/>
        <w:ind w:start="0" w:end="0" w:hanging="0"/>
        <w:jc w:val="start"/>
        <w:rPr>
          <w:rFonts w:ascii="Calibri" w:hAnsi="Calibri"/>
          <w:b w:val="false"/>
          <w:i w:val="false"/>
          <w:caps w:val="false"/>
          <w:smallCaps w:val="false"/>
          <w:color w:val="000000"/>
          <w:spacing w:val="0"/>
        </w:rPr>
      </w:pPr>
      <w:r>
        <w:rPr>
          <w:rFonts w:ascii="Calibri" w:hAnsi="Calibri"/>
          <w:b w:val="false"/>
          <w:i w:val="false"/>
          <w:caps w:val="false"/>
          <w:smallCaps w:val="false"/>
          <w:color w:val="000000"/>
          <w:spacing w:val="0"/>
        </w:rPr>
      </w:r>
    </w:p>
    <w:p>
      <w:pPr>
        <w:pStyle w:val="TextBody"/>
        <w:widowControl/>
        <w:bidi w:val="0"/>
        <w:ind w:start="0" w:end="0" w:hanging="0"/>
        <w:jc w:val="start"/>
        <w:rPr>
          <w:caps w:val="false"/>
          <w:smallCaps w:val="false"/>
          <w:color w:val="000000"/>
          <w:spacing w:val="0"/>
        </w:rPr>
      </w:pPr>
      <w:r>
        <w:rPr>
          <w:caps w:val="false"/>
          <w:smallCaps w:val="false"/>
          <w:color w:val="000000"/>
          <w:spacing w:val="0"/>
        </w:rPr>
        <w:t>‌</w:t>
      </w:r>
    </w:p>
    <w:p>
      <w:pPr>
        <w:pStyle w:val="TextBody"/>
        <w:widowControl/>
        <w:bidi w:val="0"/>
        <w:ind w:start="0" w:end="0" w:hanging="0"/>
        <w:jc w:val="start"/>
        <w:rPr>
          <w:caps w:val="false"/>
          <w:smallCaps w:val="false"/>
          <w:color w:val="000000"/>
          <w:spacing w:val="0"/>
        </w:rPr>
      </w:pPr>
      <w:r>
        <w:rPr>
          <w:caps w:val="false"/>
          <w:smallCaps w:val="false"/>
          <w:color w:val="000000"/>
          <w:spacing w:val="0"/>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gress.gov/bill/117th-congress/house-bill/3684" TargetMode="External"/><Relationship Id="rId3" Type="http://schemas.openxmlformats.org/officeDocument/2006/relationships/hyperlink" Target="https://gfoaorg.cdn.prismic.io/gfoaorg/0727aa5a-308f-4ef0-addf-140fd43acfb5_BUILDING-A-BETTER-AMERICA-V2.pdf" TargetMode="External"/><Relationship Id="rId4" Type="http://schemas.openxmlformats.org/officeDocument/2006/relationships/hyperlink" Target="https://www.epw.senate.gov/public/index.cfm/2021/5/carper-and-capito-applaud-committee-passage-of-bipartisan-surface-transportation-bill"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LibreOffice/7.5.2.2$Windows_X86_64 LibreOffice_project/53bb9681a964705cf672590721dbc85eb4d0c3a2</Application>
  <AppVersion>15.0000</AppVersion>
  <Pages>4</Pages>
  <Words>393</Words>
  <Characters>2768</Characters>
  <CharactersWithSpaces>3125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2023-09-09T13:21:11Z</dcterms:created>
  <dc:creator/>
  <dc:description/>
  <dc:language>en-US</dc:language>
  <cp:lastModifiedBy/>
  <dcterms:modified xsi:type="dcterms:W3CDTF">2023-09-09T16:00:50Z</dcterms:modified>
  <cp:revision>2</cp:revision>
  <dc:subject/>
  <dc:title/>
</cp:coreProperties>
</file>