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4B256" w14:textId="0583152C" w:rsidR="002626AA" w:rsidRDefault="00DA0036" w:rsidP="00DA0036">
      <w:pPr>
        <w:pStyle w:val="Title"/>
      </w:pPr>
      <w:r>
        <w:t>Discussion</w:t>
      </w:r>
    </w:p>
    <w:p w14:paraId="10CFF4EE" w14:textId="533AECBA" w:rsidR="001B1045" w:rsidRPr="001B1045" w:rsidRDefault="001B1045" w:rsidP="001B1045">
      <w:pPr>
        <w:rPr>
          <w:i/>
          <w:iCs/>
        </w:rPr>
      </w:pPr>
      <w:r>
        <w:rPr>
          <w:i/>
          <w:iCs/>
        </w:rPr>
        <w:t>Limitations of the dataset</w:t>
      </w:r>
    </w:p>
    <w:p w14:paraId="25155198" w14:textId="77777777" w:rsidR="00513E93" w:rsidRDefault="00F457D4" w:rsidP="00F457D4">
      <w:r>
        <w:t xml:space="preserve">The various limitations </w:t>
      </w:r>
      <w:r w:rsidR="009E78BA">
        <w:t xml:space="preserve">of </w:t>
      </w:r>
      <w:r>
        <w:t xml:space="preserve">the data are </w:t>
      </w:r>
      <w:r w:rsidR="009E78BA">
        <w:t xml:space="preserve">partly </w:t>
      </w:r>
      <w:r>
        <w:t xml:space="preserve">influencing the results. </w:t>
      </w:r>
      <w:r>
        <w:fldChar w:fldCharType="begin" w:fldLock="1"/>
      </w:r>
      <w:r w:rsidR="001C2FC5">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mapping","type":"article-journal","volume":"160"},"uris":["http://www.mendeley.com/documents/?uuid=5b041289-3c4f-433e-a4f4-6a4fefa0495f"]}],"mendeley":{"formattedCitation":"(Oliva and Schroeder, 2015)","manualFormatting":"Oliva and Schroeder (2015)","plainTextFormattedCitation":"(Oliva and Schroeder, 2015)","previouslyFormattedCitation":"(Oliva and Schroeder, 2015)"},"properties":{"noteIndex":0},"schema":"https://github.com/citation-style-language/schema/raw/master/csl-citation.json"}</w:instrText>
      </w:r>
      <w:r>
        <w:fldChar w:fldCharType="separate"/>
      </w:r>
      <w:r w:rsidRPr="00F457D4">
        <w:rPr>
          <w:noProof/>
        </w:rPr>
        <w:t xml:space="preserve">Oliva and Schroeder </w:t>
      </w:r>
      <w:r>
        <w:rPr>
          <w:noProof/>
        </w:rPr>
        <w:t>(</w:t>
      </w:r>
      <w:r w:rsidRPr="00F457D4">
        <w:rPr>
          <w:noProof/>
        </w:rPr>
        <w:t>2015)</w:t>
      </w:r>
      <w:r>
        <w:fldChar w:fldCharType="end"/>
      </w:r>
      <w:r>
        <w:t xml:space="preserve"> demonstrated</w:t>
      </w:r>
      <w:r w:rsidR="009E78BA">
        <w:t xml:space="preserve"> that the identification of </w:t>
      </w:r>
      <w:r>
        <w:t>fires in grassland</w:t>
      </w:r>
      <w:r w:rsidR="009E78BA">
        <w:t xml:space="preserve"> and heath have a higher commission error in comparison with other land cover types</w:t>
      </w:r>
      <w:r>
        <w:t>.</w:t>
      </w:r>
      <w:r w:rsidR="009E78BA">
        <w:t xml:space="preserve"> Most of the identified fire pixels </w:t>
      </w:r>
      <w:r w:rsidR="00A01CF6">
        <w:t xml:space="preserve">are </w:t>
      </w:r>
      <w:r w:rsidR="009E78BA">
        <w:t>heath</w:t>
      </w:r>
      <w:r w:rsidR="00A01CF6">
        <w:t>, which could lead of some false positives and none observed fire pixels</w:t>
      </w:r>
      <w:r w:rsidR="000B38FA">
        <w:t>.</w:t>
      </w:r>
    </w:p>
    <w:p w14:paraId="1E8A5569" w14:textId="032A621D" w:rsidR="00DA0036" w:rsidRDefault="00513E93" w:rsidP="00F457D4">
      <w:r>
        <w:t>Some wildfires are also not identified, because of the frequency which the satellite a location observes on a day.</w:t>
      </w:r>
      <w:r w:rsidR="007E62D9">
        <w:t xml:space="preserve"> The VIIRS instrument has a 12 hour gap between each observation</w:t>
      </w:r>
      <w:r w:rsidR="0027566C">
        <w:t xml:space="preserve"> on a specific location </w:t>
      </w:r>
      <w:r w:rsidR="0027566C">
        <w:fldChar w:fldCharType="begin" w:fldLock="1"/>
      </w:r>
      <w:r w:rsidR="00B42E8F">
        <w:instrText>ADDIN CSL_CITATION {"citationItems":[{"id":"ITEM-1","itemData":{"author":[{"dropping-particle":"","family":"Schroeder","given":"Wilfrid","non-dropping-particle":"","parse-names":false,"suffix":""},{"dropping-particle":"","family":"Giglio","given":"Louis","non-dropping-particle":"","parse-names":false,"suffix":""}],"container-title":"Nasa","id":"ITEM-1","issue":"July","issued":{"date-parts":[["2018"]]},"title":"NASA VIIRS Land Science Investigator Processing System (SIPS) Visible Infrared Imaging Radiometer Suite (VIIRS) 375 m &amp; 750 m Active Fire Products: Product User's Guide Version 1.4","type":"article-journal"},"uris":["http://www.mendeley.com/documents/?uuid=63fbf597-e48f-484c-821d-42544268b4bc"]}],"mendeley":{"formattedCitation":"(Schroeder and Giglio, 2018)","plainTextFormattedCitation":"(Schroeder and Giglio, 2018)","previouslyFormattedCitation":"(Schroeder and Giglio, 2018)"},"properties":{"noteIndex":0},"schema":"https://github.com/citation-style-language/schema/raw/master/csl-citation.json"}</w:instrText>
      </w:r>
      <w:r w:rsidR="0027566C">
        <w:fldChar w:fldCharType="separate"/>
      </w:r>
      <w:r w:rsidR="0027566C" w:rsidRPr="0027566C">
        <w:rPr>
          <w:noProof/>
        </w:rPr>
        <w:t>(Schroeder and Giglio, 2018)</w:t>
      </w:r>
      <w:r w:rsidR="0027566C">
        <w:fldChar w:fldCharType="end"/>
      </w:r>
      <w:r w:rsidR="007E62D9">
        <w:t xml:space="preserve">, which could </w:t>
      </w:r>
      <w:r w:rsidR="0027566C">
        <w:t>miss fires, which were only active in the 12 hour gap</w:t>
      </w:r>
      <w:r w:rsidR="002C47D6">
        <w:t xml:space="preserve">. The data is slightly incomplete. </w:t>
      </w:r>
      <w:r w:rsidR="00DA5507">
        <w:t xml:space="preserve"> </w:t>
      </w:r>
    </w:p>
    <w:p w14:paraId="06BF57AB" w14:textId="18DF7CBF" w:rsidR="001C2FC5" w:rsidRDefault="001C2FC5" w:rsidP="00F457D4">
      <w:r>
        <w:t xml:space="preserve">Another limitation of the data is that the location of the fire </w:t>
      </w:r>
      <w:r w:rsidR="00297EC4">
        <w:t xml:space="preserve">cannot </w:t>
      </w:r>
      <w:r w:rsidR="0040018E">
        <w:t>precisely</w:t>
      </w:r>
      <w:r w:rsidR="0040018E">
        <w:t xml:space="preserve"> </w:t>
      </w:r>
      <w:r w:rsidR="00297EC4">
        <w:t xml:space="preserve">be </w:t>
      </w:r>
      <w:r w:rsidR="00013C67">
        <w:t>determined</w:t>
      </w:r>
      <w:r>
        <w:t xml:space="preserve">. VIIRS </w:t>
      </w:r>
      <w:r w:rsidR="005D1437">
        <w:t xml:space="preserve">observes </w:t>
      </w:r>
      <w:r w:rsidR="00A50A6C">
        <w:t xml:space="preserve">small </w:t>
      </w:r>
      <w:r>
        <w:t xml:space="preserve">fires </w:t>
      </w:r>
      <w:r w:rsidR="00A50A6C">
        <w:t xml:space="preserve">up to the </w:t>
      </w:r>
      <w:r>
        <w:t xml:space="preserve">size </w:t>
      </w:r>
      <w:r w:rsidR="0053611F">
        <w:t xml:space="preserve">of </w:t>
      </w:r>
      <w:r w:rsidR="005071D1">
        <w:t xml:space="preserve">25% of a </w:t>
      </w:r>
      <w:r>
        <w:t>LANDSAT-8 pixel (</w:t>
      </w:r>
      <w:r w:rsidR="003B71C5">
        <w:t xml:space="preserve">with </w:t>
      </w:r>
      <w:r>
        <w:t xml:space="preserve">30 meter) </w:t>
      </w:r>
      <w:r>
        <w:fldChar w:fldCharType="begin" w:fldLock="1"/>
      </w:r>
      <w:r w:rsidR="005B19D9">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assessment","type":"article-journal","volume":"143"},"uris":["http://www.mendeley.com/documents/?uuid=a634acde-4e20-40d9-9972-992dcc303ba4"]},{"id":"ITEM-2","itemData":{"DOI":"10.1016/j.rse.2015.01.010","ISSN":"00344257","abstract":"The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Environment","id":"ITEM-2","issued":{"date-parts":[["2015","4"]]},"page":"144-155","publisher":"ELSEVIER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mapping","type":"article-journal","volume":"160"},"uris":["http://www.mendeley.com/documents/?uuid=5b041289-3c4f-433e-a4f4-6a4fefa0495f"]}],"mendeley":{"formattedCitation":"(Schroeder &lt;i&gt;et al.&lt;/i&gt;, 2014; Oliva and Schroeder, 2015)","plainTextFormattedCitation":"(Schroeder et al., 2014; Oliva and Schroeder, 2015)","previouslyFormattedCitation":"(Schroeder &lt;i&gt;et al.&lt;/i&gt;, 2014; Oliva and Schroeder, 2015)"},"properties":{"noteIndex":0},"schema":"https://github.com/citation-style-language/schema/raw/master/csl-citation.json"}</w:instrText>
      </w:r>
      <w:r>
        <w:fldChar w:fldCharType="separate"/>
      </w:r>
      <w:r w:rsidRPr="001C2FC5">
        <w:rPr>
          <w:noProof/>
        </w:rPr>
        <w:t xml:space="preserve">(Schroeder </w:t>
      </w:r>
      <w:r w:rsidRPr="001C2FC5">
        <w:rPr>
          <w:i/>
          <w:noProof/>
        </w:rPr>
        <w:t>et al.</w:t>
      </w:r>
      <w:r w:rsidRPr="001C2FC5">
        <w:rPr>
          <w:noProof/>
        </w:rPr>
        <w:t>, 2014; Oliva and Schroeder, 2015)</w:t>
      </w:r>
      <w:r>
        <w:fldChar w:fldCharType="end"/>
      </w:r>
      <w:r>
        <w:t xml:space="preserve">, </w:t>
      </w:r>
      <w:r w:rsidR="00297A19">
        <w:t xml:space="preserve">but </w:t>
      </w:r>
      <w:r>
        <w:t>the exact size and location of the wildfire</w:t>
      </w:r>
      <w:r w:rsidR="00A50A6C">
        <w:t xml:space="preserve"> </w:t>
      </w:r>
      <w:r w:rsidR="005415CB">
        <w:t>cannot be deducted with only data of the VIIRS pix</w:t>
      </w:r>
      <w:r w:rsidR="00C130BA">
        <w:t>el</w:t>
      </w:r>
      <w:r>
        <w:t>.</w:t>
      </w:r>
      <w:r w:rsidR="00595819">
        <w:t xml:space="preserve"> T</w:t>
      </w:r>
      <w:r>
        <w:t xml:space="preserve">he </w:t>
      </w:r>
      <w:r w:rsidR="00F733BD">
        <w:t xml:space="preserve">exact </w:t>
      </w:r>
      <w:r>
        <w:t xml:space="preserve">fire type </w:t>
      </w:r>
      <w:r w:rsidR="00F733BD">
        <w:t xml:space="preserve">of some fire pixels is not clear and gets the type </w:t>
      </w:r>
      <w:r>
        <w:t>combined nature</w:t>
      </w:r>
      <w:r w:rsidR="009B6E00">
        <w:t xml:space="preserve">. This </w:t>
      </w:r>
      <w:r w:rsidR="0091726D">
        <w:t>does not</w:t>
      </w:r>
      <w:r>
        <w:t xml:space="preserve"> show </w:t>
      </w:r>
      <w:r w:rsidR="00E35808">
        <w:t xml:space="preserve">any </w:t>
      </w:r>
      <w:r>
        <w:t xml:space="preserve">information about </w:t>
      </w:r>
      <w:r w:rsidR="007463BF">
        <w:t>the effected land cover and only classifies that the origin of the effected landcover is nature</w:t>
      </w:r>
      <w:r>
        <w:t xml:space="preserve">. </w:t>
      </w:r>
    </w:p>
    <w:p w14:paraId="50C166CE" w14:textId="61D7A480" w:rsidR="00575B76" w:rsidRDefault="00575B76" w:rsidP="00F457D4">
      <w:r>
        <w:t>At least, the monthly temporal resolution of the research and the quantification in terms of fire pixels instead of fires</w:t>
      </w:r>
      <w:r w:rsidR="00130E6D">
        <w:t xml:space="preserve"> give no information about the fires. With the </w:t>
      </w:r>
    </w:p>
    <w:p w14:paraId="4D931966" w14:textId="3240AC25" w:rsidR="001B1045" w:rsidRPr="001B1045" w:rsidRDefault="001B1045" w:rsidP="00F457D4">
      <w:pPr>
        <w:rPr>
          <w:i/>
          <w:iCs/>
        </w:rPr>
      </w:pPr>
      <w:r>
        <w:rPr>
          <w:i/>
          <w:iCs/>
        </w:rPr>
        <w:t>Location of the fires</w:t>
      </w:r>
    </w:p>
    <w:p w14:paraId="7450D6A0" w14:textId="0708ED8D" w:rsidR="00292A8F" w:rsidRDefault="0091726D" w:rsidP="00F457D4">
      <w:pPr>
        <w:rPr>
          <w:b/>
          <w:bCs/>
        </w:rPr>
      </w:pPr>
      <w:r>
        <w:t>Nonetheless</w:t>
      </w:r>
      <w:r w:rsidR="0042656F">
        <w:t xml:space="preserve">, </w:t>
      </w:r>
      <w:r>
        <w:t xml:space="preserve">the </w:t>
      </w:r>
      <w:r w:rsidR="005D0DC6">
        <w:t xml:space="preserve">figures </w:t>
      </w:r>
      <w:r w:rsidR="00297EC4">
        <w:t xml:space="preserve">are showing </w:t>
      </w:r>
      <w:r>
        <w:t xml:space="preserve">various details </w:t>
      </w:r>
      <w:r w:rsidR="0055316A">
        <w:t>the location</w:t>
      </w:r>
      <w:r>
        <w:t xml:space="preserve">, </w:t>
      </w:r>
      <w:r w:rsidR="00903227">
        <w:t xml:space="preserve">effected landcover, </w:t>
      </w:r>
      <w:r w:rsidR="0055316A">
        <w:t xml:space="preserve">seasonal influences </w:t>
      </w:r>
      <w:r w:rsidR="00BA1B15">
        <w:t xml:space="preserve">and the </w:t>
      </w:r>
      <w:r w:rsidR="0055316A">
        <w:t>cause of these fire pixels</w:t>
      </w:r>
      <w:r w:rsidR="00B1320F">
        <w:t xml:space="preserve">. </w:t>
      </w:r>
      <w:r w:rsidR="00CD5412">
        <w:t xml:space="preserve">As seen in figure </w:t>
      </w:r>
      <w:r w:rsidR="00CD5412">
        <w:rPr>
          <w:b/>
          <w:bCs/>
        </w:rPr>
        <w:t>X</w:t>
      </w:r>
      <w:r w:rsidR="00CD5412">
        <w:t xml:space="preserve">, the </w:t>
      </w:r>
      <w:r w:rsidR="00CD5412">
        <w:rPr>
          <w:b/>
          <w:bCs/>
        </w:rPr>
        <w:t>PERCENTAGE</w:t>
      </w:r>
      <w:r w:rsidR="00CD5412">
        <w:t xml:space="preserve"> of </w:t>
      </w:r>
      <w:r w:rsidR="004341E2">
        <w:t xml:space="preserve">the pixels </w:t>
      </w:r>
      <w:r w:rsidR="00CD5412">
        <w:t>are in designated natural areas</w:t>
      </w:r>
      <w:r w:rsidR="00D34AC3">
        <w:t xml:space="preserve">. </w:t>
      </w:r>
      <w:r w:rsidR="00FE2805">
        <w:t xml:space="preserve">The spatial </w:t>
      </w:r>
      <w:r w:rsidR="00396874">
        <w:t xml:space="preserve">policy </w:t>
      </w:r>
      <w:r w:rsidR="00FE2805">
        <w:t xml:space="preserve">of the European Union and </w:t>
      </w:r>
      <w:r w:rsidR="00396874">
        <w:t>Dutch government</w:t>
      </w:r>
      <w:r w:rsidR="00792752">
        <w:t xml:space="preserve"> has influenced the fires in these regimes</w:t>
      </w:r>
      <w:r w:rsidR="00240B41">
        <w:t>.</w:t>
      </w:r>
      <w:r w:rsidR="00DA4B81">
        <w:t xml:space="preserve"> </w:t>
      </w:r>
      <w:r w:rsidR="00A6768A">
        <w:t xml:space="preserve">The Natura 2000 are protected, as stated in the method, by the two directives. The spatial policy changes in these areas are rather </w:t>
      </w:r>
      <w:r w:rsidR="00B42E8F">
        <w:t>difficult because</w:t>
      </w:r>
      <w:r w:rsidR="00A6768A">
        <w:t xml:space="preserve"> </w:t>
      </w:r>
      <w:r w:rsidR="00B42E8F">
        <w:fldChar w:fldCharType="begin" w:fldLock="1"/>
      </w:r>
      <w:r w:rsidR="00B42E8F">
        <w:instrText>ADDIN CSL_CITATION {"citationItems":[{"id":"ITEM-1","itemData":{"author":[{"dropping-particle":"","family":"Hatcher","given":"Robert D","non-dropping-particle":"","parse-names":false,"suffix":""},{"dropping-particle":"","family":"Williams","given":"Harold","non-dropping-particle":"","parse-names":false,"suffix":""},{"dropping-particle":"","family":"Zietz","given":"Isidore","non-dropping-particle":"","parse-names":false,"suffix":""},{"dropping-particle":"","family":"America.","given":"Geological Society of","non-dropping-particle":"","parse-names":false,"suffix":""},{"dropping-particle":"","family":"Geological Society of America Penrose Conference Geological Society of America Penrose Conference (1980 : Helen","given":"Ga.) T A - T T -","non-dropping-particle":"","parse-names":false,"suffix":""}],"collection-title":"Memoir / Geological Society of America ; 158; Memoir (Geological Society of America) ; 158.","edition":" NV  - 1 o","id":"ITEM-1","issued":{"date-parts":[["1983"]]},"language":"Engels","publisher":"Geological Society of America,","publisher-place":"Boulder, Colo. :","title":"Contributions to the tectonics and geophysics of mountain chains","type":"article"},"uris":["http://www.mendeley.com/documents/?uuid=1687e83f-6eab-47aa-8b4a-208a92f72c1e"]}],"mendeley":{"formattedCitation":"(Hatcher &lt;i&gt;et al.&lt;/i&gt;, 1983)","plainTextFormattedCitation":"(Hatcher et al., 1983)","previouslyFormattedCitation":"(Hatcher &lt;i&gt;et al.&lt;/i&gt;, 1983)"},"properties":{"noteIndex":0},"schema":"https://github.com/citation-style-language/schema/raw/master/csl-citation.json"}</w:instrText>
      </w:r>
      <w:r w:rsidR="00B42E8F">
        <w:fldChar w:fldCharType="separate"/>
      </w:r>
      <w:r w:rsidR="00B42E8F" w:rsidRPr="00B42E8F">
        <w:rPr>
          <w:noProof/>
        </w:rPr>
        <w:t xml:space="preserve">(Hatcher </w:t>
      </w:r>
      <w:r w:rsidR="00B42E8F" w:rsidRPr="00B42E8F">
        <w:rPr>
          <w:i/>
          <w:noProof/>
        </w:rPr>
        <w:t>et al.</w:t>
      </w:r>
      <w:r w:rsidR="00B42E8F" w:rsidRPr="00B42E8F">
        <w:rPr>
          <w:noProof/>
        </w:rPr>
        <w:t>, 1983)</w:t>
      </w:r>
      <w:r w:rsidR="00B42E8F">
        <w:fldChar w:fldCharType="end"/>
      </w:r>
      <w:r w:rsidR="00B42E8F">
        <w:t xml:space="preserve"> </w:t>
      </w:r>
      <w:r w:rsidR="00A6768A">
        <w:t>these spatial changes and policies in these areas need to be approved by the European Union</w:t>
      </w:r>
      <w:r w:rsidR="00B42E8F">
        <w:t xml:space="preserve"> </w:t>
      </w:r>
      <w:r w:rsidR="00B42E8F">
        <w:fldChar w:fldCharType="begin" w:fldLock="1"/>
      </w:r>
      <w:r w:rsidR="00C56AD4">
        <w:instrText>ADDIN CSL_CITATION {"citationItems":[{"id":"ITEM-1","itemData":{"ISBN":"9789279475924","ISSN":"1725-2237","abstract":"Report on the status of and trends for habitat types and species covered by the Birds and Habitats Directives for the 2007-2012 period as required under Article 17 of the Habitats Directive and Article 12 of the Birds Directive","author":[{"dropping-particle":"","family":"EEA","given":"","non-dropping-particle":"","parse-names":false,"suffix":""}],"container-title":"EEA Technical Report","id":"ITEM-1","issue":"2","issued":{"date-parts":[["2015"]]},"number-of-pages":"40 S.","title":"The State of Nature in the European Union - Results from reporting under the nature directives 2007–2012","type":"book"},"uris":["http://www.mendeley.com/documents/?uuid=287dabb4-7316-4e3e-a611-48416a059625"]}],"mendeley":{"formattedCitation":"(EEA, 2015)","plainTextFormattedCitation":"(EEA, 2015)","previouslyFormattedCitation":"(EEA, 2015)"},"properties":{"noteIndex":0},"schema":"https://github.com/citation-style-language/schema/raw/master/csl-citation.json"}</w:instrText>
      </w:r>
      <w:r w:rsidR="00B42E8F">
        <w:fldChar w:fldCharType="separate"/>
      </w:r>
      <w:r w:rsidR="00B42E8F" w:rsidRPr="00B42E8F">
        <w:rPr>
          <w:noProof/>
        </w:rPr>
        <w:t>(EEA, 2015)</w:t>
      </w:r>
      <w:r w:rsidR="00B42E8F">
        <w:fldChar w:fldCharType="end"/>
      </w:r>
      <w:r w:rsidR="00A6768A">
        <w:t>.</w:t>
      </w:r>
      <w:r w:rsidR="0021327C">
        <w:t xml:space="preserve"> The regional natural areas are governed by the provinces, but are still in development and researched in how this decentralized spatial policy has its effect on the natural spatial policy </w:t>
      </w:r>
      <w:r w:rsidR="00C56AD4">
        <w:fldChar w:fldCharType="begin" w:fldLock="1"/>
      </w:r>
      <w:r w:rsidR="00A30C5A">
        <w:instrText>ADDIN CSL_CITATION {"citationItems":[{"id":"ITEM-1","itemData":{"abstract":"Natuur en samenleving zijn sterk met elkaar verweven. Kijk alleen maar naar de rol van natuur in de vrijetijdsbesteding van de Nederlanders, en naar waar zich de meest populaire vakantiebestemmingen bevinden. Maar denk ook aan het effect dat natuur heeft op de vastgoedwaarde van de omliggende bebouwing, en hoe natuur aan de basis ligt van de voedselproductie. Paradoxaal genoeg zijn natuurbeleid en samenleving de afgelopen decennia juist uit elkaar gegroeid. Een groot deel van het Nederlandse natuurbeleid wordt bepaald door Europees beleid, zoals de Vogel- en Habitatrichtlijn (VHR). En veel van het nationale beleid is gericht op de uitvoering van de doelstellingen uit deze richtlijnen. Natuurbeleid lijkt daardoor voor veel mensen weinig met henzelf en met natuur te maken, en meer met wetten, regels en procedures. De recente decentralisatie van het natuurbeleid markeert een breuk met deze trend. In het tussen het Rijk en de provincies gesloten Natuurpact staat uitdrukkelijk dat het natuurbeleid meer verankerd moet worden in de samenleving. Maatschappelijke betrokkenheid wordt daarbij gezien als een voorwaarde voor natuurbehoud en -ontwikkeling. Afgelopen zomer zag ik in het pop-uppark Urbana in Heerlen een mooi voorbeeld van die maatschappelijke betrokkenheid. Midden in de stad werd een tijdelijk park aangelegd, met circa 400 bomen die geadopteerd konden worden door gemeenten, burgers en bedrijven. Het was fantastisch om te zien hoe mensen bezit namen van dit park om er te picknicken, te spelen of iets te drinken. Natuur verbindt, genereert betrokkenheid en maakt mensen blij. De voorliggende evaluatie van het natuurbeleid betekent, net als het Natuurpact zelf, een breuk met het verleden. Gangbaar is een evaluatie waarbij aan het eind van een beleidsperiode een oordeel wordt geveld. Met deze {\\textquoteleft}lerende evaluatie{\\textquoteright} gaat het PBL al gedurende de evaluatieperiode met beleidsmakers en hun maatschappelijke partners om de tafel. Een aanpak die de provincies en het Rijk in staat moet stellen om gaandeweg en over-en-weer te leren, zodat ze beleid tussentijds kunnen bijstellen. Een lerende evaluatie is een voortgaand proces. U heeft hier het eerste rapport van de tussentijdse resultaten voor u. In meer dan één opzicht een gezamenlijk product. Hopelijk stimuleert het de verdere zoektocht naar een sterkere verbinding tussen natuur, beleid en samenleving.","author":[{"dropping-particle":"","family":"Folkert","given":"Rob","non-dropping-particle":"","parse-names":false,"suffix":""},{"dropping-particle":"","family":"Boonstra","given":"Froukje","non-dropping-particle":"","parse-names":false,"suffix":""}],"id":"ITEM-1","issued":{"date-parts":[["2017"]]},"note":"PBL-publication number: 1769","publisher":"Planbureau voor de Leefomgeving (PBL)","title":"Lerende evaluatie van het Natuurpact : naar nieuwe verbindingen tussen natuur, beleid en samenleving","type":"book"},"uris":["http://www.mendeley.com/documents/?uuid=25d20dec-aa34-4479-9cdc-260194ef6668"]}],"mendeley":{"formattedCitation":"(Folkert and Boonstra, 2017)","plainTextFormattedCitation":"(Folkert and Boonstra, 2017)","previouslyFormattedCitation":"(Folkert and Boonstra, 2017)"},"properties":{"noteIndex":0},"schema":"https://github.com/citation-style-language/schema/raw/master/csl-citation.json"}</w:instrText>
      </w:r>
      <w:r w:rsidR="00C56AD4">
        <w:fldChar w:fldCharType="separate"/>
      </w:r>
      <w:r w:rsidR="00C56AD4" w:rsidRPr="00C56AD4">
        <w:rPr>
          <w:noProof/>
        </w:rPr>
        <w:t>(Folkert and Boonstra, 2017)</w:t>
      </w:r>
      <w:r w:rsidR="00C56AD4">
        <w:fldChar w:fldCharType="end"/>
      </w:r>
      <w:r w:rsidR="00C56AD4">
        <w:t xml:space="preserve">. It could be related that there are more fires in the Natura 2000 areas than the Dutch natural parks.  </w:t>
      </w:r>
    </w:p>
    <w:p w14:paraId="685EE737" w14:textId="5BA64B41" w:rsidR="00841E06" w:rsidRPr="00830CC3" w:rsidRDefault="00344EAF" w:rsidP="00F457D4">
      <w:r>
        <w:t>The fire</w:t>
      </w:r>
      <w:r w:rsidR="005B19D9">
        <w:t xml:space="preserve"> </w:t>
      </w:r>
      <w:r>
        <w:t>pix</w:t>
      </w:r>
      <w:r w:rsidR="003337E5">
        <w:t>els</w:t>
      </w:r>
      <w:r>
        <w:t xml:space="preserve"> are located near human</w:t>
      </w:r>
      <w:r w:rsidR="005B19D9">
        <w:t xml:space="preserve"> infrastructure. As </w:t>
      </w:r>
      <w:r w:rsidR="005B19D9">
        <w:fldChar w:fldCharType="begin" w:fldLock="1"/>
      </w:r>
      <w:r w:rsidR="001842C1">
        <w:instrText>ADDIN CSL_CITATION {"citationItems":[{"id":"ITEM-1","itemData":{"DOI":"10.1073/pnas.1003669107","ISSN":"0027-8424","abstract":"Recent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Sciences","id":"ITEM-1","issue":"45","issued":{"date-parts":[["2010","11","9"]]},"page":"19167-19170","publisher":"NATL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century","type":"article-journal","volume":"107"},"uris":["http://www.mendeley.com/documents/?uuid=5205bf2c-3bb3-4efe-8d9e-125174ad9526"]}],"mendeley":{"formattedCitation":"(Pechony and Shindell, 2010)","manualFormatting":"Pechony and Shindell (2010)","plainTextFormattedCitation":"(Pechony and Shindell, 2010)","previouslyFormattedCitation":"(Pechony and Shindell, 2010)"},"properties":{"noteIndex":0},"schema":"https://github.com/citation-style-language/schema/raw/master/csl-citation.json"}</w:instrText>
      </w:r>
      <w:r w:rsidR="005B19D9">
        <w:fldChar w:fldCharType="separate"/>
      </w:r>
      <w:r w:rsidR="005B19D9" w:rsidRPr="005B19D9">
        <w:rPr>
          <w:noProof/>
        </w:rPr>
        <w:t xml:space="preserve">Pechony and Shindell </w:t>
      </w:r>
      <w:r w:rsidR="005B19D9">
        <w:rPr>
          <w:noProof/>
        </w:rPr>
        <w:t>(</w:t>
      </w:r>
      <w:r w:rsidR="005B19D9" w:rsidRPr="005B19D9">
        <w:rPr>
          <w:noProof/>
        </w:rPr>
        <w:t>2010)</w:t>
      </w:r>
      <w:r w:rsidR="005B19D9">
        <w:fldChar w:fldCharType="end"/>
      </w:r>
      <w:r w:rsidR="005B19D9">
        <w:t xml:space="preserve"> </w:t>
      </w:r>
      <w:r w:rsidR="00F92AD0">
        <w:t xml:space="preserve">and </w:t>
      </w:r>
      <w:r w:rsidR="00F92AD0">
        <w:fldChar w:fldCharType="begin" w:fldLock="1"/>
      </w:r>
      <w:r w:rsidR="00EB1B63">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2013)","manualFormatting":"Ganteaume et al.(2013)","plainTextFormattedCitation":"(Ganteaume et al., 2013)","previouslyFormattedCitation":"(Ganteaume &lt;i&gt;et al.&lt;/i&gt;, 2013)"},"properties":{"noteIndex":0},"schema":"https://github.com/citation-style-language/schema/raw/master/csl-citation.json"}</w:instrText>
      </w:r>
      <w:r w:rsidR="00F92AD0">
        <w:fldChar w:fldCharType="separate"/>
      </w:r>
      <w:r w:rsidR="00F92AD0" w:rsidRPr="00F92AD0">
        <w:rPr>
          <w:noProof/>
        </w:rPr>
        <w:t xml:space="preserve">Ganteaume </w:t>
      </w:r>
      <w:r w:rsidR="00F92AD0" w:rsidRPr="00F92AD0">
        <w:rPr>
          <w:i/>
          <w:noProof/>
        </w:rPr>
        <w:t>et al.</w:t>
      </w:r>
      <w:r w:rsidR="00F92AD0">
        <w:rPr>
          <w:noProof/>
        </w:rPr>
        <w:t>(</w:t>
      </w:r>
      <w:r w:rsidR="00F92AD0" w:rsidRPr="00F92AD0">
        <w:rPr>
          <w:noProof/>
        </w:rPr>
        <w:t>2013)</w:t>
      </w:r>
      <w:r w:rsidR="00F92AD0">
        <w:fldChar w:fldCharType="end"/>
      </w:r>
      <w:r w:rsidR="00F92AD0">
        <w:t xml:space="preserve"> </w:t>
      </w:r>
      <w:r w:rsidR="00EB1B63">
        <w:t xml:space="preserve">have </w:t>
      </w:r>
      <w:r w:rsidR="005B19D9">
        <w:t xml:space="preserve">correlated </w:t>
      </w:r>
      <w:r w:rsidR="00EB1B63">
        <w:t xml:space="preserve">that </w:t>
      </w:r>
      <w:r w:rsidR="005B19D9">
        <w:t xml:space="preserve">the </w:t>
      </w:r>
      <w:r w:rsidR="00EB1B63">
        <w:t xml:space="preserve">higher </w:t>
      </w:r>
      <w:r w:rsidR="005B19D9">
        <w:t xml:space="preserve">population density </w:t>
      </w:r>
      <w:r w:rsidR="00EB1B63">
        <w:t xml:space="preserve">effects the occurrences of </w:t>
      </w:r>
      <w:r w:rsidR="005B19D9">
        <w:t>wildfires and observed that the fire ignition and fire suppression increased</w:t>
      </w:r>
      <w:r w:rsidR="00C33DD0">
        <w:t xml:space="preserve"> </w:t>
      </w:r>
      <w:r w:rsidR="00EB1B63">
        <w:t xml:space="preserve">with a higher population density. </w:t>
      </w:r>
      <w:r w:rsidR="00EB1B63">
        <w:fldChar w:fldCharType="begin" w:fldLock="1"/>
      </w:r>
      <w:r w:rsidR="00EB1B63">
        <w:instrText>ADDIN CSL_CITATION {"citationItems":[{"id":"ITEM-1","itemData":{"ISBN":"9783540759164 3540759166 9783540759157 3540759158","author":[{"dropping-particle":"","family":"Elewa","given":"Ashraf M T T A - T T -","non-dropping-particle":"","parse-names":false,"suffix":""}],"edition":" NV  - 1 o","id":"ITEM-1","issued":{"date-parts":[["2008"]]},"language":"Engels","publisher":"Springer,","publisher-place":"Berlin :","title":"Mass extinction","type":"article"},"uris":["http://www.mendeley.com/documents/?uuid=a467c773-515c-462b-95cf-3d32887d4969"]}],"mendeley":{"formattedCitation":"(Elewa, 2008)","plainTextFormattedCitation":"(Elewa, 2008)","previouslyFormattedCitation":"(Elewa, 2008)"},"properties":{"noteIndex":0},"schema":"https://github.com/citation-style-language/schema/raw/master/csl-citation.json"}</w:instrText>
      </w:r>
      <w:r w:rsidR="00EB1B63">
        <w:fldChar w:fldCharType="separate"/>
      </w:r>
      <w:r w:rsidR="00EB1B63" w:rsidRPr="00EB1B63">
        <w:rPr>
          <w:noProof/>
        </w:rPr>
        <w:t>(Elewa, 2008)</w:t>
      </w:r>
      <w:r w:rsidR="00EB1B63">
        <w:fldChar w:fldCharType="end"/>
      </w:r>
      <w:r w:rsidR="00EB1B63">
        <w:t xml:space="preserve"> In the Mediterranean, a higher infrastructure density has been related to a higher frequency of wild fires </w:t>
      </w:r>
      <w:r w:rsidR="00EB1B63">
        <w:fldChar w:fldCharType="begin" w:fldLock="1"/>
      </w:r>
      <w:r w:rsidR="0027566C">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EB1B63">
        <w:fldChar w:fldCharType="separate"/>
      </w:r>
      <w:r w:rsidR="00EB1B63" w:rsidRPr="00EB1B63">
        <w:rPr>
          <w:noProof/>
        </w:rPr>
        <w:t xml:space="preserve">(Oliveira </w:t>
      </w:r>
      <w:r w:rsidR="00EB1B63" w:rsidRPr="00EB1B63">
        <w:rPr>
          <w:i/>
          <w:noProof/>
        </w:rPr>
        <w:t>et al.</w:t>
      </w:r>
      <w:r w:rsidR="00EB1B63" w:rsidRPr="00EB1B63">
        <w:rPr>
          <w:noProof/>
        </w:rPr>
        <w:t>, 2012)</w:t>
      </w:r>
      <w:r w:rsidR="00EB1B63">
        <w:fldChar w:fldCharType="end"/>
      </w:r>
      <w:r w:rsidR="00C95B4A">
        <w:t>.</w:t>
      </w:r>
      <w:r w:rsidR="00830CC3">
        <w:t xml:space="preserve"> These observations are applied to the Netherlands, because it has one of the highest population </w:t>
      </w:r>
      <w:r w:rsidR="00052CCE">
        <w:t>densities</w:t>
      </w:r>
      <w:r w:rsidR="00830CC3">
        <w:t xml:space="preserve"> in Europe and 95% of the fires are in a radius of less than </w:t>
      </w:r>
      <w:r w:rsidR="00830CC3">
        <w:rPr>
          <w:b/>
          <w:bCs/>
        </w:rPr>
        <w:t xml:space="preserve">X </w:t>
      </w:r>
      <w:r w:rsidR="00830CC3">
        <w:t>kilometre. Therefore, human activity is a contributing factor to the frequency of fires</w:t>
      </w:r>
    </w:p>
    <w:p w14:paraId="4FC21100" w14:textId="35BCC61B" w:rsidR="005B19D9" w:rsidRDefault="005B19D9" w:rsidP="00F457D4">
      <w:pPr>
        <w:rPr>
          <w:i/>
          <w:iCs/>
        </w:rPr>
      </w:pPr>
      <w:r>
        <w:rPr>
          <w:i/>
          <w:iCs/>
        </w:rPr>
        <w:t>Effected land cover by the fires</w:t>
      </w:r>
    </w:p>
    <w:p w14:paraId="2608B860" w14:textId="36CECA74" w:rsidR="00596F15" w:rsidRDefault="001842C1" w:rsidP="00F457D4">
      <w:r>
        <w:t xml:space="preserve">The industrialization has changed the ignition pattern of wildfires around the world </w:t>
      </w:r>
      <w:r>
        <w:fldChar w:fldCharType="begin" w:fldLock="1"/>
      </w:r>
      <w:r w:rsidR="00F92AD0">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Earth","type":"article-journal","volume":"38"},"uris":["http://www.mendeley.com/documents/?uuid=c148db6e-a5bc-497b-a8e8-63b65ec0aa97"]}],"mendeley":{"formattedCitation":"(Bowman &lt;i&gt;et al.&lt;/i&gt;, 2011)","plainTextFormattedCitation":"(Bowman et al., 2011)","previouslyFormattedCitation":"(Bowman &lt;i&gt;et al.&lt;/i&gt;, 2011)"},"properties":{"noteIndex":0},"schema":"https://github.com/citation-style-language/schema/raw/master/csl-citation.json"}</w:instrText>
      </w:r>
      <w:r>
        <w:fldChar w:fldCharType="separate"/>
      </w:r>
      <w:r w:rsidRPr="001842C1">
        <w:rPr>
          <w:noProof/>
        </w:rPr>
        <w:t xml:space="preserve">(Bowman </w:t>
      </w:r>
      <w:r w:rsidRPr="001842C1">
        <w:rPr>
          <w:i/>
          <w:noProof/>
        </w:rPr>
        <w:t>et al.</w:t>
      </w:r>
      <w:r w:rsidRPr="001842C1">
        <w:rPr>
          <w:noProof/>
        </w:rPr>
        <w:t>, 2011)</w:t>
      </w:r>
      <w:r>
        <w:fldChar w:fldCharType="end"/>
      </w:r>
      <w:r>
        <w:t xml:space="preserve">. </w:t>
      </w:r>
    </w:p>
    <w:p w14:paraId="36398CAC" w14:textId="6C2CE541" w:rsidR="00851C52" w:rsidRDefault="00851C52" w:rsidP="00F457D4">
      <w:pPr>
        <w:rPr>
          <w:i/>
          <w:iCs/>
        </w:rPr>
      </w:pPr>
      <w:r>
        <w:rPr>
          <w:i/>
          <w:iCs/>
        </w:rPr>
        <w:t>Abiotic effects on the fire pixels</w:t>
      </w:r>
    </w:p>
    <w:p w14:paraId="1163DB43" w14:textId="615F4CDD" w:rsidR="00F726A9" w:rsidRPr="00F726A9" w:rsidRDefault="00F726A9" w:rsidP="00F457D4">
      <w:r>
        <w:t xml:space="preserve">Dryness, </w:t>
      </w:r>
      <w:r w:rsidR="00C0690A">
        <w:t>precipitation,</w:t>
      </w:r>
      <w:r>
        <w:t xml:space="preserve"> and evaporation </w:t>
      </w:r>
      <w:r w:rsidR="00C63CE5">
        <w:t xml:space="preserve">are </w:t>
      </w:r>
      <w:r>
        <w:t>increas</w:t>
      </w:r>
      <w:r w:rsidR="00C63CE5">
        <w:t xml:space="preserve">ing </w:t>
      </w:r>
      <w:r>
        <w:t>the risk of natural fires</w:t>
      </w:r>
      <w:r w:rsidR="00C0690A">
        <w:t>. Lower soil moisture is potentially caused by the evaporation and plant transpiration and the high-pressure zones around Western Europe.</w:t>
      </w:r>
      <w:r w:rsidR="00400BFF">
        <w:t xml:space="preserve"> The loss in evaporation is not made up with the precipitation and run-off from river </w:t>
      </w:r>
      <w:r w:rsidR="00400BFF">
        <w:lastRenderedPageBreak/>
        <w:t>systems</w:t>
      </w:r>
      <w:r w:rsidR="00A30C5A">
        <w:t xml:space="preserve"> and </w:t>
      </w:r>
      <w:r w:rsidR="00400BFF">
        <w:t>leads to lower soil moisture</w:t>
      </w:r>
      <w:r w:rsidR="00A30C5A">
        <w:t xml:space="preserve"> in the eastern Netherlands </w:t>
      </w:r>
      <w:r w:rsidR="00A30C5A">
        <w:fldChar w:fldCharType="begin" w:fldLock="1"/>
      </w:r>
      <w:r w:rsidR="00A30C5A">
        <w:instrText>ADDIN CSL_CITATION {"citationItems":[{"id":"ITEM-1","itemData":{"DOI":"10.5194/hess-23-191-2019","author":[{"dropping-particle":"","family":"Linden","given":"E C","non-dropping-particle":"van der","parse-names":false,"suffix":""},{"dropping-particle":"","family":"Haarsma","given":"R J","non-dropping-particle":"","parse-names":false,"suffix":""},{"dropping-particle":"","family":"Schrier","given":"G","non-dropping-particle":"van der","parse-names":false,"suffix":""}],"container-title":"Hydrology and Earth System Sciences","id":"ITEM-1","issue":"1","issued":{"date-parts":[["2019"]]},"page":"191-206","title":"Impact of climate model resolution on soil moisture projections in central-western Europe","type":"article-journal","volume":"23"},"uris":["http://www.mendeley.com/documents/?uuid=e5909a80-5af5-4ffd-8756-b7bcefbeae3c"]}],"mendeley":{"formattedCitation":"(van der Linden, Haarsma and van der Schrier, 2019)","plainTextFormattedCitation":"(van der Linden, Haarsma and van der Schrier, 2019)"},"properties":{"noteIndex":0},"schema":"https://github.com/citation-style-language/schema/raw/master/csl-citation.json"}</w:instrText>
      </w:r>
      <w:r w:rsidR="00A30C5A">
        <w:fldChar w:fldCharType="separate"/>
      </w:r>
      <w:r w:rsidR="00A30C5A" w:rsidRPr="00A30C5A">
        <w:rPr>
          <w:noProof/>
        </w:rPr>
        <w:t>(van der Linden, Haarsma and van der Schrier, 2019)</w:t>
      </w:r>
      <w:r w:rsidR="00A30C5A">
        <w:fldChar w:fldCharType="end"/>
      </w:r>
      <w:r w:rsidR="00400BFF">
        <w:t>, which increase the risks of natural fires</w:t>
      </w:r>
      <w:r w:rsidR="003952A1">
        <w:t xml:space="preserve"> in spring</w:t>
      </w:r>
      <w:r w:rsidR="00400BFF">
        <w:t>.</w:t>
      </w:r>
    </w:p>
    <w:sectPr w:rsidR="00F726A9" w:rsidRPr="00F726A9"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B4"/>
    <w:rsid w:val="00013C67"/>
    <w:rsid w:val="000402D5"/>
    <w:rsid w:val="00052CCE"/>
    <w:rsid w:val="00063840"/>
    <w:rsid w:val="000B38FA"/>
    <w:rsid w:val="000B7BD7"/>
    <w:rsid w:val="00130E6D"/>
    <w:rsid w:val="001842C1"/>
    <w:rsid w:val="001A624E"/>
    <w:rsid w:val="001B1045"/>
    <w:rsid w:val="001C2FC5"/>
    <w:rsid w:val="001F3AEE"/>
    <w:rsid w:val="0021327C"/>
    <w:rsid w:val="00240B41"/>
    <w:rsid w:val="002626AA"/>
    <w:rsid w:val="0027566C"/>
    <w:rsid w:val="00292A8F"/>
    <w:rsid w:val="00297A19"/>
    <w:rsid w:val="00297EC4"/>
    <w:rsid w:val="002C47D6"/>
    <w:rsid w:val="00324C8C"/>
    <w:rsid w:val="003337E5"/>
    <w:rsid w:val="00344EAF"/>
    <w:rsid w:val="003952A1"/>
    <w:rsid w:val="00396874"/>
    <w:rsid w:val="003B71C5"/>
    <w:rsid w:val="0040018E"/>
    <w:rsid w:val="00400BFF"/>
    <w:rsid w:val="0042656F"/>
    <w:rsid w:val="004341E2"/>
    <w:rsid w:val="00436CC3"/>
    <w:rsid w:val="005071D1"/>
    <w:rsid w:val="00513E93"/>
    <w:rsid w:val="0053611F"/>
    <w:rsid w:val="005415CB"/>
    <w:rsid w:val="0055316A"/>
    <w:rsid w:val="00575B76"/>
    <w:rsid w:val="00595819"/>
    <w:rsid w:val="00596F15"/>
    <w:rsid w:val="005B19D9"/>
    <w:rsid w:val="005D0DC6"/>
    <w:rsid w:val="005D1437"/>
    <w:rsid w:val="006A6BE9"/>
    <w:rsid w:val="00700918"/>
    <w:rsid w:val="00730778"/>
    <w:rsid w:val="007463BF"/>
    <w:rsid w:val="00792752"/>
    <w:rsid w:val="007E62D9"/>
    <w:rsid w:val="00830CC3"/>
    <w:rsid w:val="00841E06"/>
    <w:rsid w:val="00851C52"/>
    <w:rsid w:val="00903227"/>
    <w:rsid w:val="0091726D"/>
    <w:rsid w:val="009B6E00"/>
    <w:rsid w:val="009E673E"/>
    <w:rsid w:val="009E78BA"/>
    <w:rsid w:val="00A01CF6"/>
    <w:rsid w:val="00A30C5A"/>
    <w:rsid w:val="00A50A6C"/>
    <w:rsid w:val="00A60537"/>
    <w:rsid w:val="00A6768A"/>
    <w:rsid w:val="00AE4303"/>
    <w:rsid w:val="00B1320F"/>
    <w:rsid w:val="00B218AC"/>
    <w:rsid w:val="00B42E8F"/>
    <w:rsid w:val="00B5110E"/>
    <w:rsid w:val="00B535C7"/>
    <w:rsid w:val="00BA1B15"/>
    <w:rsid w:val="00C0690A"/>
    <w:rsid w:val="00C130BA"/>
    <w:rsid w:val="00C213C0"/>
    <w:rsid w:val="00C32B11"/>
    <w:rsid w:val="00C33DD0"/>
    <w:rsid w:val="00C56AD4"/>
    <w:rsid w:val="00C63CE5"/>
    <w:rsid w:val="00C95B4A"/>
    <w:rsid w:val="00CD5412"/>
    <w:rsid w:val="00D34AC3"/>
    <w:rsid w:val="00DA0036"/>
    <w:rsid w:val="00DA4B81"/>
    <w:rsid w:val="00DA5507"/>
    <w:rsid w:val="00E35808"/>
    <w:rsid w:val="00EA1B3B"/>
    <w:rsid w:val="00EB1B63"/>
    <w:rsid w:val="00F457D4"/>
    <w:rsid w:val="00F726A9"/>
    <w:rsid w:val="00F733BD"/>
    <w:rsid w:val="00F92AD0"/>
    <w:rsid w:val="00FE2805"/>
    <w:rsid w:val="00FE5BB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05F0"/>
  <w15:chartTrackingRefBased/>
  <w15:docId w15:val="{7678F0C5-804D-4A3A-BC70-E291D8EA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036"/>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DA0036"/>
    <w:rPr>
      <w:rFonts w:ascii="Times New Roman" w:eastAsiaTheme="majorEastAsia" w:hAnsi="Times New Roman" w:cstheme="majorBidi"/>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F1FF2-7080-4DD6-A6AE-D139F282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Pages>
  <Words>5484</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77</cp:revision>
  <dcterms:created xsi:type="dcterms:W3CDTF">2020-11-19T23:35:00Z</dcterms:created>
  <dcterms:modified xsi:type="dcterms:W3CDTF">2020-12-02T22:34:00Z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