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AE881" w14:textId="2849F98D" w:rsidR="002626AA" w:rsidRDefault="009B6FB1" w:rsidP="00993A6A">
      <w:pPr>
        <w:pStyle w:val="Heading1"/>
      </w:pPr>
      <w:r>
        <w:t xml:space="preserve"> </w:t>
      </w:r>
      <w:r w:rsidR="00993A6A">
        <w:t>Research Method</w:t>
      </w:r>
    </w:p>
    <w:p w14:paraId="10A1DD2C" w14:textId="30284032" w:rsidR="006431BB" w:rsidRPr="00672A22" w:rsidRDefault="006431BB" w:rsidP="00672A22">
      <w:pPr>
        <w:pStyle w:val="ListParagraph"/>
        <w:numPr>
          <w:ilvl w:val="1"/>
          <w:numId w:val="1"/>
        </w:numPr>
        <w:rPr>
          <w:i/>
          <w:iCs/>
        </w:rPr>
      </w:pPr>
      <w:r w:rsidRPr="00672A22">
        <w:rPr>
          <w:i/>
          <w:iCs/>
        </w:rPr>
        <w:t>Research Area</w:t>
      </w:r>
    </w:p>
    <w:p w14:paraId="5E4FA2DF" w14:textId="44B912B1" w:rsidR="00672A22" w:rsidRPr="00672A22" w:rsidRDefault="00672A22" w:rsidP="00672A22">
      <w:pPr>
        <w:rPr>
          <w:b/>
          <w:bCs/>
          <w:i/>
          <w:iCs/>
        </w:rPr>
      </w:pPr>
      <w:r>
        <w:rPr>
          <w:b/>
          <w:bCs/>
          <w:i/>
          <w:iCs/>
        </w:rPr>
        <w:t>AFBEELDING LOCATIE NEDERLAND ERBIJ ZETTEN</w:t>
      </w:r>
    </w:p>
    <w:p w14:paraId="0C49BDE2" w14:textId="77777777" w:rsidR="00541247" w:rsidRDefault="005E7D1D" w:rsidP="006431BB">
      <w:r>
        <w:t>The area that is going to be studied is the Netherlands</w:t>
      </w:r>
      <w:r w:rsidR="00541247">
        <w:t xml:space="preserve"> </w:t>
      </w:r>
      <w:r w:rsidR="00E60887">
        <w:fldChar w:fldCharType="begin" w:fldLock="1"/>
      </w:r>
      <w:r w:rsidR="00E60887">
        <w:instrText>ADDIN CSL_CITATION {"citationItems":[{"id":"ITEM-1","itemData":{"URL":"https://www.pdok.nl/geo-services/-/article/administratieve-eenheden-inspire-geharmoniseerd-","accessed":{"date-parts":[["2020","5","1"]]},"author":[{"dropping-particle":"","family":"PDOK Beheer","given":"","non-dropping-particle":"","parse-names":false,"suffix":""}],"id":"ITEM-1","issued":{"date-parts":[["2020"]]},"title":"Dataset: Administratieve Eenheden (INSPIRE geharmoniseerd)","type":"webpage"},"uris":["http://www.mendeley.com/documents/?uuid=b78136af-8c70-46ed-afd4-614f95fcd203"]}],"mendeley":{"formattedCitation":"(PDOK Beheer, 2020)","manualFormatting":"(https://www.pdok.nl/geo-services/-/article/administratieve-eenheden-inspire-geharmoniseerd-, last accessed: 04-05-2020)","plainTextFormattedCitation":"(PDOK Beheer, 2020)","previouslyFormattedCitation":"(PDOK Beheer, 2020)"},"properties":{"noteIndex":0},"schema":"https://github.com/citation-style-language/schema/raw/master/csl-citation.json"}</w:instrText>
      </w:r>
      <w:r w:rsidR="00E60887">
        <w:fldChar w:fldCharType="separate"/>
      </w:r>
      <w:r w:rsidR="00E60887" w:rsidRPr="00E60887">
        <w:rPr>
          <w:noProof/>
        </w:rPr>
        <w:t>(https://www.pdok.nl/geo-services/-/article/administratieve-eenheden-inspire-geharmoniseerd-</w:t>
      </w:r>
      <w:r w:rsidR="00E60887">
        <w:rPr>
          <w:noProof/>
        </w:rPr>
        <w:t>, last accessed: 04-05-2020</w:t>
      </w:r>
      <w:r w:rsidR="00E60887" w:rsidRPr="00E60887">
        <w:rPr>
          <w:noProof/>
        </w:rPr>
        <w:t>)</w:t>
      </w:r>
      <w:r w:rsidR="00E60887">
        <w:fldChar w:fldCharType="end"/>
      </w:r>
      <w:r w:rsidR="00E60887">
        <w:t xml:space="preserve">. </w:t>
      </w:r>
      <w:r w:rsidR="00D4216F">
        <w:t>The Netherlands has very fragmented and diverse landscapes, which is caused by the urbanisation in the 20</w:t>
      </w:r>
      <w:r w:rsidR="00D4216F" w:rsidRPr="00D4216F">
        <w:rPr>
          <w:vertAlign w:val="superscript"/>
        </w:rPr>
        <w:t>th</w:t>
      </w:r>
      <w:r w:rsidR="00D4216F">
        <w:t xml:space="preserve"> century and the remodelling of waterworks to protect cities and villages against the great waterbodies </w:t>
      </w:r>
      <w:r w:rsidR="00D4216F">
        <w:fldChar w:fldCharType="begin" w:fldLock="1"/>
      </w:r>
      <w:r w:rsidR="004E5C29">
        <w:instrText>ADDIN CSL_CITATION {"citationItems":[{"id":"ITEM-1","itemData":{"DOI":"10.1007/978-3-319-75073-6_3","ISBN":"978-3-319-75073-6","abstract":"Dutch landscapes are rather unique as they all have been more or less heavily influenced and modified by humans, one of these (polder landscape) would not even exist without people. Here, we distinguish seven different landscapes in the Dutch delta. Laterally and chronologically these are often interrelated in rather complex patterns. Original and undisturbed landscapes are determined by their geological origin, their lithological composition and their vegetation. They range from limestones covered by loess in the southeast to periglacial cover sands and ice pushed ridges in the east and centre of the country. The Dutch delta is subsiding in the west and north and their associated landscapes consist of Holocene marine sand and clays. River sands and clays are found in a broad zone in the centre of the country. Polder landscapes occur in the west, north and in the centre of the Netherlands, whereas coastal dunes can be found all along the present coastal zone.","author":[{"dropping-particle":"","family":"Mulder","given":"Eduardo F J","non-dropping-particle":"De","parse-names":false,"suffix":""}],"container-title":"The Netherlands and the Dutch: A Physical and Human Geography","id":"ITEM-1","issued":{"date-parts":[["2019"]]},"page":"35-58","publisher":"Springer International Publishing","publisher-place":"Cham","title":"Landscapes","type":"chapter"},"uris":["http://www.mendeley.com/documents/?uuid=f6723f20-e4e9-4d4e-8df9-6207f605cffa"]}],"mendeley":{"formattedCitation":"(De Mulder, 2019)","plainTextFormattedCitation":"(De Mulder, 2019)","previouslyFormattedCitation":"(De Mulder, 2019)"},"properties":{"noteIndex":0},"schema":"https://github.com/citation-style-language/schema/raw/master/csl-citation.json"}</w:instrText>
      </w:r>
      <w:r w:rsidR="00D4216F">
        <w:fldChar w:fldCharType="separate"/>
      </w:r>
      <w:r w:rsidR="00D4216F" w:rsidRPr="00D4216F">
        <w:rPr>
          <w:noProof/>
        </w:rPr>
        <w:t>(De Mulder, 2019)</w:t>
      </w:r>
      <w:r w:rsidR="00D4216F">
        <w:fldChar w:fldCharType="end"/>
      </w:r>
      <w:r w:rsidR="00D4216F">
        <w:t>.</w:t>
      </w:r>
    </w:p>
    <w:p w14:paraId="4BD53AA0" w14:textId="2FDB3B54" w:rsidR="00541247" w:rsidRDefault="00541247" w:rsidP="00541247">
      <w:r>
        <w:t>This landscape was caused by developments that were going on in second half of the 20</w:t>
      </w:r>
      <w:r w:rsidRPr="00A20809">
        <w:rPr>
          <w:vertAlign w:val="superscript"/>
        </w:rPr>
        <w:t>th</w:t>
      </w:r>
      <w:r>
        <w:t xml:space="preserve"> century. A national policy document was introduced about the on spatial planning. First was the spatial planning in the 1960s focused on spreading of regional grow poles, building housing for the growing population post-war and introducing the mobility caused by the generalization of the car. However, the changing social dynamic and the limit the urban sprawl toward peripheral area. In the 1970’s, the focus was on regional grow poles and zoning of land use was introduced. There were also buffer zones introduced to lower the urbanisation rate. In the late 1980’s, the subsidization of regional grow poles became financial unhealthy and therefore stopped. This subsidization was refocused on the cities and therefore focused on grow poles on a national level. </w:t>
      </w:r>
    </w:p>
    <w:p w14:paraId="4E36F0AE" w14:textId="087FDE89" w:rsidR="00541247" w:rsidRDefault="00541247" w:rsidP="00541247">
      <w:r>
        <w:t xml:space="preserve">The final period of the national document of spatial policy reorganized spatial planning on local and regional governmental instruments such as municipalities. This caused that spatial planning became project driven instead of plan driven. However, this governmental instrument was overoptimistic and caused over zoning of areas, which lead to a more fragmented landscape. In 2010, the spatial planning became fully regional and local, which ended the national policy of spatial planning </w:t>
      </w:r>
      <w:r>
        <w:fldChar w:fldCharType="begin" w:fldLock="1"/>
      </w:r>
      <w:r>
        <w:instrText>ADDIN CSL_CITATION {"citationItems":[{"id":"ITEM-1","itemData":{"DOI":"10.1515/admin-2016-0023","ISSN":"2449-9471","abstract":"The Dutch planning system has been widely feted as a coordinated, ‘plan-led’ and evidence-informed system that has been successfully implemented, resulting in sensitive land management, an absence of urban sprawl and the protection of ‘green areas’. However, at least since the 1970s, the reality has been somewhat different. This paper reviews Dutch planning history over the past fifty years to highlight in particular the challenge of implementation. The paper also reviews the current challenges facing Dutch planners and provides some international reflection from Dutch experiences for Irish planners.","author":[{"dropping-particle":"","family":"Janssen-Jansen","given":"Leonie","non-dropping-particle":"","parse-names":false,"suffix":""}],"container-title":"Administration","id":"ITEM-1","issue":"3-4","issued":{"date-parts":[["2016","12","1"]]},"page":"23-43","title":"Taking national planning seriously: A challenged planning agenda in the Netherlands","type":"article-journal","volume":"64"},"uris":["http://www.mendeley.com/documents/?uuid=54ee3ef9-82cc-4c98-b1ec-47a66b03d294"]}],"mendeley":{"formattedCitation":"(Janssen-Jansen, 2016)","plainTextFormattedCitation":"(Janssen-Jansen, 2016)","previouslyFormattedCitation":"(Janssen-Jansen, 2016)"},"properties":{"noteIndex":0},"schema":"https://github.com/citation-style-language/schema/raw/master/csl-citation.json"}</w:instrText>
      </w:r>
      <w:r>
        <w:fldChar w:fldCharType="separate"/>
      </w:r>
      <w:r w:rsidRPr="00FC6583">
        <w:rPr>
          <w:noProof/>
        </w:rPr>
        <w:t>(Janssen-Jansen, 2016)</w:t>
      </w:r>
      <w:r>
        <w:fldChar w:fldCharType="end"/>
      </w:r>
      <w:r>
        <w:t xml:space="preserve">. </w:t>
      </w:r>
    </w:p>
    <w:p w14:paraId="2E15517B" w14:textId="1477B65D" w:rsidR="006648BC" w:rsidRDefault="006648BC" w:rsidP="006648BC">
      <w:r>
        <w:t xml:space="preserve">Furthermore, the Netherlands has implemented Bird and Habitats directive into its spatial policy as part of the European Union policy. Therefore, the national government is responsible for the management of these sites. It created several special designated chosen natural areas </w:t>
      </w:r>
      <w:r>
        <w:fldChar w:fldCharType="begin" w:fldLock="1"/>
      </w:r>
      <w:r>
        <w:instrText>ADDIN CSL_CITATION {"citationItems":[{"id":"ITEM-1","itemData":{"DOI":"10.1016/j.landusepol.2012.07.009","ISSN":"0264-8377","abstract":"We investigate the impact of performances of failure in nature\nconservation by means of a detailed reconstruction of the implementation\nof European Union conservation directives in the Netherlands. We\ndistinguish performance and performativity, whereby the latter is the\nreality-effect of discourses affecting policy, and partly the result of\ndeliberate performance. It is argued that the implementation history in\nthe Netherlands reveals that even long-standing traditions of\ndeliberation and spatial planning can be disrupted as an unintended\nconsequence of international policy implementation. What was intended as\na tool to promote long-term planning for nature conservation can in\neffect undermine both nature conservation and long-term planning. Only a\nhigh degree of reflexivity in the planning system can diminish the\nchances of misconceiving the spaces for negotiation and deliberation\nthat are left open by the EU directives. Otherwise, a combination of\nunexpected events and unreflected routine responses will in all\nlikelihood produce results highly diverging from the initial ambitions.\n(C) 2012 Elsevier Ltd. All rights reserved.","author":[{"dropping-particle":"","family":"Beunen","given":"Raoul","non-dropping-particle":"","parse-names":false,"suffix":""},{"dropping-particle":"","family":"Assche","given":"Kristof","non-dropping-particle":"Van","parse-names":false,"suffix":""},{"dropping-particle":"","family":"Duineveld","given":"Martijn","non-dropping-particle":"","parse-names":false,"suffix":""}],"container-title":"LAND USE POLICY","id":"ITEM-1","issue":"SI","issued":{"date-parts":[["2013"]]},"page":"280-288","publisher":"ELSEVIER SCI LTD","publisher-place":"THE BOULEVARD, LANGFORD LANE, KIDLINGTON, OXFORD OX5 1GB, OXON, ENGLAND","title":"Performing failure in conservation policy: The implementation of European Union directives in the Netherlands","type":"article-journal","volume":"31"},"uris":["http://www.mendeley.com/documents/?uuid=c340a205-17f9-42be-aaa7-659e425c758d"]}],"mendeley":{"formattedCitation":"(Beunen, Van Assche and Duineveld, 2013)","plainTextFormattedCitation":"(Beunen, Van Assche and Duineveld, 2013)","previouslyFormattedCitation":"(Beunen, Van Assche and Duineveld, 2013)"},"properties":{"noteIndex":0},"schema":"https://github.com/citation-style-language/schema/raw/master/csl-citation.json"}</w:instrText>
      </w:r>
      <w:r>
        <w:fldChar w:fldCharType="separate"/>
      </w:r>
      <w:r w:rsidRPr="00E2015F">
        <w:rPr>
          <w:noProof/>
        </w:rPr>
        <w:t>(Beunen, Van Assche and Duineveld, 2013)</w:t>
      </w:r>
      <w:r>
        <w:fldChar w:fldCharType="end"/>
      </w:r>
      <w:r>
        <w:t xml:space="preserve">. This policy </w:t>
      </w:r>
      <w:r w:rsidR="0005754F">
        <w:t>is in line with the develop</w:t>
      </w:r>
      <w:r w:rsidR="00B83054">
        <w:t>ment</w:t>
      </w:r>
      <w:r w:rsidR="00D45C71">
        <w:t xml:space="preserve"> with</w:t>
      </w:r>
      <w:r w:rsidR="0005754F">
        <w:t xml:space="preserve"> </w:t>
      </w:r>
      <w:r>
        <w:t>fragmented landscap</w:t>
      </w:r>
      <w:r w:rsidR="0005754F">
        <w:t>e</w:t>
      </w:r>
      <w:r>
        <w:t>.</w:t>
      </w:r>
    </w:p>
    <w:p w14:paraId="2C88D928" w14:textId="675C5782" w:rsidR="00C23F96" w:rsidRDefault="008C5C5D" w:rsidP="00541247">
      <w:r>
        <w:t xml:space="preserve">The country has the high population density </w:t>
      </w:r>
      <w:r w:rsidR="00FA66F0">
        <w:t xml:space="preserve">of 513 people / </w:t>
      </w:r>
      <w:r w:rsidR="00FA66F0" w:rsidRPr="00D05EB6">
        <w:t>km</w:t>
      </w:r>
      <w:r w:rsidR="00D05EB6">
        <w:rPr>
          <w:vertAlign w:val="superscript"/>
        </w:rPr>
        <w:t>2</w:t>
      </w:r>
      <w:r w:rsidR="00D05EB6">
        <w:t xml:space="preserve"> </w:t>
      </w:r>
      <w:r w:rsidR="00F43225">
        <w:fldChar w:fldCharType="begin" w:fldLock="1"/>
      </w:r>
      <w:r w:rsidR="00A7027F">
        <w:instrText>ADDIN CSL_CITATION {"citationItems":[{"id":"ITEM-1","itemData":{"URL":"https://opendata.cbs.nl/statline/#/CBS/nl/dataset/37296ned/table?ts=1600865782793","accessed":{"date-parts":[["2020","9","23"]]},"author":[{"dropping-particle":"","family":"CBS","given":"","non-dropping-particle":"","parse-names":false,"suffix":""}],"id":"ITEM-1","issued":{"date-parts":[["2019"]]},"title":"Statline","type":"webpage"},"uris":["http://www.mendeley.com/documents/?uuid=02b0272b-2aa1-4d61-8eb2-a72a10874613"]}],"mendeley":{"formattedCitation":"(CBS, 2019)","plainTextFormattedCitation":"(CBS, 2019)","previouslyFormattedCitation":"(CBS, 2019)"},"properties":{"noteIndex":0},"schema":"https://github.com/citation-style-language/schema/raw/master/csl-citation.json"}</w:instrText>
      </w:r>
      <w:r w:rsidR="00F43225">
        <w:fldChar w:fldCharType="separate"/>
      </w:r>
      <w:r w:rsidR="00F43225" w:rsidRPr="00F43225">
        <w:rPr>
          <w:noProof/>
        </w:rPr>
        <w:t>(CBS, 2019)</w:t>
      </w:r>
      <w:r w:rsidR="00F43225">
        <w:fldChar w:fldCharType="end"/>
      </w:r>
      <w:r w:rsidR="00F43225">
        <w:t xml:space="preserve"> </w:t>
      </w:r>
      <w:r w:rsidR="00887153">
        <w:t>and the high dense road network</w:t>
      </w:r>
      <w:r w:rsidR="00A9244E">
        <w:t>, which that people are highly mobile</w:t>
      </w:r>
      <w:r w:rsidR="00F70172">
        <w:t xml:space="preserve"> </w:t>
      </w:r>
      <w:r w:rsidR="00F70172">
        <w:fldChar w:fldCharType="begin" w:fldLock="1"/>
      </w:r>
      <w:r w:rsidR="00F43225">
        <w:instrText>ADDIN CSL_CITATION {"citationItems":[{"id":"ITEM-1","itemData":{"ISBN":"978-90-357-2056-5","abstract":"In this second edition of Transport and mobility, Statistics Netherlands again presents facts and trends about traffic and transport in the Netherlands. The focus is on various aspects of the mobility of individuals and goods transport: traffic and transport flows, infrastructure, means of transport, energy use, environmental effects, traffic accidents and the economic significance of transport. The first nine chapters provide an up-to-date overview of the broad terrain of traffic and transport. Next, several articles elaborate on specific aspects. We are grateful for the contributions by authors from outside Statistics Netherlands. Wendy Weijermars and Niels Bos of SWOV deal with the aftermath of traffic accidents in their article Injuries and burden of injury of serious road injuries. Gerben Geilenkirchen of PBL contributed to the article on nitrogen oxide emissions by diesel cars. During the production process of this publication we benefitted from the feedback on the first edition, which experts provided at our request. This feedback allows us to focus even better on topical subjects in this new edition. The data used in the figures of this publication are published on StatLine, the electronic database of Statistics Netherlands.","author":[{"dropping-particle":"","family":"CBS","given":"","non-dropping-particle":"","parse-names":false,"suffix":""}],"container-title":"Statistics Netherlands","id":"ITEM-1","issued":{"date-parts":[["2016"]]},"number-of-pages":"202","title":"Transport and mobility 2016","type":"book"},"uris":["http://www.mendeley.com/documents/?uuid=77fd9178-c199-4389-8269-835478f6223d"]}],"mendeley":{"formattedCitation":"(CBS, 2016)","plainTextFormattedCitation":"(CBS, 2016)","previouslyFormattedCitation":"(CBS, 2016)"},"properties":{"noteIndex":0},"schema":"https://github.com/citation-style-language/schema/raw/master/csl-citation.json"}</w:instrText>
      </w:r>
      <w:r w:rsidR="00F70172">
        <w:fldChar w:fldCharType="separate"/>
      </w:r>
      <w:r w:rsidR="00F70172" w:rsidRPr="00F70172">
        <w:rPr>
          <w:noProof/>
        </w:rPr>
        <w:t>(CBS, 2016)</w:t>
      </w:r>
      <w:r w:rsidR="00F70172">
        <w:fldChar w:fldCharType="end"/>
      </w:r>
      <w:r w:rsidR="00A9244E">
        <w:t xml:space="preserve">. </w:t>
      </w:r>
      <w:r w:rsidR="00F70172">
        <w:t>This can greatly influence the fire regime in the Netherlands, because a</w:t>
      </w:r>
      <w:r w:rsidR="00887153">
        <w:t>round</w:t>
      </w:r>
      <w:r w:rsidR="00154939">
        <w:t xml:space="preserve"> 9</w:t>
      </w:r>
      <w:r w:rsidR="000F6FCC">
        <w:t>7.1</w:t>
      </w:r>
      <w:r w:rsidR="00154939">
        <w:t>% of</w:t>
      </w:r>
      <w:r w:rsidR="000F6FCC">
        <w:t xml:space="preserve"> </w:t>
      </w:r>
      <w:r w:rsidR="00154939">
        <w:t>forest fires are caused indirectly by human</w:t>
      </w:r>
      <w:r w:rsidR="000F6FCC">
        <w:t xml:space="preserve"> agents</w:t>
      </w:r>
      <w:r w:rsidR="00957547">
        <w:t xml:space="preserve"> </w:t>
      </w:r>
      <w:r w:rsidR="000F6FCC">
        <w:fldChar w:fldCharType="begin" w:fldLock="1"/>
      </w:r>
      <w:r w:rsidR="003F3B01">
        <w:instrText>ADDIN CSL_CITATION {"citationItems":[{"id":"ITEM-1","itemData":{"DOI":"10.1007/s00267-012-9961-z","ISSN":"0364-152X","abstract":"Knowledge of the causes of forest fires, and of the main driving factors\nof ignition, is an indispensable step towards effective fire prevention\npolicies. This study analyses the factors driving forest fire ignition\nin the Mediterranean region including the most common human and\nenvironmental factors used for modelling in the European context. Fire\nignition factors are compared to spatial and temporal variations of fire\noccurrence in the region, then are compared to results obtained in other\nareas of the world, with a special focus on North America (US and\nCanada) where a significant number of studies has been carried out on\nthis topic. The causes of forest fires are varied and their distribution\ndiffers among countries, but may also differ spatially and temporally\nwithin the same country. In Europe, and especially in the Mediterranean\nbasin, fires are mostly human-caused mainly due arson. The distance to\ntransport networks and the distance to urban or recreation areas are\namong the most frequently used human factors in modelling exercises and\nthe Wildland-Urban Interface is increasingly taken into account in the\nmodelling of fire occurrence. Depending on the socio-economic context of\nthe region concerned, factors such as the unemployment rate or variables\nlinked to agricultural activity can explain the ignition of intentional\nand unintentional fires. Regarding environmental factors, those related\nto weather, fuel and topography are the most significant drivers of\nignition of forest fires, especially in Mediterranean-type regions. For\nboth human and lightning-caused fires, there is a geographical gradient\nof fire ignition, mainly due to variations in climate and fuel\ncomposition but also to population density for instance. The timing of\nfires depends on their causes. In populated areas, the timing of\nhuman-caused fires is closely linked to human activities and peaks in\nthe afternoon whereas, in remote areas, the timing of lightning-caused\nfires is more linked to weather conditions and the season, with most\nsuch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ene","non-dropping-particle":"","parse-names":false,"suffix":""},{"dropping-particle":"","family":"Lampin","given":"Corinne","non-dropping-particle":"","parse-names":false,"suffix":""}],"container-title":"ENVIRONMENTAL MANAGEMENT","id":"ITEM-1","issue":"3","issued":{"date-parts":[["2013"]]},"page":"651-662","publisher":"SPRINGER","publisher-place":"ONE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Europe","type":"article-journal","volume":"51"},"uris":["http://www.mendeley.com/documents/?uuid=e0d56085-65d2-483b-b8dc-e7c209f024da"]}],"mendeley":{"formattedCitation":"(Ganteaume &lt;i&gt;et al.&lt;/i&gt;, 2013)","plainTextFormattedCitation":"(Ganteaume et al., 2013)","previouslyFormattedCitation":"(Ganteaume &lt;i&gt;et al.&lt;/i&gt;, 2013)"},"properties":{"noteIndex":0},"schema":"https://github.com/citation-style-language/schema/raw/master/csl-citation.json"}</w:instrText>
      </w:r>
      <w:r w:rsidR="000F6FCC">
        <w:fldChar w:fldCharType="separate"/>
      </w:r>
      <w:r w:rsidR="000F6FCC" w:rsidRPr="000F6FCC">
        <w:rPr>
          <w:noProof/>
        </w:rPr>
        <w:t xml:space="preserve">(Ganteaume </w:t>
      </w:r>
      <w:r w:rsidR="000F6FCC" w:rsidRPr="000F6FCC">
        <w:rPr>
          <w:i/>
          <w:noProof/>
        </w:rPr>
        <w:t>et al.</w:t>
      </w:r>
      <w:r w:rsidR="000F6FCC" w:rsidRPr="000F6FCC">
        <w:rPr>
          <w:noProof/>
        </w:rPr>
        <w:t>, 2013)</w:t>
      </w:r>
      <w:r w:rsidR="000F6FCC">
        <w:fldChar w:fldCharType="end"/>
      </w:r>
      <w:r w:rsidR="00892279">
        <w:t xml:space="preserve"> and</w:t>
      </w:r>
      <w:r w:rsidR="00F43225">
        <w:t xml:space="preserve"> that road</w:t>
      </w:r>
      <w:r w:rsidR="00A90D89">
        <w:t xml:space="preserve"> density and distance has been related to fire</w:t>
      </w:r>
      <w:r w:rsidR="00A7027F">
        <w:t xml:space="preserve"> </w:t>
      </w:r>
      <w:r w:rsidR="00A7027F">
        <w:fldChar w:fldCharType="begin" w:fldLock="1"/>
      </w:r>
      <w:r w:rsidR="00825CDF">
        <w:instrText>ADDIN CSL_CITATION {"citationItems":[{"id":"ITEM-1","itemData":{"DOI":"https://doi.org/10.1016/j.foreco.2012.03.003","ISSN":"0378-1127","abstract":"Fire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author":[{"dropping-particle":"","family":"Oliveira","given":"Sandra","non-dropping-particle":"","parse-names":false,"suffix":""},{"dropping-particle":"","family":"Oehler","given":"Friderike","non-dropping-particle":"","parse-names":false,"suffix":""},{"dropping-particle":"","family":"San-Miguel-Ayanz","given":"Jesús","non-dropping-particle":"","parse-names":false,"suffix":""},{"dropping-particle":"","family":"Camia","given":"Andrea","non-dropping-particle":"","parse-names":false,"suffix":""},{"dropping-particle":"","family":"Pereira","given":"José M C","non-dropping-particle":"","parse-names":false,"suffix":""}],"container-title":"Forest Ecology and Management","id":"ITEM-1","issued":{"date-parts":[["2012"]]},"page":"117-129","title":"Modeling spatial patterns of fire occurrence in Mediterranean Europe using Multiple Regression and Random Forest","type":"article-journal","volume":"275"},"uris":["http://www.mendeley.com/documents/?uuid=ff54fad5-2ad1-48e8-8a3f-0a7f2609de59"]}],"mendeley":{"formattedCitation":"(Oliveira &lt;i&gt;et al.&lt;/i&gt;, 2012)","plainTextFormattedCitation":"(Oliveira et al., 2012)","previouslyFormattedCitation":"(Oliveira &lt;i&gt;et al.&lt;/i&gt;, 2012)"},"properties":{"noteIndex":0},"schema":"https://github.com/citation-style-language/schema/raw/master/csl-citation.json"}</w:instrText>
      </w:r>
      <w:r w:rsidR="00A7027F">
        <w:fldChar w:fldCharType="separate"/>
      </w:r>
      <w:r w:rsidR="00A7027F" w:rsidRPr="00A7027F">
        <w:rPr>
          <w:noProof/>
        </w:rPr>
        <w:t xml:space="preserve">(Oliveira </w:t>
      </w:r>
      <w:r w:rsidR="00A7027F" w:rsidRPr="00A7027F">
        <w:rPr>
          <w:i/>
          <w:noProof/>
        </w:rPr>
        <w:t>et al.</w:t>
      </w:r>
      <w:r w:rsidR="00A7027F" w:rsidRPr="00A7027F">
        <w:rPr>
          <w:noProof/>
        </w:rPr>
        <w:t>, 2012)</w:t>
      </w:r>
      <w:r w:rsidR="00A7027F">
        <w:fldChar w:fldCharType="end"/>
      </w:r>
      <w:r w:rsidR="00957547">
        <w:t>.</w:t>
      </w:r>
    </w:p>
    <w:p w14:paraId="4B6E847F" w14:textId="18C30754" w:rsidR="006E4E52" w:rsidRDefault="00B00316" w:rsidP="006431BB">
      <w:r>
        <w:t xml:space="preserve">The globally averaged surface temperature has increased with 0.9 </w:t>
      </w:r>
      <w:r>
        <w:rPr>
          <w:rFonts w:ascii="Arial" w:hAnsi="Arial" w:cs="Arial"/>
          <w:sz w:val="25"/>
          <w:szCs w:val="25"/>
        </w:rPr>
        <w:t>°</w:t>
      </w:r>
      <w:r>
        <w:t>C, whereby the Netherlands is following this trend</w:t>
      </w:r>
      <w:r w:rsidR="00DD4E45">
        <w:t xml:space="preserve"> since 1880</w:t>
      </w:r>
      <w:r>
        <w:t xml:space="preserve">. </w:t>
      </w:r>
      <w:r w:rsidR="00DD4E45">
        <w:t>There is an increase of precipitation over all the seaso</w:t>
      </w:r>
      <w:r w:rsidR="00AE7038">
        <w:t>ns</w:t>
      </w:r>
      <w:r w:rsidR="00DD4E45">
        <w:t xml:space="preserve"> and</w:t>
      </w:r>
      <w:r w:rsidR="003252A2">
        <w:t xml:space="preserve"> the temperature will increase over all the seasons</w:t>
      </w:r>
      <w:r w:rsidR="00825CDF">
        <w:t xml:space="preserve"> </w:t>
      </w:r>
      <w:r w:rsidR="00825CDF">
        <w:fldChar w:fldCharType="begin" w:fldLock="1"/>
      </w:r>
      <w:r w:rsidR="006E4E52">
        <w:instrText>ADDIN CSL_CITATION {"citationItems":[{"id":"ITEM-1","itemData":{"author":[{"dropping-particle":"","family":"KNMI","given":"","non-dropping-particle":"","parse-names":false,"suffix":""}],"container-title":"Scientific Report WR2014-01, KNMI, De Bilt, The Netherlands","id":"ITEM-1","issued":{"date-parts":[["2014"]]},"title":"KNMI’14: Climate Change scenarios for the 21st Century – A Netherlands perspective; by Bart van den Hurk, Peter Siegmund, Albert Klein Tank (Eds), Jisk Attema, Alexander Bakker, Jules Beersma, Janette Bessembinder, Reinout Boers, Theo Brandsma, Henk van d","type":"article-journal"},"uris":["http://www.mendeley.com/documents/?uuid=2e6f3c19-6867-4694-b351-6741aed335c4"]}],"mendeley":{"formattedCitation":"(KNMI, 2014)","plainTextFormattedCitation":"(KNMI, 2014)","previouslyFormattedCitation":"(KNMI, 2014)"},"properties":{"noteIndex":0},"schema":"https://github.com/citation-style-language/schema/raw/master/csl-citation.json"}</w:instrText>
      </w:r>
      <w:r w:rsidR="00825CDF">
        <w:fldChar w:fldCharType="separate"/>
      </w:r>
      <w:r w:rsidR="00825CDF" w:rsidRPr="00825CDF">
        <w:rPr>
          <w:noProof/>
        </w:rPr>
        <w:t>(KNMI, 2014)</w:t>
      </w:r>
      <w:r w:rsidR="00825CDF">
        <w:fldChar w:fldCharType="end"/>
      </w:r>
      <w:r>
        <w:t xml:space="preserve">. </w:t>
      </w:r>
      <w:r w:rsidR="00825CDF">
        <w:t xml:space="preserve">This </w:t>
      </w:r>
      <w:r w:rsidR="004E1E5C">
        <w:t xml:space="preserve">is </w:t>
      </w:r>
      <w:r w:rsidR="00825CDF">
        <w:t>als</w:t>
      </w:r>
      <w:r w:rsidR="004E1E5C">
        <w:t>o</w:t>
      </w:r>
      <w:r w:rsidR="00825CDF">
        <w:t xml:space="preserve"> </w:t>
      </w:r>
      <w:r>
        <w:t xml:space="preserve">predicted </w:t>
      </w:r>
      <w:r w:rsidR="0047681A">
        <w:t xml:space="preserve">in </w:t>
      </w:r>
      <w:r w:rsidR="004E5C29">
        <w:t xml:space="preserve">the </w:t>
      </w:r>
      <w:proofErr w:type="spellStart"/>
      <w:r w:rsidR="004E5C29">
        <w:t>Köppen</w:t>
      </w:r>
      <w:proofErr w:type="spellEnd"/>
      <w:r w:rsidR="004E5C29">
        <w:t xml:space="preserve">-Geiger classification map of </w:t>
      </w:r>
      <w:r w:rsidR="004E5C29">
        <w:fldChar w:fldCharType="begin" w:fldLock="1"/>
      </w:r>
      <w:r w:rsidR="00011F44">
        <w:instrText>ADDIN CSL_CITATION {"citationItems":[{"id":"ITEM-1","itemData":{"DOI":"10.1038/sdata.2018.214","ISSN":"2052-4463","abstract":"We present new global maps of the Koppen-Geiger climate classification at an unprecedented 1-km resolution for the present-day (1980-2016) and for projected future conditions (2071-2100) under climate change. The present-day map is derived from an ensemble of four high-resolution, topographically-corrected climatic maps. The future map is derived from an ensemble of 32 climate model projections (scenario RCP8.5), by superimposing the projected climate change anomaly on the baseline high-resolution climatic maps. For both time periods we calculate confidence levels from the ensemble spread, providing valuable indications of the reliability of the classifications. The new maps exhibit a higher classification accuracy and substantially more detail than previous maps, particularly in regions with sharp spatial or elevation gradients. We anticipate the new maps will be useful for numerous applications, including species and vegetation distribution modeling. The new maps including the associated confidence maps are freely available via www.gloh2o.org/koppen.","author":[{"dropping-particle":"","family":"Beck","given":"Hylke E","non-dropping-particle":"","parse-names":false,"suffix":""},{"dropping-particle":"","family":"Zimmermann","given":"Niklaus E","non-dropping-particle":"","parse-names":false,"suffix":""},{"dropping-particle":"","family":"McVicar","given":"Tim R","non-dropping-particle":"","parse-names":false,"suffix":""},{"dropping-particle":"","family":"Vergopolan","given":"Noemi","non-dropping-particle":"","parse-names":false,"suffix":""},{"dropping-particle":"","family":"Berg","given":"Alexis","non-dropping-particle":"","parse-names":false,"suffix":""},{"dropping-particle":"","family":"Wood","given":"Eric F","non-dropping-particle":"","parse-names":false,"suffix":""}],"container-title":"Scientific Data","id":"ITEM-1","issue":"1","issued":{"date-parts":[["2018","12","30"]]},"page":"180214","publisher":"NATURE PUBLISHING GROUP","publisher-place":"MACMILLAN BUILDING, 4 CRINAN ST, LONDON N1 9XW, ENGLAND","title":"Present and future Köppen-Geiger climate classification maps at 1-km resolution","type":"article-journal","volume":"5"},"uris":["http://www.mendeley.com/documents/?uuid=433da89a-bfcf-422d-aba5-a99691904ee5"]}],"mendeley":{"formattedCitation":"(Beck &lt;i&gt;et al.&lt;/i&gt;, 2018)","manualFormatting":"Beck et al. (2018)","plainTextFormattedCitation":"(Beck et al., 2018)","previouslyFormattedCitation":"(Beck &lt;i&gt;et al.&lt;/i&gt;, 2018)"},"properties":{"noteIndex":0},"schema":"https://github.com/citation-style-language/schema/raw/master/csl-citation.json"}</w:instrText>
      </w:r>
      <w:r w:rsidR="004E5C29">
        <w:fldChar w:fldCharType="separate"/>
      </w:r>
      <w:r w:rsidR="004E5C29" w:rsidRPr="004E5C29">
        <w:rPr>
          <w:noProof/>
        </w:rPr>
        <w:t xml:space="preserve">Beck </w:t>
      </w:r>
      <w:r w:rsidR="004E5C29" w:rsidRPr="004E5C29">
        <w:rPr>
          <w:i/>
          <w:noProof/>
        </w:rPr>
        <w:t>et al.</w:t>
      </w:r>
      <w:r w:rsidR="004E5C29" w:rsidRPr="004E5C29">
        <w:rPr>
          <w:noProof/>
        </w:rPr>
        <w:t xml:space="preserve"> </w:t>
      </w:r>
      <w:r w:rsidR="004E5C29">
        <w:rPr>
          <w:noProof/>
        </w:rPr>
        <w:t>(</w:t>
      </w:r>
      <w:r w:rsidR="004E5C29" w:rsidRPr="004E5C29">
        <w:rPr>
          <w:noProof/>
        </w:rPr>
        <w:t>2018)</w:t>
      </w:r>
      <w:r w:rsidR="004E5C29">
        <w:fldChar w:fldCharType="end"/>
      </w:r>
      <w:r w:rsidR="0047681A">
        <w:t xml:space="preserve">,whereby the new classifications of climate of the Netherlands </w:t>
      </w:r>
      <w:r w:rsidR="004E5C29">
        <w:t xml:space="preserve">is </w:t>
      </w:r>
      <w:r w:rsidR="002E0878">
        <w:t>a temperate climate without a dry season, but with a warm summer</w:t>
      </w:r>
      <w:r w:rsidR="0047681A">
        <w:t xml:space="preserve"> in the late 21</w:t>
      </w:r>
      <w:r w:rsidR="0047681A" w:rsidRPr="0047681A">
        <w:rPr>
          <w:vertAlign w:val="superscript"/>
        </w:rPr>
        <w:t>st</w:t>
      </w:r>
      <w:r w:rsidR="0047681A">
        <w:t xml:space="preserve"> century</w:t>
      </w:r>
      <w:r w:rsidR="00C746E6">
        <w:t xml:space="preserve">. </w:t>
      </w:r>
      <w:r w:rsidR="006E4E52">
        <w:t>There are also some predictions that these variables will increase the risk of wildfires in Western-Europe</w:t>
      </w:r>
      <w:r w:rsidR="00123ACF">
        <w:t xml:space="preserve"> </w:t>
      </w:r>
      <w:r w:rsidR="00672A22">
        <w:fldChar w:fldCharType="begin" w:fldLock="1"/>
      </w:r>
      <w:r w:rsidR="00D51E63">
        <w:instrText>ADDIN CSL_CITATION {"citationItems":[{"id":"ITEM-1","itemData":{"DOI":"https://doi.org/10.1016/j.gloenvcha.2012.11.009","ISSN":"0959-3780","abstract":"To better prioritise adaptation strategies to a changing climate that are currently being developed, there is a need for quantitative regional level assessments that are systematic and comparable across multiple weather hazards. This study presents an indicator-based impact assessment framework at NUTS-2 level for the European Union that quantifies potential regional changes in weather-related hazards: heat stress in relation to human health, river flood risk, and forest fire risk. This is done by comparing the current (baseline) situation with two future time periods, 2011–2040 and 2041–2070. The indicator values for the baseline period are validated against observed impact data. For each hazard, the method integrates outcomes of a set of coherent high-resolution regional climate models from the ENSEMBLES project based on the SRES A1B emission scenario, with current and projected non-climatic drivers of risk, such as land use and socio-economic change. An index of regional adaptive capacity has been developed and compared with overall hazard impact in order to identify the potentially most vulnerable regions in Europe. The results show strongest increases in impacts for heat stress, followed by forest fire risk, while for flood risk the sign and magnitude of change vary across regions. A major difference with previous studies is that heat stress risk could increase most in central Europe, which is due to the ageing population there. An overall assessment combining the three hazards shows a clear trend towards increasing impact from climaterelated natural hazards for most parts of Europe, but hotspot regions are found in eastern and southern Europe due to their low adaptive capacities. This spatially explicit assessment can serve as a basis for discussing climate adaptation mainstreaming, and priorities for regional development in the EU.","author":[{"dropping-particle":"","family":"Lung","given":"Tobias","non-dropping-particle":"","parse-names":false,"suffix":""},{"dropping-particle":"","family":"Lavalle","given":"Carlo","non-dropping-particle":"","parse-names":false,"suffix":""},{"dropping-particle":"","family":"Hiederer","given":"Roland","non-dropping-particle":"","parse-names":false,"suffix":""},{"dropping-particle":"","family":"Dosio","given":"Alessandro","non-dropping-particle":"","parse-names":false,"suffix":""},{"dropping-particle":"","family":"Bouwer","given":"Laurens M","non-dropping-particle":"","parse-names":false,"suffix":""}],"container-title":"Global Environmental Change","id":"ITEM-1","issue":"2","issued":{"date-parts":[["2013"]]},"page":"522-536","title":"A multi-hazard regional level impact assessment for Europe combining indicators of climatic and non-climatic change","type":"article-journal","volume":"23"},"uris":["http://www.mendeley.com/documents/?uuid=02c9fe1d-baf6-4240-acfe-4027d8d96ba3"]}],"mendeley":{"formattedCitation":"(Lung &lt;i&gt;et al.&lt;/i&gt;, 2013)","plainTextFormattedCitation":"(Lung et al., 2013)","previouslyFormattedCitation":"(Lung &lt;i&gt;et al.&lt;/i&gt;, 2013)"},"properties":{"noteIndex":0},"schema":"https://github.com/citation-style-language/schema/raw/master/csl-citation.json"}</w:instrText>
      </w:r>
      <w:r w:rsidR="00672A22">
        <w:fldChar w:fldCharType="separate"/>
      </w:r>
      <w:r w:rsidR="00672A22" w:rsidRPr="00672A22">
        <w:rPr>
          <w:noProof/>
        </w:rPr>
        <w:t xml:space="preserve">(Lung </w:t>
      </w:r>
      <w:r w:rsidR="00672A22" w:rsidRPr="00672A22">
        <w:rPr>
          <w:i/>
          <w:noProof/>
        </w:rPr>
        <w:t>et al.</w:t>
      </w:r>
      <w:r w:rsidR="00672A22" w:rsidRPr="00672A22">
        <w:rPr>
          <w:noProof/>
        </w:rPr>
        <w:t>, 2013)</w:t>
      </w:r>
      <w:r w:rsidR="00672A22">
        <w:fldChar w:fldCharType="end"/>
      </w:r>
      <w:r w:rsidR="00672A22">
        <w:t xml:space="preserve">. </w:t>
      </w:r>
    </w:p>
    <w:p w14:paraId="3E0C461A" w14:textId="6E7EEEA0" w:rsidR="0079270D" w:rsidRDefault="00672A22" w:rsidP="006431BB">
      <w:r>
        <w:t>The spatial policy history, geographic location and the fragmented landscape of the Netherlands is ideal to research. This information can be used to get information how these fire</w:t>
      </w:r>
      <w:r w:rsidR="00451DA2">
        <w:t>s</w:t>
      </w:r>
      <w:r>
        <w:t xml:space="preserve"> are caused and spread. </w:t>
      </w:r>
    </w:p>
    <w:p w14:paraId="6F35B7F2" w14:textId="421C1655" w:rsidR="00841C38" w:rsidRPr="000E1666" w:rsidRDefault="00841C38" w:rsidP="00841C38">
      <w:pPr>
        <w:rPr>
          <w:i/>
          <w:iCs/>
        </w:rPr>
      </w:pPr>
      <w:r w:rsidRPr="000E1666">
        <w:rPr>
          <w:i/>
          <w:iCs/>
        </w:rPr>
        <w:lastRenderedPageBreak/>
        <w:t>VIIRS</w:t>
      </w:r>
    </w:p>
    <w:p w14:paraId="61F588B5" w14:textId="1EE23B7E" w:rsidR="000E1666" w:rsidRDefault="00841C38" w:rsidP="00841C38">
      <w:pPr>
        <w:rPr>
          <w:b/>
          <w:bCs/>
        </w:rPr>
      </w:pPr>
      <w:r w:rsidRPr="00841C38">
        <w:t>The VIIRS instrument is on the Suomi National Polar-orbiting Partnership (S-NPP)</w:t>
      </w:r>
      <w:r w:rsidR="00660C65">
        <w:t xml:space="preserve">. </w:t>
      </w:r>
      <w:r w:rsidR="00954D00">
        <w:t xml:space="preserve">The satellite orbits the earth at an altitude of 829 km and </w:t>
      </w:r>
      <w:r w:rsidRPr="00841C38">
        <w:t>crosses the equator ascending around 13:30 (Greenwich time) and descends around (01:30).</w:t>
      </w:r>
      <w:r w:rsidR="00954D00">
        <w:t xml:space="preserve"> The swath width of the instrument is 3060 </w:t>
      </w:r>
      <w:r w:rsidR="004762DB">
        <w:t>kilometres</w:t>
      </w:r>
      <w:r w:rsidR="00954D00">
        <w:t>.</w:t>
      </w:r>
      <w:r w:rsidR="00F74D1B">
        <w:t xml:space="preserve"> The sensor can measure different wavelengths at day and night </w:t>
      </w:r>
      <w:r w:rsidR="00204D46">
        <w:fldChar w:fldCharType="begin" w:fldLock="1"/>
      </w:r>
      <w:r w:rsidR="003F3B01">
        <w:instrText>ADDIN CSL_CITATION {"citationItems":[{"id":"ITEM-1","itemData":{"abstract":"This VIIRS Sensor Data Record User’s Guide (hereinafter referred to as the User’s Guide) is intended for users of the Sensor Data Records (SDR) generated from the VIIRS. It provides a general introduction to the VIIRS instrument, data products, format, content, and their applications. It also serves as a reference to more detailed technical documents on VIIRS such as the Algorithm Theoretical Basis Documents (ATBDs) for radiometric and geolocation calibration algorithms as listed in the reference section [1-4]. This User’s Guide is intended for the VIIRS instrument as-built onboard the S-NPP satellite. Technical data may be updated for VIIRS onboard the JPSS satellites in the future.","author":[{"dropping-particle":"","family":"Cao","given":"Changyong","non-dropping-particle":"","parse-names":false,"suffix":""},{"dropping-particle":"","family":"Xiaoxiong","given":"Xiong","non-dropping-particle":"","parse-names":false,"suffix":""},{"dropping-particle":"","family":"Wolfe","given":"Robert","non-dropping-particle":"","parse-names":false,"suffix":""},{"dropping-particle":"","family":"DeLuccia","given":"Frank","non-dropping-particle":"","parse-names":false,"suffix":""},{"dropping-particle":"","family":"Liu","given":"Quanhua (Mark)","non-dropping-particle":"","parse-names":false,"suffix":""},{"dropping-particle":"","family":"Blonski","given":"Slawomir","non-dropping-particle":"","parse-names":false,"suffix":""},{"dropping-particle":"","family":"Lin","given":"Guoqing (Gary)","non-dropping-particle":"","parse-names":false,"suffix":""},{"dropping-particle":"","family":"Nishihama","given":"Masahiro","non-dropping-particle":"","parse-names":false,"suffix":""},{"dropping-particle":"","family":"Pogorzala","given":"Dave","non-dropping-particle":"","parse-names":false,"suffix":""},{"dropping-particle":"","family":"Oudrari","given":"Hassan","non-dropping-particle":"","parse-names":false,"suffix":""},{"dropping-particle":"","family":"Hillger","given":"Don","non-dropping-particle":"","parse-names":false,"suffix":""}],"container-title":"NOAA Technical Report NESDIS 142","id":"ITEM-1","issue":"March","issued":{"date-parts":[["2017"]]},"title":"NOAA Technical Report NESDIS 142 Visible Infrared Imaging Radiometer Suite (VIIRS) Sensor Data Record (SDR) User’s Guide Version 1.3","type":"article-journal"},"uris":["http://www.mendeley.com/documents/?uuid=a68a1ca7-b6a0-41b4-826d-d69496d6351d"]}],"mendeley":{"formattedCitation":"(Cao &lt;i&gt;et al.&lt;/i&gt;, 2017)","plainTextFormattedCitation":"(Cao et al., 2017)","previouslyFormattedCitation":"(Cao &lt;i&gt;et al.&lt;/i&gt;, 2017)"},"properties":{"noteIndex":0},"schema":"https://github.com/citation-style-language/schema/raw/master/csl-citation.json"}</w:instrText>
      </w:r>
      <w:r w:rsidR="00204D46">
        <w:fldChar w:fldCharType="separate"/>
      </w:r>
      <w:r w:rsidR="00204D46" w:rsidRPr="00204D46">
        <w:rPr>
          <w:noProof/>
        </w:rPr>
        <w:t xml:space="preserve">(Cao </w:t>
      </w:r>
      <w:r w:rsidR="00204D46" w:rsidRPr="00204D46">
        <w:rPr>
          <w:i/>
          <w:noProof/>
        </w:rPr>
        <w:t>et al.</w:t>
      </w:r>
      <w:r w:rsidR="00204D46" w:rsidRPr="00204D46">
        <w:rPr>
          <w:noProof/>
        </w:rPr>
        <w:t>, 2017)</w:t>
      </w:r>
      <w:r w:rsidR="00204D46">
        <w:fldChar w:fldCharType="end"/>
      </w:r>
      <w:r w:rsidR="00F74D1B">
        <w:t>.</w:t>
      </w:r>
      <w:r w:rsidRPr="00841C38">
        <w:t xml:space="preserve"> An algorithm has been developed by </w:t>
      </w:r>
      <w:r w:rsidRPr="00841C38">
        <w:fldChar w:fldCharType="begin" w:fldLock="1"/>
      </w:r>
      <w:r w:rsidR="000F6FCC">
        <w:instrText>ADDIN CSL_CITATION {"citationItems":[{"id":"ITEM-1","itemData":{"DOI":"10.1016/j.rse.2013.12.008","ISSN":"00344257","abstract":"The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assessment","type":"article-journal","volume":"143"},"uris":["http://www.mendeley.com/documents/?uuid=a634acde-4e20-40d9-9972-992dcc303ba4"]}],"mendeley":{"formattedCitation":"(Schroeder &lt;i&gt;et al.&lt;/i&gt;, 2014)","manualFormatting":"Schroeder et al.(2014)","plainTextFormattedCitation":"(Schroeder et al., 2014)","previouslyFormattedCitation":"(Schroeder &lt;i&gt;et al.&lt;/i&gt;, 2014)"},"properties":{"noteIndex":0},"schema":"https://github.com/citation-style-language/schema/raw/master/csl-citation.json"}</w:instrText>
      </w:r>
      <w:r w:rsidRPr="00841C38">
        <w:fldChar w:fldCharType="separate"/>
      </w:r>
      <w:r w:rsidRPr="00841C38">
        <w:rPr>
          <w:noProof/>
        </w:rPr>
        <w:t>Schroeder et al.(2014)</w:t>
      </w:r>
      <w:r w:rsidRPr="00841C38">
        <w:fldChar w:fldCharType="end"/>
      </w:r>
      <w:r w:rsidRPr="00841C38">
        <w:t xml:space="preserve"> to identify active</w:t>
      </w:r>
      <w:r w:rsidR="00CD19C1">
        <w:t xml:space="preserve"> </w:t>
      </w:r>
      <w:r w:rsidRPr="00841C38">
        <w:t>fires on the earth surface at a resolution of 375 meter</w:t>
      </w:r>
      <w:r>
        <w:t xml:space="preserve"> </w:t>
      </w:r>
      <w:r w:rsidR="009A22E0">
        <w:t>or 750 meter (depending on the horizontal location of the pixel</w:t>
      </w:r>
      <w:r w:rsidR="00932B74">
        <w:t>)</w:t>
      </w:r>
      <w:r w:rsidR="009A22E0">
        <w:t xml:space="preserve"> </w:t>
      </w:r>
      <w:r>
        <w:t xml:space="preserve">and increased the detection of fires by day and night. </w:t>
      </w:r>
      <w:r w:rsidR="00932B74">
        <w:t xml:space="preserve">The </w:t>
      </w:r>
      <w:r w:rsidR="001737A5">
        <w:t>375- and 750-meter</w:t>
      </w:r>
      <w:r w:rsidR="00932B74">
        <w:t xml:space="preserve"> resolution is the unique aggregating scheme of the satellite. </w:t>
      </w:r>
      <w:r w:rsidR="001737A5">
        <w:t xml:space="preserve">The algorithm itself uses the brightness temperature of several sensor and can differentiate between water and land. </w:t>
      </w:r>
      <w:r w:rsidR="00674118">
        <w:t>This dataset is as ASCII text file and is taken from the VNP14ML monthly dataset (</w:t>
      </w:r>
      <w:hyperlink r:id="rId6" w:history="1">
        <w:r w:rsidR="00674118" w:rsidRPr="006243BB">
          <w:rPr>
            <w:rStyle w:val="Hyperlink"/>
          </w:rPr>
          <w:t>ftp://fuoco.geog.umd.edu/VIIRS/VNP14ML</w:t>
        </w:r>
      </w:hyperlink>
      <w:r w:rsidR="00674118">
        <w:t>, last accessed on May 2020)</w:t>
      </w:r>
      <w:r w:rsidR="002913E6">
        <w:t xml:space="preserve">. </w:t>
      </w:r>
    </w:p>
    <w:p w14:paraId="09BF60A8" w14:textId="16D13BDC" w:rsidR="005033B5" w:rsidRDefault="005033B5" w:rsidP="00533F03">
      <w:pPr>
        <w:tabs>
          <w:tab w:val="left" w:pos="5235"/>
        </w:tabs>
        <w:rPr>
          <w:i/>
          <w:iCs/>
        </w:rPr>
      </w:pPr>
      <w:r>
        <w:rPr>
          <w:i/>
          <w:iCs/>
        </w:rPr>
        <w:t>Corine Land Cover</w:t>
      </w:r>
    </w:p>
    <w:p w14:paraId="337D81BF" w14:textId="5D72E0EC" w:rsidR="00452406" w:rsidRDefault="00F919CA">
      <w:r>
        <w:t xml:space="preserve">The dataset that is used to extract the landcover is the Corine Land Cover (CLC) Dataset from 2012 and 2018. </w:t>
      </w:r>
      <w:r w:rsidR="00B414CC">
        <w:t xml:space="preserve">This dataset is setup with the satellite date of the SENTINEL 2, whereby the </w:t>
      </w:r>
      <w:r w:rsidR="00556AF6">
        <w:t>satellite instrument</w:t>
      </w:r>
      <w:r w:rsidR="00B414CC">
        <w:t xml:space="preserve"> Landsat-8 is used for gap </w:t>
      </w:r>
      <w:r w:rsidR="00556AF6">
        <w:t>filling</w:t>
      </w:r>
      <w:r w:rsidR="00B414CC">
        <w:t xml:space="preserve">. </w:t>
      </w:r>
      <w:r>
        <w:t xml:space="preserve">The CLC 2018 dataset has been developed between 2017 to 2018 and the CLC 2012 dataset between 2011-2012. The datasets have both an equal or greater 85% </w:t>
      </w:r>
      <w:r w:rsidR="00906EE3">
        <w:t xml:space="preserve">thematic accuracy with a minimum mapping unit of </w:t>
      </w:r>
      <w:r w:rsidR="0015645B">
        <w:t xml:space="preserve">the polygon is 25 ha and it has a minimum pixel size of </w:t>
      </w:r>
      <w:r w:rsidR="00906EE3">
        <w:t>100 mete</w:t>
      </w:r>
      <w:r w:rsidR="001A337C">
        <w:t>r</w:t>
      </w:r>
      <w:r w:rsidR="006C672A">
        <w:t>. Furthermore, all changes that are greater than 5 ha must be mapped into the dataset</w:t>
      </w:r>
      <w:r w:rsidR="00AC164B">
        <w:t xml:space="preserve"> </w:t>
      </w:r>
      <w:r w:rsidR="00AC164B">
        <w:fldChar w:fldCharType="begin" w:fldLock="1"/>
      </w:r>
      <w:r w:rsidR="00E60887">
        <w:instrText>ADDIN CSL_CITATION {"citationItems":[{"id":"ITEM-1","itemData":{"author":[{"dropping-particle":"","family":"Büttner","given":"György","non-dropping-particle":"","parse-names":false,"suffix":""},{"dropping-particle":"","family":"Kosztra","given":"Barbara","non-dropping-particle":"","parse-names":false,"suffix":""},{"dropping-particle":"","family":"Soukup","given":"Tomas","non-dropping-particle":"","parse-names":false,"suffix":""},{"dropping-particle":"","family":"Sousa","given":"Ana","non-dropping-particle":"","parse-names":false,"suffix":""},{"dropping-particle":"","family":"Langanke","given":"Tobias","non-dropping-particle":"","parse-names":false,"suffix":""}],"id":"ITEM-1","issue":"3436","issued":{"date-parts":[["2017"]]},"page":"60","title":"CLC2018 Technical Guidelines","type":"article-journal"},"uris":["http://www.mendeley.com/documents/?uuid=b75f3d0e-2452-4dfa-9287-c3c9a8287c10"]}],"mendeley":{"formattedCitation":"(Büttner &lt;i&gt;et al.&lt;/i&gt;, 2017)","plainTextFormattedCitation":"(Büttner et al., 2017)","previouslyFormattedCitation":"(Büttner &lt;i&gt;et al.&lt;/i&gt;, 2017)"},"properties":{"noteIndex":0},"schema":"https://github.com/citation-style-language/schema/raw/master/csl-citation.json"}</w:instrText>
      </w:r>
      <w:r w:rsidR="00AC164B">
        <w:fldChar w:fldCharType="separate"/>
      </w:r>
      <w:r w:rsidR="00AC164B" w:rsidRPr="00AC164B">
        <w:rPr>
          <w:noProof/>
        </w:rPr>
        <w:t xml:space="preserve">(Büttner </w:t>
      </w:r>
      <w:r w:rsidR="00AC164B" w:rsidRPr="00AC164B">
        <w:rPr>
          <w:i/>
          <w:noProof/>
        </w:rPr>
        <w:t>et al.</w:t>
      </w:r>
      <w:r w:rsidR="00AC164B" w:rsidRPr="00AC164B">
        <w:rPr>
          <w:noProof/>
        </w:rPr>
        <w:t>, 2017)</w:t>
      </w:r>
      <w:r w:rsidR="00AC164B">
        <w:fldChar w:fldCharType="end"/>
      </w:r>
      <w:r w:rsidR="001A337C">
        <w:t>.</w:t>
      </w:r>
      <w:r w:rsidR="0015645B">
        <w:t xml:space="preserve"> </w:t>
      </w:r>
    </w:p>
    <w:p w14:paraId="4C0A994B" w14:textId="5472CBA0" w:rsidR="00F87C77" w:rsidRDefault="007B0CB3">
      <w:r>
        <w:t xml:space="preserve">The datasets are </w:t>
      </w:r>
      <w:r w:rsidR="00AC164B">
        <w:t xml:space="preserve">taken from </w:t>
      </w:r>
      <w:hyperlink r:id="rId7" w:history="1">
        <w:r w:rsidR="000B54E8" w:rsidRPr="004C45C3">
          <w:rPr>
            <w:rStyle w:val="Hyperlink"/>
          </w:rPr>
          <w:t>https://land.copernicus.eu/pan-euro pean/corine-land-cover/clc2018?tab=download</w:t>
        </w:r>
      </w:hyperlink>
      <w:r w:rsidR="00AC164B">
        <w:t xml:space="preserve"> (last accessed on May 2020)</w:t>
      </w:r>
      <w:r w:rsidR="000C4A0F">
        <w:t xml:space="preserve"> and </w:t>
      </w:r>
      <w:hyperlink r:id="rId8" w:history="1">
        <w:r w:rsidR="000C4A0F" w:rsidRPr="005A3855">
          <w:rPr>
            <w:rStyle w:val="Hyperlink"/>
          </w:rPr>
          <w:t>https://land.copernicus.eu/pan-european/corine-land-cover/clc-2012?tab=download</w:t>
        </w:r>
      </w:hyperlink>
      <w:r w:rsidR="000C4A0F">
        <w:t xml:space="preserve"> (last accessed on September 2020)</w:t>
      </w:r>
      <w:r w:rsidR="00BD663B">
        <w:t>.</w:t>
      </w:r>
      <w:r w:rsidR="00E159A3">
        <w:t xml:space="preserve"> </w:t>
      </w:r>
    </w:p>
    <w:p w14:paraId="13D3631C" w14:textId="0AFCAAC6" w:rsidR="001D4E27" w:rsidRDefault="001D4E27">
      <w:pPr>
        <w:rPr>
          <w:i/>
          <w:iCs/>
        </w:rPr>
      </w:pPr>
      <w:r>
        <w:rPr>
          <w:i/>
          <w:iCs/>
        </w:rPr>
        <w:t>Natura 2000</w:t>
      </w:r>
    </w:p>
    <w:p w14:paraId="1A302DD9" w14:textId="5001A7AA" w:rsidR="009B391B" w:rsidRPr="009B391B" w:rsidRDefault="00BB3BB4">
      <w:r>
        <w:t>Natura 2000 is a</w:t>
      </w:r>
      <w:r w:rsidR="00E759CA">
        <w:t xml:space="preserve"> Europe Union biodiversity progra</w:t>
      </w:r>
      <w:r w:rsidR="00507E4D">
        <w:t>m. The goal of this program is to stop the decline of biodiversity in Europe.</w:t>
      </w:r>
      <w:r w:rsidR="00A15771">
        <w:t xml:space="preserve"> The European union want to achieve this with a European scale nature network or in short</w:t>
      </w:r>
      <w:r w:rsidR="00807510">
        <w:t>,</w:t>
      </w:r>
      <w:r w:rsidR="00A15771">
        <w:t xml:space="preserve"> the Natura 2000 network</w:t>
      </w:r>
      <w:r w:rsidR="00171C62">
        <w:t xml:space="preserve"> between country members</w:t>
      </w:r>
      <w:r w:rsidR="00A15771">
        <w:t xml:space="preserve">. </w:t>
      </w:r>
      <w:r w:rsidR="00C85FFF">
        <w:t xml:space="preserve">There are 162 areas in the Netherlands that are part of this network. </w:t>
      </w:r>
      <w:r w:rsidR="003F1A81">
        <w:t>The importance of the country is in the ecological diverse landscape, wh</w:t>
      </w:r>
      <w:r w:rsidR="00610CB5">
        <w:t>ich are mostly import for breeding birds</w:t>
      </w:r>
      <w:r w:rsidR="00601AC1">
        <w:t xml:space="preserve"> </w:t>
      </w:r>
      <w:r w:rsidR="003F3B01">
        <w:fldChar w:fldCharType="begin" w:fldLock="1"/>
      </w:r>
      <w:r w:rsidR="003F3B01">
        <w:instrText>ADDIN CSL_CITATION {"citationItems":[{"id":"ITEM-1","itemData":{"author":[{"dropping-particle":"","family":"LNV","given":"","non-dropping-particle":"","parse-names":false,"suffix":""}],"id":"ITEM-1","issued":{"date-parts":[["2006"]]},"title":"Natura 2000 doelendocument. duidelijkheid bieden, richting geven en ruimte laten","type":"article-journal"},"uris":["http://www.mendeley.com/documents/?uuid=7e67d6b2-70dc-47a8-9fe6-ebc09ac0276d"]}],"mendeley":{"formattedCitation":"(LNV, 2006)","plainTextFormattedCitation":"(LNV, 2006)"},"properties":{"noteIndex":0},"schema":"https://github.com/citation-style-language/schema/raw/master/csl-citation.json"}</w:instrText>
      </w:r>
      <w:r w:rsidR="003F3B01">
        <w:fldChar w:fldCharType="separate"/>
      </w:r>
      <w:r w:rsidR="003F3B01" w:rsidRPr="003F3B01">
        <w:rPr>
          <w:noProof/>
        </w:rPr>
        <w:t>(LNV, 2006)</w:t>
      </w:r>
      <w:r w:rsidR="003F3B01">
        <w:fldChar w:fldCharType="end"/>
      </w:r>
      <w:r w:rsidR="003F3B01">
        <w:t xml:space="preserve">. </w:t>
      </w:r>
      <w:r w:rsidR="004738ED">
        <w:t xml:space="preserve">This program </w:t>
      </w:r>
      <w:r w:rsidR="00F35F2F">
        <w:t xml:space="preserve">could contribute to spatial distribution of </w:t>
      </w:r>
      <w:r w:rsidR="005E6680">
        <w:t xml:space="preserve">fires </w:t>
      </w:r>
      <w:r w:rsidR="00D1304A">
        <w:t xml:space="preserve">in the Netherlands </w:t>
      </w:r>
      <w:r w:rsidR="005E6680">
        <w:t>because</w:t>
      </w:r>
      <w:r w:rsidR="00F35F2F">
        <w:t xml:space="preserve"> it is zoning natural areas whereby natural areas are conserved</w:t>
      </w:r>
      <w:r w:rsidR="005E6680">
        <w:t xml:space="preserve">. </w:t>
      </w:r>
      <w:r w:rsidR="00E46839">
        <w:t xml:space="preserve">The </w:t>
      </w:r>
      <w:r w:rsidR="004E546F">
        <w:t xml:space="preserve">shapefile with the </w:t>
      </w:r>
      <w:r w:rsidR="00E46839">
        <w:t>location</w:t>
      </w:r>
      <w:r w:rsidR="004E546F">
        <w:t>s</w:t>
      </w:r>
      <w:r w:rsidR="00E46839">
        <w:t xml:space="preserve"> of this areas </w:t>
      </w:r>
      <w:r w:rsidR="00065D4D">
        <w:t>is</w:t>
      </w:r>
      <w:r w:rsidR="00451DA2">
        <w:t xml:space="preserve"> </w:t>
      </w:r>
      <w:r w:rsidR="005C5D2E">
        <w:t xml:space="preserve">also </w:t>
      </w:r>
      <w:r w:rsidR="00451DA2">
        <w:t xml:space="preserve">taken from the same source as the </w:t>
      </w:r>
      <w:r w:rsidR="005C5D2E">
        <w:t>administrative borders.</w:t>
      </w:r>
    </w:p>
    <w:p w14:paraId="5BC6D41D" w14:textId="48BD069F" w:rsidR="005033B5" w:rsidRPr="00FB0D8B" w:rsidRDefault="00FB0D8B" w:rsidP="00841C38">
      <w:pPr>
        <w:rPr>
          <w:i/>
          <w:iCs/>
        </w:rPr>
      </w:pPr>
      <w:r>
        <w:rPr>
          <w:i/>
          <w:iCs/>
        </w:rPr>
        <w:t>Overview of the methods</w:t>
      </w:r>
    </w:p>
    <w:p w14:paraId="7055F12A" w14:textId="2B0205D2" w:rsidR="002260E6" w:rsidRDefault="00A95F07">
      <w:r>
        <w:t>Two different methods</w:t>
      </w:r>
      <w:r w:rsidR="001B65BE">
        <w:t>, which are</w:t>
      </w:r>
      <w:r w:rsidR="001E6979">
        <w:t xml:space="preserve"> visualized in flowcharts (see</w:t>
      </w:r>
      <w:r w:rsidR="00A62C66">
        <w:t xml:space="preserve"> figure </w:t>
      </w:r>
      <w:r w:rsidR="0023631E">
        <w:t>1</w:t>
      </w:r>
      <w:r w:rsidR="00A62C66">
        <w:rPr>
          <w:b/>
          <w:bCs/>
        </w:rPr>
        <w:t xml:space="preserve"> and X)</w:t>
      </w:r>
      <w:r w:rsidR="001E6979">
        <w:t xml:space="preserve"> have </w:t>
      </w:r>
      <w:r w:rsidR="008E5516">
        <w:t xml:space="preserve">been developed for </w:t>
      </w:r>
      <w:r w:rsidR="001E6979">
        <w:t xml:space="preserve">this research. </w:t>
      </w:r>
      <w:r w:rsidR="008E5516">
        <w:t>The</w:t>
      </w:r>
      <w:r w:rsidR="001B65BE">
        <w:t xml:space="preserve"> first method is for acquiring the data from the VNL14ML, CLC </w:t>
      </w:r>
      <w:proofErr w:type="spellStart"/>
      <w:r w:rsidR="001B65BE">
        <w:t>rasters</w:t>
      </w:r>
      <w:proofErr w:type="spellEnd"/>
      <w:r w:rsidR="001B65BE">
        <w:t xml:space="preserve"> and administrative borders of the Netherlands. </w:t>
      </w:r>
      <w:r w:rsidR="009141F1">
        <w:t>For each method, there will be given an overview what the reasoning is behind the different choices are</w:t>
      </w:r>
      <w:r w:rsidR="00C51AC9">
        <w:t xml:space="preserve"> </w:t>
      </w:r>
      <w:r w:rsidR="00C51AC9">
        <w:rPr>
          <w:b/>
          <w:bCs/>
        </w:rPr>
        <w:t>DIT MISSCHIEN IN THE LEIDING VAN DIT HOOFDSTUK ZETTEN</w:t>
      </w:r>
      <w:r w:rsidR="009141F1">
        <w:t xml:space="preserve">. </w:t>
      </w:r>
    </w:p>
    <w:p w14:paraId="09AFE172" w14:textId="77777777" w:rsidR="002260E6" w:rsidRDefault="002260E6">
      <w:r>
        <w:br w:type="page"/>
      </w:r>
    </w:p>
    <w:p w14:paraId="6657C9AD" w14:textId="353E283A" w:rsidR="001818D6" w:rsidRPr="001818D6" w:rsidRDefault="00F2729C" w:rsidP="00841C38">
      <w:pPr>
        <w:rPr>
          <w:i/>
          <w:iCs/>
        </w:rPr>
      </w:pPr>
      <w:r>
        <w:rPr>
          <w:i/>
          <w:iCs/>
        </w:rPr>
        <w:lastRenderedPageBreak/>
        <w:t>Acquiring the data for the Research</w:t>
      </w:r>
    </w:p>
    <w:p w14:paraId="65255D99" w14:textId="45245F49" w:rsidR="00FB0D8B" w:rsidRPr="00FB0D8B" w:rsidRDefault="00FB0D8B" w:rsidP="00841C38"/>
    <w:p w14:paraId="68901E59" w14:textId="5DB8E52A" w:rsidR="00FD1EF9" w:rsidRDefault="006D397A" w:rsidP="00FD1EF9">
      <w:pPr>
        <w:keepNext/>
        <w:jc w:val="center"/>
      </w:pPr>
      <w:r>
        <w:rPr>
          <w:noProof/>
        </w:rPr>
        <w:drawing>
          <wp:inline distT="0" distB="0" distL="0" distR="0" wp14:anchorId="1A3722DD" wp14:editId="68BACFBD">
            <wp:extent cx="3130709" cy="4886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5166" cy="4909527"/>
                    </a:xfrm>
                    <a:prstGeom prst="rect">
                      <a:avLst/>
                    </a:prstGeom>
                    <a:noFill/>
                    <a:ln>
                      <a:noFill/>
                    </a:ln>
                  </pic:spPr>
                </pic:pic>
              </a:graphicData>
            </a:graphic>
          </wp:inline>
        </w:drawing>
      </w:r>
    </w:p>
    <w:p w14:paraId="43BBCA43" w14:textId="2E6A0CAA" w:rsidR="000B649A" w:rsidRDefault="00FD1EF9" w:rsidP="00FD1EF9">
      <w:pPr>
        <w:pStyle w:val="Caption"/>
        <w:jc w:val="center"/>
        <w:rPr>
          <w:noProof/>
        </w:rPr>
      </w:pPr>
      <w:r>
        <w:t xml:space="preserve">Figure </w:t>
      </w:r>
      <w:fldSimple w:instr=" SEQ Figure \* ARABIC ">
        <w:r>
          <w:rPr>
            <w:noProof/>
          </w:rPr>
          <w:t>1</w:t>
        </w:r>
      </w:fldSimple>
      <w:r>
        <w:t xml:space="preserve"> Flowchart on how the data from the data sources are used and are selected</w:t>
      </w:r>
      <w:r>
        <w:rPr>
          <w:noProof/>
        </w:rPr>
        <w:t>. The outcome if this flowchart are a shapefile and a rasterfile containing information about the land cover and the size of the fires.</w:t>
      </w:r>
    </w:p>
    <w:p w14:paraId="29920BB2" w14:textId="2C5BFA3A" w:rsidR="00FB0D19" w:rsidRDefault="001818D6" w:rsidP="00FB0D8B">
      <w:r>
        <w:t>The general overview of the method for acquiring the data can be seen in figure 1.</w:t>
      </w:r>
      <w:r w:rsidR="009C33F5">
        <w:t xml:space="preserve"> </w:t>
      </w:r>
      <w:r w:rsidR="001A2D64">
        <w:t xml:space="preserve">The VIIRS dataset contains information about the size of the pixel, the classification with the help of the </w:t>
      </w:r>
      <w:r w:rsidR="00E32C4E">
        <w:t>C</w:t>
      </w:r>
      <w:r w:rsidR="001A2D64">
        <w:t xml:space="preserve">orine landcover, the year and the month of </w:t>
      </w:r>
      <w:r w:rsidR="00F23E76">
        <w:t xml:space="preserve">observation. </w:t>
      </w:r>
    </w:p>
    <w:p w14:paraId="4F7A9889" w14:textId="77777777" w:rsidR="0083110E" w:rsidRDefault="0083110E">
      <w:pPr>
        <w:rPr>
          <w:i/>
          <w:iCs/>
          <w:u w:val="single"/>
        </w:rPr>
      </w:pPr>
      <w:r>
        <w:rPr>
          <w:i/>
          <w:iCs/>
          <w:u w:val="single"/>
        </w:rPr>
        <w:br w:type="page"/>
      </w:r>
    </w:p>
    <w:p w14:paraId="08E9B9D5" w14:textId="61B28C74" w:rsidR="0023631E" w:rsidRPr="0023631E" w:rsidRDefault="00782993" w:rsidP="00FB0D8B">
      <w:pPr>
        <w:rPr>
          <w:i/>
          <w:iCs/>
          <w:u w:val="single"/>
        </w:rPr>
      </w:pPr>
      <w:r>
        <w:rPr>
          <w:i/>
          <w:iCs/>
          <w:u w:val="single"/>
        </w:rPr>
        <w:lastRenderedPageBreak/>
        <w:t xml:space="preserve">Filtering of the </w:t>
      </w:r>
      <w:r w:rsidR="0023631E">
        <w:rPr>
          <w:i/>
          <w:iCs/>
          <w:u w:val="single"/>
        </w:rPr>
        <w:t>VIIRS Fire pixels</w:t>
      </w:r>
    </w:p>
    <w:p w14:paraId="5F9B3F89" w14:textId="3ADDFACE" w:rsidR="00676D2A" w:rsidRPr="008A787B" w:rsidRDefault="00676D2A" w:rsidP="00FB0D8B">
      <w:r>
        <w:t xml:space="preserve">The size of the fire pixel is determined on which </w:t>
      </w:r>
      <w:r w:rsidR="00B55007">
        <w:t xml:space="preserve">horizontal the pixel has been observed. The further away from the nadir how greater the bow-tie effect is, which means that the pixels toward the edge a more surface area cover. </w:t>
      </w:r>
      <w:r w:rsidR="00E37485">
        <w:t xml:space="preserve"> The change in angle, observation distance and curvature of the earth causes this effect. VIIRS use multiple bands to compensate </w:t>
      </w:r>
      <w:r w:rsidR="00751BFB">
        <w:t>t</w:t>
      </w:r>
      <w:r w:rsidR="00E37485">
        <w:t>his effect</w:t>
      </w:r>
      <w:r w:rsidR="00751BFB">
        <w:t xml:space="preserve"> and keep the pixel size 375 meter</w:t>
      </w:r>
      <w:r w:rsidR="00E37485">
        <w:t>, however after the 960</w:t>
      </w:r>
      <w:r w:rsidR="001D1138">
        <w:t>th</w:t>
      </w:r>
      <w:r w:rsidR="00E37485">
        <w:t xml:space="preserve"> pixel, the instrument </w:t>
      </w:r>
      <w:r w:rsidR="00664DA7">
        <w:t xml:space="preserve">cannot compensate the </w:t>
      </w:r>
      <w:r w:rsidR="00481D5B">
        <w:t>pixels which cause t</w:t>
      </w:r>
      <w:r w:rsidR="0083110E">
        <w:t>hat the pixel size is 750 meter instead of 375 meter</w:t>
      </w:r>
      <w:r w:rsidR="00D62081">
        <w:t xml:space="preserve"> </w:t>
      </w:r>
      <w:r w:rsidR="00D62081">
        <w:fldChar w:fldCharType="begin" w:fldLock="1"/>
      </w:r>
      <w:r w:rsidR="00206A6C">
        <w:instrText>ADDIN CSL_CITATION {"citationItems":[{"id":"ITEM-1","itemData":{"abstract":"This VIIRS Sensor Data Record User’s Guide (hereinafter referred to as the User’s Guide) is intended for users of the Sensor Data Records (SDR) generated from the VIIRS. It provides a general introduction to the VIIRS instrument, data products, format, content, and their applications. It also serves as a reference to more detailed technical documents on VIIRS such as the Algorithm Theoretical Basis Documents (ATBDs) for radiometric and geolocation calibration algorithms as listed in the reference section [1-4]. This User’s Guide is intended for the VIIRS instrument as-built onboard the S-NPP satellite. Technical data may be updated for VIIRS onboard the JPSS satellites in the future.","author":[{"dropping-particle":"","family":"Cao","given":"Changyong","non-dropping-particle":"","parse-names":false,"suffix":""},{"dropping-particle":"","family":"Xiaoxiong","given":"Xiong","non-dropping-particle":"","parse-names":false,"suffix":""},{"dropping-particle":"","family":"Wolfe","given":"Robert","non-dropping-particle":"","parse-names":false,"suffix":""},{"dropping-particle":"","family":"DeLuccia","given":"Frank","non-dropping-particle":"","parse-names":false,"suffix":""},{"dropping-particle":"","family":"Liu","given":"Quanhua (Mark)","non-dropping-particle":"","parse-names":false,"suffix":""},{"dropping-particle":"","family":"Blonski","given":"Slawomir","non-dropping-particle":"","parse-names":false,"suffix":""},{"dropping-particle":"","family":"Lin","given":"Guoqing (Gary)","non-dropping-particle":"","parse-names":false,"suffix":""},{"dropping-particle":"","family":"Nishihama","given":"Masahiro","non-dropping-particle":"","parse-names":false,"suffix":""},{"dropping-particle":"","family":"Pogorzala","given":"Dave","non-dropping-particle":"","parse-names":false,"suffix":""},{"dropping-particle":"","family":"Oudrari","given":"Hassan","non-dropping-particle":"","parse-names":false,"suffix":""},{"dropping-particle":"","family":"Hillger","given":"Don","non-dropping-particle":"","parse-names":false,"suffix":""}],"container-title":"NOAA Technical Report NESDIS 142","id":"ITEM-1","issue":"March","issued":{"date-parts":[["2017"]]},"title":"NOAA Technical Report NESDIS 142 Visible Infrared Imaging Radiometer Suite (VIIRS) Sensor Data Record (SDR) User’s Guide Version 1.3","type":"article-journal"},"uris":["http://www.mendeley.com/documents/?uuid=a68a1ca7-b6a0-41b4-826d-d69496d6351d"]}],"mendeley":{"formattedCitation":"(Cao &lt;i&gt;et al.&lt;/i&gt;, 2017)","plainTextFormattedCitation":"(Cao et al., 2017)","previouslyFormattedCitation":"(Cao &lt;i&gt;et al.&lt;/i&gt;, 2017)"},"properties":{"noteIndex":0},"schema":"https://github.com/citation-style-language/schema/raw/master/csl-citation.json"}</w:instrText>
      </w:r>
      <w:r w:rsidR="00D62081">
        <w:fldChar w:fldCharType="separate"/>
      </w:r>
      <w:r w:rsidR="00D62081" w:rsidRPr="00D62081">
        <w:rPr>
          <w:noProof/>
        </w:rPr>
        <w:t xml:space="preserve">(Cao </w:t>
      </w:r>
      <w:r w:rsidR="00D62081" w:rsidRPr="00D62081">
        <w:rPr>
          <w:i/>
          <w:noProof/>
        </w:rPr>
        <w:t>et al.</w:t>
      </w:r>
      <w:r w:rsidR="00D62081" w:rsidRPr="00D62081">
        <w:rPr>
          <w:noProof/>
        </w:rPr>
        <w:t>, 2017)</w:t>
      </w:r>
      <w:r w:rsidR="00D62081">
        <w:fldChar w:fldCharType="end"/>
      </w:r>
      <w:r w:rsidR="00D62081">
        <w:t>.</w:t>
      </w:r>
      <w:r w:rsidR="00C04683">
        <w:t xml:space="preserve"> </w:t>
      </w:r>
      <w:r w:rsidR="008A787B">
        <w:t xml:space="preserve">This effect is compensated when parsing the fire pixels. The horizontal location is used to determine if the pixel </w:t>
      </w:r>
      <w:r w:rsidR="00492117">
        <w:t>to determine the pixel size. If the horizontal pixel location is smaller than 960</w:t>
      </w:r>
      <w:r w:rsidR="00492117">
        <w:rPr>
          <w:vertAlign w:val="superscript"/>
        </w:rPr>
        <w:t xml:space="preserve"> </w:t>
      </w:r>
      <w:r w:rsidR="00492117">
        <w:t xml:space="preserve">then the pixel </w:t>
      </w:r>
      <w:r w:rsidR="003F3BF4">
        <w:t xml:space="preserve"> </w:t>
      </w:r>
    </w:p>
    <w:p w14:paraId="34B5DE5F" w14:textId="45E8497C" w:rsidR="005479CD" w:rsidRPr="005479CD" w:rsidRDefault="005479CD" w:rsidP="00FB0D8B">
      <w:pPr>
        <w:rPr>
          <w:i/>
          <w:iCs/>
          <w:u w:val="single"/>
        </w:rPr>
      </w:pPr>
      <w:r>
        <w:rPr>
          <w:i/>
          <w:iCs/>
          <w:u w:val="single"/>
        </w:rPr>
        <w:t>Classification of the fire pixels</w:t>
      </w:r>
    </w:p>
    <w:p w14:paraId="75417487" w14:textId="65FD5C70" w:rsidR="00EC60C2" w:rsidRDefault="009D1CCD" w:rsidP="00FB0D8B">
      <w:r>
        <w:t>After resizing of the fire pixels, the VIIRS fire pixels are going to be classified based on the CLC</w:t>
      </w:r>
      <w:r w:rsidR="007D6BB0">
        <w:t xml:space="preserve"> dataset.</w:t>
      </w:r>
      <w:r>
        <w:t xml:space="preserve"> </w:t>
      </w:r>
      <w:r w:rsidR="00727C64">
        <w:t>The classification of the</w:t>
      </w:r>
      <w:r w:rsidR="00536F11">
        <w:t xml:space="preserve"> fire pixels is following the formula</w:t>
      </w:r>
      <w:r w:rsidR="00727C64">
        <w:t xml:space="preserve"> </w:t>
      </w:r>
    </w:p>
    <w:p w14:paraId="430A8706" w14:textId="7B8870D6" w:rsidR="005F76C0" w:rsidRDefault="005F76C0" w:rsidP="00FB0D8B">
      <w:r>
        <w:t>The classification of the pixels in the Corine Landcover dataset</w:t>
      </w:r>
      <w:r w:rsidR="00206A6C">
        <w:t xml:space="preserve"> </w:t>
      </w:r>
      <w:r w:rsidR="008920EF">
        <w:t xml:space="preserve">(CLC-dataset) </w:t>
      </w:r>
      <w:r w:rsidR="00206A6C">
        <w:fldChar w:fldCharType="begin" w:fldLock="1"/>
      </w:r>
      <w:r w:rsidR="00FC6583">
        <w:instrText>ADDIN CSL_CITATION {"citationItems":[{"id":"ITEM-1","itemData":{"author":[{"dropping-particle":"","family":"Kosztra","given":"Barbara","non-dropping-particle":"","parse-names":false,"suffix":""},{"dropping-particle":"","family":"Büttner","given":"György","non-dropping-particle":"","parse-names":false,"suffix":""},{"dropping-particle":"","family":"Hazeu","given":"Gerard","non-dropping-particle":"","parse-names":false,"suffix":""},{"dropping-particle":"","family":"Arnold","given":"Stephan","non-dropping-particle":"","parse-names":false,"suffix":""}],"container-title":"European Environment Agency","id":"ITEM-1","issue":"3436","issued":{"date-parts":[["2017"]]},"page":"1-124","title":"Updated CLC illustrated nomenclature guidelines","type":"article-journal"},"uris":["http://www.mendeley.com/documents/?uuid=5788e19f-2226-4197-9bac-c91745b43a2a"]}],"mendeley":{"formattedCitation":"(Kosztra &lt;i&gt;et al.&lt;/i&gt;, 2017)","plainTextFormattedCitation":"(Kosztra et al., 2017)","previouslyFormattedCitation":"(Kosztra &lt;i&gt;et al.&lt;/i&gt;, 2017)"},"properties":{"noteIndex":0},"schema":"https://github.com/citation-style-language/schema/raw/master/csl-citation.json"}</w:instrText>
      </w:r>
      <w:r w:rsidR="00206A6C">
        <w:fldChar w:fldCharType="separate"/>
      </w:r>
      <w:r w:rsidR="00206A6C" w:rsidRPr="00206A6C">
        <w:rPr>
          <w:noProof/>
        </w:rPr>
        <w:t xml:space="preserve">(Kosztra </w:t>
      </w:r>
      <w:r w:rsidR="00206A6C" w:rsidRPr="00206A6C">
        <w:rPr>
          <w:i/>
          <w:noProof/>
        </w:rPr>
        <w:t>et al.</w:t>
      </w:r>
      <w:r w:rsidR="00206A6C" w:rsidRPr="00206A6C">
        <w:rPr>
          <w:noProof/>
        </w:rPr>
        <w:t>, 2017)</w:t>
      </w:r>
      <w:r w:rsidR="00206A6C">
        <w:fldChar w:fldCharType="end"/>
      </w:r>
      <w:r w:rsidR="00206A6C">
        <w:t xml:space="preserve"> the head classes </w:t>
      </w:r>
      <w:r w:rsidR="000F70C0">
        <w:t>1</w:t>
      </w:r>
      <w:r w:rsidR="00530C32">
        <w:t>,</w:t>
      </w:r>
      <w:r w:rsidR="000F70C0">
        <w:t xml:space="preserve"> Urban area</w:t>
      </w:r>
      <w:r w:rsidR="00BD7959">
        <w:t xml:space="preserve">, </w:t>
      </w:r>
      <w:r w:rsidR="004F42E3">
        <w:t>2,Agriculture landcover</w:t>
      </w:r>
      <w:r w:rsidR="00206A6C">
        <w:t xml:space="preserve"> </w:t>
      </w:r>
      <w:r w:rsidR="00BD7959">
        <w:t xml:space="preserve">and 5, water bodies </w:t>
      </w:r>
      <w:r w:rsidR="00206A6C">
        <w:t xml:space="preserve">are used </w:t>
      </w:r>
      <w:r w:rsidR="005D6B79">
        <w:t xml:space="preserve">to </w:t>
      </w:r>
      <w:r w:rsidR="00206A6C">
        <w:t>filter</w:t>
      </w:r>
      <w:r w:rsidR="005D6B79">
        <w:t xml:space="preserve"> the fire pixel that have a direct causation by human activity</w:t>
      </w:r>
      <w:r w:rsidR="00FC223E">
        <w:t xml:space="preserve"> </w:t>
      </w:r>
      <w:r w:rsidR="00FC223E">
        <w:rPr>
          <w:b/>
          <w:bCs/>
        </w:rPr>
        <w:t xml:space="preserve">BRON ZOEKEN RELATIE VAN STEDEN. </w:t>
      </w:r>
      <w:r w:rsidR="00FC223E">
        <w:t>The pixels are then classified by land cover type</w:t>
      </w:r>
      <w:r w:rsidR="008920EF">
        <w:t>. Th</w:t>
      </w:r>
      <w:r w:rsidR="002A155B">
        <w:t xml:space="preserve">ese classes </w:t>
      </w:r>
      <w:r w:rsidR="008920EF">
        <w:t xml:space="preserve">are mostly </w:t>
      </w:r>
      <w:r w:rsidR="002A155B">
        <w:t>based o</w:t>
      </w:r>
      <w:r w:rsidR="00C92153">
        <w:t>n</w:t>
      </w:r>
      <w:r w:rsidR="002A155B">
        <w:t xml:space="preserve"> </w:t>
      </w:r>
      <w:r w:rsidR="008920EF">
        <w:t xml:space="preserve">the secondary class type of the </w:t>
      </w:r>
      <w:r w:rsidR="00D93278">
        <w:t>CLC-dataset.</w:t>
      </w:r>
      <w:r w:rsidR="00875967">
        <w:t xml:space="preserve"> </w:t>
      </w:r>
      <w:r w:rsidR="00EF74D5">
        <w:t>The pixel filters the underlying raster data out of the CLC-dataset</w:t>
      </w:r>
      <w:r w:rsidR="005618D2">
        <w:t xml:space="preserve"> and gets the most abundant land cover type in the pixel</w:t>
      </w:r>
      <w:r w:rsidR="00D54925">
        <w:t>. On this information</w:t>
      </w:r>
      <w:r w:rsidR="00BE6FD9">
        <w:t xml:space="preserve">, the fire type is identified and </w:t>
      </w:r>
      <w:r w:rsidR="000E37AD">
        <w:t xml:space="preserve">added to the dataset. </w:t>
      </w:r>
    </w:p>
    <w:p w14:paraId="4C405F49" w14:textId="30F4B4CD" w:rsidR="00D54925" w:rsidRPr="00D54925" w:rsidRDefault="00D54925" w:rsidP="00FB0D8B">
      <w:pPr>
        <w:rPr>
          <w:b/>
          <w:bCs/>
        </w:rPr>
      </w:pPr>
      <w:r>
        <w:rPr>
          <w:b/>
          <w:bCs/>
        </w:rPr>
        <w:t>DEZE ALINEA AL EERDER IN DE METHODE ZETTEN</w:t>
      </w:r>
    </w:p>
    <w:p w14:paraId="121847FE" w14:textId="79E6E12A" w:rsidR="00F20521" w:rsidRDefault="00340C52" w:rsidP="00FB0D8B">
      <w:r>
        <w:t>This will be more convenient for the analysis of the data and the flexibility of the data.</w:t>
      </w:r>
      <w:r w:rsidR="00C76E81">
        <w:t xml:space="preserve"> For the landcover datasets means that the datasets </w:t>
      </w:r>
      <w:r w:rsidR="00094039">
        <w:t xml:space="preserve">are </w:t>
      </w:r>
      <w:r w:rsidR="00C76E81">
        <w:t>cropped to the range of the administrative borders of the Netherlands and for the burned dataset means that th</w:t>
      </w:r>
      <w:r w:rsidR="009B51FC">
        <w:t xml:space="preserve">e points which are in range of the borders are filtered out of the dataset. </w:t>
      </w:r>
    </w:p>
    <w:p w14:paraId="5937E868" w14:textId="5AFDCB51" w:rsidR="003F3B01" w:rsidRPr="003F3B01" w:rsidRDefault="00F20521" w:rsidP="003F3B01">
      <w:pPr>
        <w:widowControl w:val="0"/>
        <w:autoSpaceDE w:val="0"/>
        <w:autoSpaceDN w:val="0"/>
        <w:adjustRightInd w:val="0"/>
        <w:spacing w:line="240" w:lineRule="auto"/>
        <w:rPr>
          <w:rFonts w:ascii="Calibri" w:hAnsi="Calibri" w:cs="Calibri"/>
          <w:noProof/>
          <w:szCs w:val="24"/>
        </w:rPr>
      </w:pPr>
      <w:r>
        <w:br w:type="page"/>
      </w:r>
      <w:r w:rsidR="00A041A8">
        <w:lastRenderedPageBreak/>
        <w:fldChar w:fldCharType="begin" w:fldLock="1"/>
      </w:r>
      <w:r w:rsidR="00A041A8">
        <w:instrText xml:space="preserve">ADDIN Mendeley Bibliography CSL_BIBLIOGRAPHY </w:instrText>
      </w:r>
      <w:r w:rsidR="00A041A8">
        <w:fldChar w:fldCharType="separate"/>
      </w:r>
      <w:r w:rsidR="003F3B01" w:rsidRPr="003F3B01">
        <w:rPr>
          <w:rFonts w:ascii="Calibri" w:hAnsi="Calibri" w:cs="Calibri"/>
          <w:noProof/>
          <w:szCs w:val="24"/>
        </w:rPr>
        <w:t xml:space="preserve">Beck, H. E. </w:t>
      </w:r>
      <w:r w:rsidR="003F3B01" w:rsidRPr="003F3B01">
        <w:rPr>
          <w:rFonts w:ascii="Calibri" w:hAnsi="Calibri" w:cs="Calibri"/>
          <w:i/>
          <w:iCs/>
          <w:noProof/>
          <w:szCs w:val="24"/>
        </w:rPr>
        <w:t>et al.</w:t>
      </w:r>
      <w:r w:rsidR="003F3B01" w:rsidRPr="003F3B01">
        <w:rPr>
          <w:rFonts w:ascii="Calibri" w:hAnsi="Calibri" w:cs="Calibri"/>
          <w:noProof/>
          <w:szCs w:val="24"/>
        </w:rPr>
        <w:t xml:space="preserve"> (2018) ‘Present and future Köppen-Geiger climate classification maps at 1-km resolution’, </w:t>
      </w:r>
      <w:r w:rsidR="003F3B01" w:rsidRPr="003F3B01">
        <w:rPr>
          <w:rFonts w:ascii="Calibri" w:hAnsi="Calibri" w:cs="Calibri"/>
          <w:i/>
          <w:iCs/>
          <w:noProof/>
          <w:szCs w:val="24"/>
        </w:rPr>
        <w:t>Scientific Data</w:t>
      </w:r>
      <w:r w:rsidR="003F3B01" w:rsidRPr="003F3B01">
        <w:rPr>
          <w:rFonts w:ascii="Calibri" w:hAnsi="Calibri" w:cs="Calibri"/>
          <w:noProof/>
          <w:szCs w:val="24"/>
        </w:rPr>
        <w:t>. MACMILLAN BUILDING, 4 CRINAN ST, LONDON N1 9XW, ENGLAND: NATURE PUBLISHING GROUP, 5(1), p. 180214. doi: 10.1038/sdata.2018.214.</w:t>
      </w:r>
    </w:p>
    <w:p w14:paraId="50DBB1A0" w14:textId="77777777" w:rsidR="003F3B01" w:rsidRPr="003F3B01" w:rsidRDefault="003F3B01" w:rsidP="003F3B01">
      <w:pPr>
        <w:widowControl w:val="0"/>
        <w:autoSpaceDE w:val="0"/>
        <w:autoSpaceDN w:val="0"/>
        <w:adjustRightInd w:val="0"/>
        <w:spacing w:line="240" w:lineRule="auto"/>
        <w:rPr>
          <w:rFonts w:ascii="Calibri" w:hAnsi="Calibri" w:cs="Calibri"/>
          <w:noProof/>
          <w:szCs w:val="24"/>
        </w:rPr>
      </w:pPr>
      <w:r w:rsidRPr="003F3B01">
        <w:rPr>
          <w:rFonts w:ascii="Calibri" w:hAnsi="Calibri" w:cs="Calibri"/>
          <w:noProof/>
          <w:szCs w:val="24"/>
        </w:rPr>
        <w:t xml:space="preserve">Beunen, R., Van Assche, K. and Duineveld, M. (2013) ‘Performing failure in conservation policy: The implementation of European Union directives in the Netherlands’, </w:t>
      </w:r>
      <w:r w:rsidRPr="003F3B01">
        <w:rPr>
          <w:rFonts w:ascii="Calibri" w:hAnsi="Calibri" w:cs="Calibri"/>
          <w:i/>
          <w:iCs/>
          <w:noProof/>
          <w:szCs w:val="24"/>
        </w:rPr>
        <w:t>LAND USE POLICY</w:t>
      </w:r>
      <w:r w:rsidRPr="003F3B01">
        <w:rPr>
          <w:rFonts w:ascii="Calibri" w:hAnsi="Calibri" w:cs="Calibri"/>
          <w:noProof/>
          <w:szCs w:val="24"/>
        </w:rPr>
        <w:t>. THE BOULEVARD, LANGFORD LANE, KIDLINGTON, OXFORD OX5 1GB, OXON, ENGLAND: ELSEVIER SCI LTD, 31(SI), pp. 280–288. doi: 10.1016/j.landusepol.2012.07.009.</w:t>
      </w:r>
    </w:p>
    <w:p w14:paraId="173A2AC8" w14:textId="77777777" w:rsidR="003F3B01" w:rsidRPr="003F3B01" w:rsidRDefault="003F3B01" w:rsidP="003F3B01">
      <w:pPr>
        <w:widowControl w:val="0"/>
        <w:autoSpaceDE w:val="0"/>
        <w:autoSpaceDN w:val="0"/>
        <w:adjustRightInd w:val="0"/>
        <w:spacing w:line="240" w:lineRule="auto"/>
        <w:rPr>
          <w:rFonts w:ascii="Calibri" w:hAnsi="Calibri" w:cs="Calibri"/>
          <w:noProof/>
          <w:szCs w:val="24"/>
        </w:rPr>
      </w:pPr>
      <w:r w:rsidRPr="003F3B01">
        <w:rPr>
          <w:rFonts w:ascii="Calibri" w:hAnsi="Calibri" w:cs="Calibri"/>
          <w:noProof/>
          <w:szCs w:val="24"/>
        </w:rPr>
        <w:t xml:space="preserve">Büttner, G. </w:t>
      </w:r>
      <w:r w:rsidRPr="003F3B01">
        <w:rPr>
          <w:rFonts w:ascii="Calibri" w:hAnsi="Calibri" w:cs="Calibri"/>
          <w:i/>
          <w:iCs/>
          <w:noProof/>
          <w:szCs w:val="24"/>
        </w:rPr>
        <w:t>et al.</w:t>
      </w:r>
      <w:r w:rsidRPr="003F3B01">
        <w:rPr>
          <w:rFonts w:ascii="Calibri" w:hAnsi="Calibri" w:cs="Calibri"/>
          <w:noProof/>
          <w:szCs w:val="24"/>
        </w:rPr>
        <w:t xml:space="preserve"> (2017) ‘CLC2018 Technical Guidelines’, (3436), p. 60. Available at: https://land.copernicus.eu/user-corner/technical-library/clc2018technicalguidelines_final.pdf.</w:t>
      </w:r>
    </w:p>
    <w:p w14:paraId="2D880476" w14:textId="77777777" w:rsidR="003F3B01" w:rsidRPr="003F3B01" w:rsidRDefault="003F3B01" w:rsidP="003F3B01">
      <w:pPr>
        <w:widowControl w:val="0"/>
        <w:autoSpaceDE w:val="0"/>
        <w:autoSpaceDN w:val="0"/>
        <w:adjustRightInd w:val="0"/>
        <w:spacing w:line="240" w:lineRule="auto"/>
        <w:rPr>
          <w:rFonts w:ascii="Calibri" w:hAnsi="Calibri" w:cs="Calibri"/>
          <w:noProof/>
          <w:szCs w:val="24"/>
        </w:rPr>
      </w:pPr>
      <w:r w:rsidRPr="003F3B01">
        <w:rPr>
          <w:rFonts w:ascii="Calibri" w:hAnsi="Calibri" w:cs="Calibri"/>
          <w:noProof/>
          <w:szCs w:val="24"/>
        </w:rPr>
        <w:t xml:space="preserve">Cao, C. </w:t>
      </w:r>
      <w:r w:rsidRPr="003F3B01">
        <w:rPr>
          <w:rFonts w:ascii="Calibri" w:hAnsi="Calibri" w:cs="Calibri"/>
          <w:i/>
          <w:iCs/>
          <w:noProof/>
          <w:szCs w:val="24"/>
        </w:rPr>
        <w:t>et al.</w:t>
      </w:r>
      <w:r w:rsidRPr="003F3B01">
        <w:rPr>
          <w:rFonts w:ascii="Calibri" w:hAnsi="Calibri" w:cs="Calibri"/>
          <w:noProof/>
          <w:szCs w:val="24"/>
        </w:rPr>
        <w:t xml:space="preserve"> (2017) ‘NOAA Technical Report NESDIS 142 Visible Infrared Imaging Radiometer Suite (VIIRS) Sensor Data Record (SDR) User’s Guide Version 1.3’, </w:t>
      </w:r>
      <w:r w:rsidRPr="003F3B01">
        <w:rPr>
          <w:rFonts w:ascii="Calibri" w:hAnsi="Calibri" w:cs="Calibri"/>
          <w:i/>
          <w:iCs/>
          <w:noProof/>
          <w:szCs w:val="24"/>
        </w:rPr>
        <w:t>NOAA Technical Report NESDIS 142</w:t>
      </w:r>
      <w:r w:rsidRPr="003F3B01">
        <w:rPr>
          <w:rFonts w:ascii="Calibri" w:hAnsi="Calibri" w:cs="Calibri"/>
          <w:noProof/>
          <w:szCs w:val="24"/>
        </w:rPr>
        <w:t>, (March). Available at: https://ncc.nesdis.noaa.gov/documents/documentation/viirs-users-guide-tech-report-142a-v1.3.pdf.</w:t>
      </w:r>
    </w:p>
    <w:p w14:paraId="561FF97C" w14:textId="77777777" w:rsidR="003F3B01" w:rsidRPr="003F3B01" w:rsidRDefault="003F3B01" w:rsidP="003F3B01">
      <w:pPr>
        <w:widowControl w:val="0"/>
        <w:autoSpaceDE w:val="0"/>
        <w:autoSpaceDN w:val="0"/>
        <w:adjustRightInd w:val="0"/>
        <w:spacing w:line="240" w:lineRule="auto"/>
        <w:rPr>
          <w:rFonts w:ascii="Calibri" w:hAnsi="Calibri" w:cs="Calibri"/>
          <w:noProof/>
          <w:szCs w:val="24"/>
        </w:rPr>
      </w:pPr>
      <w:r w:rsidRPr="003F3B01">
        <w:rPr>
          <w:rFonts w:ascii="Calibri" w:hAnsi="Calibri" w:cs="Calibri"/>
          <w:noProof/>
          <w:szCs w:val="24"/>
        </w:rPr>
        <w:t xml:space="preserve">CBS (2016) </w:t>
      </w:r>
      <w:r w:rsidRPr="003F3B01">
        <w:rPr>
          <w:rFonts w:ascii="Calibri" w:hAnsi="Calibri" w:cs="Calibri"/>
          <w:i/>
          <w:iCs/>
          <w:noProof/>
          <w:szCs w:val="24"/>
        </w:rPr>
        <w:t>Transport and mobility 2016</w:t>
      </w:r>
      <w:r w:rsidRPr="003F3B01">
        <w:rPr>
          <w:rFonts w:ascii="Calibri" w:hAnsi="Calibri" w:cs="Calibri"/>
          <w:noProof/>
          <w:szCs w:val="24"/>
        </w:rPr>
        <w:t xml:space="preserve">, </w:t>
      </w:r>
      <w:r w:rsidRPr="003F3B01">
        <w:rPr>
          <w:rFonts w:ascii="Calibri" w:hAnsi="Calibri" w:cs="Calibri"/>
          <w:i/>
          <w:iCs/>
          <w:noProof/>
          <w:szCs w:val="24"/>
        </w:rPr>
        <w:t>Statistics Netherlands</w:t>
      </w:r>
      <w:r w:rsidRPr="003F3B01">
        <w:rPr>
          <w:rFonts w:ascii="Calibri" w:hAnsi="Calibri" w:cs="Calibri"/>
          <w:noProof/>
          <w:szCs w:val="24"/>
        </w:rPr>
        <w:t>. Available at: https://www.cbs.nl/-/media/_pdf/2016/38/2016-transport-and-mobility.pdf.</w:t>
      </w:r>
    </w:p>
    <w:p w14:paraId="23B2E2FD" w14:textId="77777777" w:rsidR="003F3B01" w:rsidRPr="003F3B01" w:rsidRDefault="003F3B01" w:rsidP="003F3B01">
      <w:pPr>
        <w:widowControl w:val="0"/>
        <w:autoSpaceDE w:val="0"/>
        <w:autoSpaceDN w:val="0"/>
        <w:adjustRightInd w:val="0"/>
        <w:spacing w:line="240" w:lineRule="auto"/>
        <w:rPr>
          <w:rFonts w:ascii="Calibri" w:hAnsi="Calibri" w:cs="Calibri"/>
          <w:noProof/>
          <w:szCs w:val="24"/>
        </w:rPr>
      </w:pPr>
      <w:r w:rsidRPr="003F3B01">
        <w:rPr>
          <w:rFonts w:ascii="Calibri" w:hAnsi="Calibri" w:cs="Calibri"/>
          <w:noProof/>
          <w:szCs w:val="24"/>
        </w:rPr>
        <w:t xml:space="preserve">CBS (2019) </w:t>
      </w:r>
      <w:r w:rsidRPr="003F3B01">
        <w:rPr>
          <w:rFonts w:ascii="Calibri" w:hAnsi="Calibri" w:cs="Calibri"/>
          <w:i/>
          <w:iCs/>
          <w:noProof/>
          <w:szCs w:val="24"/>
        </w:rPr>
        <w:t>Statline</w:t>
      </w:r>
      <w:r w:rsidRPr="003F3B01">
        <w:rPr>
          <w:rFonts w:ascii="Calibri" w:hAnsi="Calibri" w:cs="Calibri"/>
          <w:noProof/>
          <w:szCs w:val="24"/>
        </w:rPr>
        <w:t>. Available at: https://opendata.cbs.nl/statline/#/CBS/nl/dataset/37296ned/table?ts=1600865782793 (Accessed: 23 September 2020).</w:t>
      </w:r>
    </w:p>
    <w:p w14:paraId="20BACEB1" w14:textId="77777777" w:rsidR="003F3B01" w:rsidRPr="003F3B01" w:rsidRDefault="003F3B01" w:rsidP="003F3B01">
      <w:pPr>
        <w:widowControl w:val="0"/>
        <w:autoSpaceDE w:val="0"/>
        <w:autoSpaceDN w:val="0"/>
        <w:adjustRightInd w:val="0"/>
        <w:spacing w:line="240" w:lineRule="auto"/>
        <w:rPr>
          <w:rFonts w:ascii="Calibri" w:hAnsi="Calibri" w:cs="Calibri"/>
          <w:noProof/>
          <w:szCs w:val="24"/>
        </w:rPr>
      </w:pPr>
      <w:r w:rsidRPr="003F3B01">
        <w:rPr>
          <w:rFonts w:ascii="Calibri" w:hAnsi="Calibri" w:cs="Calibri"/>
          <w:noProof/>
          <w:szCs w:val="24"/>
        </w:rPr>
        <w:t xml:space="preserve">Ganteaume, A. </w:t>
      </w:r>
      <w:r w:rsidRPr="003F3B01">
        <w:rPr>
          <w:rFonts w:ascii="Calibri" w:hAnsi="Calibri" w:cs="Calibri"/>
          <w:i/>
          <w:iCs/>
          <w:noProof/>
          <w:szCs w:val="24"/>
        </w:rPr>
        <w:t>et al.</w:t>
      </w:r>
      <w:r w:rsidRPr="003F3B01">
        <w:rPr>
          <w:rFonts w:ascii="Calibri" w:hAnsi="Calibri" w:cs="Calibri"/>
          <w:noProof/>
          <w:szCs w:val="24"/>
        </w:rPr>
        <w:t xml:space="preserve"> (2013) ‘A Review of the Main Driving Factors of Forest Fire Ignition Over Europe’, </w:t>
      </w:r>
      <w:r w:rsidRPr="003F3B01">
        <w:rPr>
          <w:rFonts w:ascii="Calibri" w:hAnsi="Calibri" w:cs="Calibri"/>
          <w:i/>
          <w:iCs/>
          <w:noProof/>
          <w:szCs w:val="24"/>
        </w:rPr>
        <w:t>ENVIRONMENTAL MANAGEMENT</w:t>
      </w:r>
      <w:r w:rsidRPr="003F3B01">
        <w:rPr>
          <w:rFonts w:ascii="Calibri" w:hAnsi="Calibri" w:cs="Calibri"/>
          <w:noProof/>
          <w:szCs w:val="24"/>
        </w:rPr>
        <w:t>. ONE NEW YORK PLAZA, SUITE 4600, NEW YORK, NY, UNITED STATES: SPRINGER, 51(3), pp. 651–662. doi: 10.1007/s00267-012-9961-z.</w:t>
      </w:r>
    </w:p>
    <w:p w14:paraId="39981A6B" w14:textId="77777777" w:rsidR="003F3B01" w:rsidRPr="003F3B01" w:rsidRDefault="003F3B01" w:rsidP="003F3B01">
      <w:pPr>
        <w:widowControl w:val="0"/>
        <w:autoSpaceDE w:val="0"/>
        <w:autoSpaceDN w:val="0"/>
        <w:adjustRightInd w:val="0"/>
        <w:spacing w:line="240" w:lineRule="auto"/>
        <w:rPr>
          <w:rFonts w:ascii="Calibri" w:hAnsi="Calibri" w:cs="Calibri"/>
          <w:noProof/>
          <w:szCs w:val="24"/>
        </w:rPr>
      </w:pPr>
      <w:r w:rsidRPr="003F3B01">
        <w:rPr>
          <w:rFonts w:ascii="Calibri" w:hAnsi="Calibri" w:cs="Calibri"/>
          <w:noProof/>
          <w:szCs w:val="24"/>
        </w:rPr>
        <w:t xml:space="preserve">Janssen-Jansen, L. (2016) ‘Taking national planning seriously: A challenged planning agenda in the Netherlands’, </w:t>
      </w:r>
      <w:r w:rsidRPr="003F3B01">
        <w:rPr>
          <w:rFonts w:ascii="Calibri" w:hAnsi="Calibri" w:cs="Calibri"/>
          <w:i/>
          <w:iCs/>
          <w:noProof/>
          <w:szCs w:val="24"/>
        </w:rPr>
        <w:t>Administration</w:t>
      </w:r>
      <w:r w:rsidRPr="003F3B01">
        <w:rPr>
          <w:rFonts w:ascii="Calibri" w:hAnsi="Calibri" w:cs="Calibri"/>
          <w:noProof/>
          <w:szCs w:val="24"/>
        </w:rPr>
        <w:t>, 64(3–4), pp. 23–43. doi: 10.1515/admin-2016-0023.</w:t>
      </w:r>
    </w:p>
    <w:p w14:paraId="1B3A449A" w14:textId="77777777" w:rsidR="003F3B01" w:rsidRPr="003F3B01" w:rsidRDefault="003F3B01" w:rsidP="003F3B01">
      <w:pPr>
        <w:widowControl w:val="0"/>
        <w:autoSpaceDE w:val="0"/>
        <w:autoSpaceDN w:val="0"/>
        <w:adjustRightInd w:val="0"/>
        <w:spacing w:line="240" w:lineRule="auto"/>
        <w:rPr>
          <w:rFonts w:ascii="Calibri" w:hAnsi="Calibri" w:cs="Calibri"/>
          <w:noProof/>
          <w:szCs w:val="24"/>
        </w:rPr>
      </w:pPr>
      <w:r w:rsidRPr="003F3B01">
        <w:rPr>
          <w:rFonts w:ascii="Calibri" w:hAnsi="Calibri" w:cs="Calibri"/>
          <w:noProof/>
          <w:szCs w:val="24"/>
        </w:rPr>
        <w:t xml:space="preserve">KNMI (2014) ‘KNMI’14: Climate Change scenarios for the 21st Century – A Netherlands perspective; by Bart van den Hurk, Peter Siegmund, Albert Klein Tank (Eds), Jisk Attema, Alexander Bakker, Jules Beersma, Janette Bessembinder, Reinout Boers, Theo Brandsma, Henk van d’, </w:t>
      </w:r>
      <w:r w:rsidRPr="003F3B01">
        <w:rPr>
          <w:rFonts w:ascii="Calibri" w:hAnsi="Calibri" w:cs="Calibri"/>
          <w:i/>
          <w:iCs/>
          <w:noProof/>
          <w:szCs w:val="24"/>
        </w:rPr>
        <w:t>Scientific Report WR2014-01, KNMI, De Bilt, The Netherlands</w:t>
      </w:r>
      <w:r w:rsidRPr="003F3B01">
        <w:rPr>
          <w:rFonts w:ascii="Calibri" w:hAnsi="Calibri" w:cs="Calibri"/>
          <w:noProof/>
          <w:szCs w:val="24"/>
        </w:rPr>
        <w:t>. Available at: http://www.climatescenarios.nl/.</w:t>
      </w:r>
    </w:p>
    <w:p w14:paraId="25669799" w14:textId="77777777" w:rsidR="003F3B01" w:rsidRPr="003F3B01" w:rsidRDefault="003F3B01" w:rsidP="003F3B01">
      <w:pPr>
        <w:widowControl w:val="0"/>
        <w:autoSpaceDE w:val="0"/>
        <w:autoSpaceDN w:val="0"/>
        <w:adjustRightInd w:val="0"/>
        <w:spacing w:line="240" w:lineRule="auto"/>
        <w:rPr>
          <w:rFonts w:ascii="Calibri" w:hAnsi="Calibri" w:cs="Calibri"/>
          <w:noProof/>
          <w:szCs w:val="24"/>
        </w:rPr>
      </w:pPr>
      <w:r w:rsidRPr="003F3B01">
        <w:rPr>
          <w:rFonts w:ascii="Calibri" w:hAnsi="Calibri" w:cs="Calibri"/>
          <w:noProof/>
          <w:szCs w:val="24"/>
        </w:rPr>
        <w:t xml:space="preserve">Kosztra, B. </w:t>
      </w:r>
      <w:r w:rsidRPr="003F3B01">
        <w:rPr>
          <w:rFonts w:ascii="Calibri" w:hAnsi="Calibri" w:cs="Calibri"/>
          <w:i/>
          <w:iCs/>
          <w:noProof/>
          <w:szCs w:val="24"/>
        </w:rPr>
        <w:t>et al.</w:t>
      </w:r>
      <w:r w:rsidRPr="003F3B01">
        <w:rPr>
          <w:rFonts w:ascii="Calibri" w:hAnsi="Calibri" w:cs="Calibri"/>
          <w:noProof/>
          <w:szCs w:val="24"/>
        </w:rPr>
        <w:t xml:space="preserve"> (2017) ‘Updated CLC illustrated nomenclature guidelines’, </w:t>
      </w:r>
      <w:r w:rsidRPr="003F3B01">
        <w:rPr>
          <w:rFonts w:ascii="Calibri" w:hAnsi="Calibri" w:cs="Calibri"/>
          <w:i/>
          <w:iCs/>
          <w:noProof/>
          <w:szCs w:val="24"/>
        </w:rPr>
        <w:t>European Environment Agency</w:t>
      </w:r>
      <w:r w:rsidRPr="003F3B01">
        <w:rPr>
          <w:rFonts w:ascii="Calibri" w:hAnsi="Calibri" w:cs="Calibri"/>
          <w:noProof/>
          <w:szCs w:val="24"/>
        </w:rPr>
        <w:t>, (3436), pp. 1–124. Available at: https://land.copernicus.eu/user-corner/technical-library/corine-land-cover-nomenclature-guidelines/docs/pdf/CLC2018_Nomenclature_illustrated_guide_20190510.pdf.</w:t>
      </w:r>
    </w:p>
    <w:p w14:paraId="6BD27F47" w14:textId="77777777" w:rsidR="003F3B01" w:rsidRPr="003F3B01" w:rsidRDefault="003F3B01" w:rsidP="003F3B01">
      <w:pPr>
        <w:widowControl w:val="0"/>
        <w:autoSpaceDE w:val="0"/>
        <w:autoSpaceDN w:val="0"/>
        <w:adjustRightInd w:val="0"/>
        <w:spacing w:line="240" w:lineRule="auto"/>
        <w:rPr>
          <w:rFonts w:ascii="Calibri" w:hAnsi="Calibri" w:cs="Calibri"/>
          <w:noProof/>
          <w:szCs w:val="24"/>
        </w:rPr>
      </w:pPr>
      <w:r w:rsidRPr="003F3B01">
        <w:rPr>
          <w:rFonts w:ascii="Calibri" w:hAnsi="Calibri" w:cs="Calibri"/>
          <w:noProof/>
          <w:szCs w:val="24"/>
        </w:rPr>
        <w:t>LNV (2006) ‘Natura 2000 doelendocument. duidelijkheid bieden, richting geven en ruimte laten’. Available at: https://www.natura2000.nl/sites/default/files/Bibliotheek/Doelen/Natura 2000 doelendocument %28LNV%2C 2006%29.pdf.</w:t>
      </w:r>
    </w:p>
    <w:p w14:paraId="0569B790" w14:textId="77777777" w:rsidR="003F3B01" w:rsidRPr="003F3B01" w:rsidRDefault="003F3B01" w:rsidP="003F3B01">
      <w:pPr>
        <w:widowControl w:val="0"/>
        <w:autoSpaceDE w:val="0"/>
        <w:autoSpaceDN w:val="0"/>
        <w:adjustRightInd w:val="0"/>
        <w:spacing w:line="240" w:lineRule="auto"/>
        <w:rPr>
          <w:rFonts w:ascii="Calibri" w:hAnsi="Calibri" w:cs="Calibri"/>
          <w:noProof/>
          <w:szCs w:val="24"/>
        </w:rPr>
      </w:pPr>
      <w:r w:rsidRPr="003F3B01">
        <w:rPr>
          <w:rFonts w:ascii="Calibri" w:hAnsi="Calibri" w:cs="Calibri"/>
          <w:noProof/>
          <w:szCs w:val="24"/>
        </w:rPr>
        <w:t xml:space="preserve">Lung, T. </w:t>
      </w:r>
      <w:r w:rsidRPr="003F3B01">
        <w:rPr>
          <w:rFonts w:ascii="Calibri" w:hAnsi="Calibri" w:cs="Calibri"/>
          <w:i/>
          <w:iCs/>
          <w:noProof/>
          <w:szCs w:val="24"/>
        </w:rPr>
        <w:t>et al.</w:t>
      </w:r>
      <w:r w:rsidRPr="003F3B01">
        <w:rPr>
          <w:rFonts w:ascii="Calibri" w:hAnsi="Calibri" w:cs="Calibri"/>
          <w:noProof/>
          <w:szCs w:val="24"/>
        </w:rPr>
        <w:t xml:space="preserve"> (2013) ‘A multi-hazard regional level impact assessment for Europe combining indicators of climatic and non-climatic change’, </w:t>
      </w:r>
      <w:r w:rsidRPr="003F3B01">
        <w:rPr>
          <w:rFonts w:ascii="Calibri" w:hAnsi="Calibri" w:cs="Calibri"/>
          <w:i/>
          <w:iCs/>
          <w:noProof/>
          <w:szCs w:val="24"/>
        </w:rPr>
        <w:t>Global Environmental Change</w:t>
      </w:r>
      <w:r w:rsidRPr="003F3B01">
        <w:rPr>
          <w:rFonts w:ascii="Calibri" w:hAnsi="Calibri" w:cs="Calibri"/>
          <w:noProof/>
          <w:szCs w:val="24"/>
        </w:rPr>
        <w:t>, 23(2), pp. 522–536. doi: https://doi.org/10.1016/j.gloenvcha.2012.11.009.</w:t>
      </w:r>
    </w:p>
    <w:p w14:paraId="43B3D106" w14:textId="77777777" w:rsidR="003F3B01" w:rsidRPr="003F3B01" w:rsidRDefault="003F3B01" w:rsidP="003F3B01">
      <w:pPr>
        <w:widowControl w:val="0"/>
        <w:autoSpaceDE w:val="0"/>
        <w:autoSpaceDN w:val="0"/>
        <w:adjustRightInd w:val="0"/>
        <w:spacing w:line="240" w:lineRule="auto"/>
        <w:rPr>
          <w:rFonts w:ascii="Calibri" w:hAnsi="Calibri" w:cs="Calibri"/>
          <w:noProof/>
          <w:szCs w:val="24"/>
        </w:rPr>
      </w:pPr>
      <w:r w:rsidRPr="003F3B01">
        <w:rPr>
          <w:rFonts w:ascii="Calibri" w:hAnsi="Calibri" w:cs="Calibri"/>
          <w:noProof/>
          <w:szCs w:val="24"/>
        </w:rPr>
        <w:t xml:space="preserve">De Mulder, E. F. J. (2019) ‘Landscapes’, in </w:t>
      </w:r>
      <w:r w:rsidRPr="003F3B01">
        <w:rPr>
          <w:rFonts w:ascii="Calibri" w:hAnsi="Calibri" w:cs="Calibri"/>
          <w:i/>
          <w:iCs/>
          <w:noProof/>
          <w:szCs w:val="24"/>
        </w:rPr>
        <w:t>The Netherlands and the Dutch: A Physical and Human Geography</w:t>
      </w:r>
      <w:r w:rsidRPr="003F3B01">
        <w:rPr>
          <w:rFonts w:ascii="Calibri" w:hAnsi="Calibri" w:cs="Calibri"/>
          <w:noProof/>
          <w:szCs w:val="24"/>
        </w:rPr>
        <w:t>. Cham: Springer International Publishing, pp. 35–58. doi: 10.1007/978-3-319-75073-6_3.</w:t>
      </w:r>
    </w:p>
    <w:p w14:paraId="6466B87B" w14:textId="77777777" w:rsidR="003F3B01" w:rsidRPr="003F3B01" w:rsidRDefault="003F3B01" w:rsidP="003F3B01">
      <w:pPr>
        <w:widowControl w:val="0"/>
        <w:autoSpaceDE w:val="0"/>
        <w:autoSpaceDN w:val="0"/>
        <w:adjustRightInd w:val="0"/>
        <w:spacing w:line="240" w:lineRule="auto"/>
        <w:rPr>
          <w:rFonts w:ascii="Calibri" w:hAnsi="Calibri" w:cs="Calibri"/>
          <w:noProof/>
          <w:szCs w:val="24"/>
        </w:rPr>
      </w:pPr>
      <w:r w:rsidRPr="003F3B01">
        <w:rPr>
          <w:rFonts w:ascii="Calibri" w:hAnsi="Calibri" w:cs="Calibri"/>
          <w:noProof/>
          <w:szCs w:val="24"/>
        </w:rPr>
        <w:t xml:space="preserve">Oliveira, S. </w:t>
      </w:r>
      <w:r w:rsidRPr="003F3B01">
        <w:rPr>
          <w:rFonts w:ascii="Calibri" w:hAnsi="Calibri" w:cs="Calibri"/>
          <w:i/>
          <w:iCs/>
          <w:noProof/>
          <w:szCs w:val="24"/>
        </w:rPr>
        <w:t>et al.</w:t>
      </w:r>
      <w:r w:rsidRPr="003F3B01">
        <w:rPr>
          <w:rFonts w:ascii="Calibri" w:hAnsi="Calibri" w:cs="Calibri"/>
          <w:noProof/>
          <w:szCs w:val="24"/>
        </w:rPr>
        <w:t xml:space="preserve"> (2012) ‘Modeling spatial patterns of fire occurrence in Mediterranean Europe using Multiple Regression and Random Forest’, </w:t>
      </w:r>
      <w:r w:rsidRPr="003F3B01">
        <w:rPr>
          <w:rFonts w:ascii="Calibri" w:hAnsi="Calibri" w:cs="Calibri"/>
          <w:i/>
          <w:iCs/>
          <w:noProof/>
          <w:szCs w:val="24"/>
        </w:rPr>
        <w:t>Forest Ecology and Management</w:t>
      </w:r>
      <w:r w:rsidRPr="003F3B01">
        <w:rPr>
          <w:rFonts w:ascii="Calibri" w:hAnsi="Calibri" w:cs="Calibri"/>
          <w:noProof/>
          <w:szCs w:val="24"/>
        </w:rPr>
        <w:t>, 275, pp. 117–129. doi: https://doi.org/10.1016/j.foreco.2012.03.003.</w:t>
      </w:r>
    </w:p>
    <w:p w14:paraId="53C036B3" w14:textId="77777777" w:rsidR="003F3B01" w:rsidRPr="003F3B01" w:rsidRDefault="003F3B01" w:rsidP="003F3B01">
      <w:pPr>
        <w:widowControl w:val="0"/>
        <w:autoSpaceDE w:val="0"/>
        <w:autoSpaceDN w:val="0"/>
        <w:adjustRightInd w:val="0"/>
        <w:spacing w:line="240" w:lineRule="auto"/>
        <w:rPr>
          <w:rFonts w:ascii="Calibri" w:hAnsi="Calibri" w:cs="Calibri"/>
          <w:noProof/>
          <w:szCs w:val="24"/>
        </w:rPr>
      </w:pPr>
      <w:r w:rsidRPr="003F3B01">
        <w:rPr>
          <w:rFonts w:ascii="Calibri" w:hAnsi="Calibri" w:cs="Calibri"/>
          <w:noProof/>
          <w:szCs w:val="24"/>
        </w:rPr>
        <w:t xml:space="preserve">PDOK Beheer (2020) </w:t>
      </w:r>
      <w:r w:rsidRPr="003F3B01">
        <w:rPr>
          <w:rFonts w:ascii="Calibri" w:hAnsi="Calibri" w:cs="Calibri"/>
          <w:i/>
          <w:iCs/>
          <w:noProof/>
          <w:szCs w:val="24"/>
        </w:rPr>
        <w:t>Dataset: Administratieve Eenheden (INSPIRE geharmoniseerd)</w:t>
      </w:r>
      <w:r w:rsidRPr="003F3B01">
        <w:rPr>
          <w:rFonts w:ascii="Calibri" w:hAnsi="Calibri" w:cs="Calibri"/>
          <w:noProof/>
          <w:szCs w:val="24"/>
        </w:rPr>
        <w:t xml:space="preserve">. Available at: </w:t>
      </w:r>
      <w:r w:rsidRPr="003F3B01">
        <w:rPr>
          <w:rFonts w:ascii="Calibri" w:hAnsi="Calibri" w:cs="Calibri"/>
          <w:noProof/>
          <w:szCs w:val="24"/>
        </w:rPr>
        <w:lastRenderedPageBreak/>
        <w:t>https://www.pdok.nl/geo-services/-/article/administratieve-eenheden-inspire-geharmoniseerd- (Accessed: 1 May 2020).</w:t>
      </w:r>
    </w:p>
    <w:p w14:paraId="0FFF6013" w14:textId="77777777" w:rsidR="003F3B01" w:rsidRPr="003F3B01" w:rsidRDefault="003F3B01" w:rsidP="003F3B01">
      <w:pPr>
        <w:widowControl w:val="0"/>
        <w:autoSpaceDE w:val="0"/>
        <w:autoSpaceDN w:val="0"/>
        <w:adjustRightInd w:val="0"/>
        <w:spacing w:line="240" w:lineRule="auto"/>
        <w:rPr>
          <w:rFonts w:ascii="Calibri" w:hAnsi="Calibri" w:cs="Calibri"/>
          <w:noProof/>
        </w:rPr>
      </w:pPr>
      <w:r w:rsidRPr="003F3B01">
        <w:rPr>
          <w:rFonts w:ascii="Calibri" w:hAnsi="Calibri" w:cs="Calibri"/>
          <w:noProof/>
          <w:szCs w:val="24"/>
        </w:rPr>
        <w:t xml:space="preserve">Schroeder, W. </w:t>
      </w:r>
      <w:r w:rsidRPr="003F3B01">
        <w:rPr>
          <w:rFonts w:ascii="Calibri" w:hAnsi="Calibri" w:cs="Calibri"/>
          <w:i/>
          <w:iCs/>
          <w:noProof/>
          <w:szCs w:val="24"/>
        </w:rPr>
        <w:t>et al.</w:t>
      </w:r>
      <w:r w:rsidRPr="003F3B01">
        <w:rPr>
          <w:rFonts w:ascii="Calibri" w:hAnsi="Calibri" w:cs="Calibri"/>
          <w:noProof/>
          <w:szCs w:val="24"/>
        </w:rPr>
        <w:t xml:space="preserve"> (2014) ‘The New VIIRS 375m active fire detection data product: Algorithm description and initial assessment’, </w:t>
      </w:r>
      <w:r w:rsidRPr="003F3B01">
        <w:rPr>
          <w:rFonts w:ascii="Calibri" w:hAnsi="Calibri" w:cs="Calibri"/>
          <w:i/>
          <w:iCs/>
          <w:noProof/>
          <w:szCs w:val="24"/>
        </w:rPr>
        <w:t>Remote Sensing of Environment</w:t>
      </w:r>
      <w:r w:rsidRPr="003F3B01">
        <w:rPr>
          <w:rFonts w:ascii="Calibri" w:hAnsi="Calibri" w:cs="Calibri"/>
          <w:noProof/>
          <w:szCs w:val="24"/>
        </w:rPr>
        <w:t>. 360 PARK AVE SOUTH, NEW YORK, NY 10010-1710 USA: ELSEVIER SCIENCE INC, 143, pp. 85–96. doi: 10.1016/j.rse.2013.12.008.</w:t>
      </w:r>
    </w:p>
    <w:p w14:paraId="2596D668" w14:textId="05ADA172" w:rsidR="00F20521" w:rsidRDefault="00A041A8" w:rsidP="00825CDF">
      <w:pPr>
        <w:widowControl w:val="0"/>
        <w:autoSpaceDE w:val="0"/>
        <w:autoSpaceDN w:val="0"/>
        <w:adjustRightInd w:val="0"/>
        <w:spacing w:line="240" w:lineRule="auto"/>
      </w:pPr>
      <w:r>
        <w:fldChar w:fldCharType="end"/>
      </w:r>
      <w:r>
        <w:t xml:space="preserve"> </w:t>
      </w:r>
    </w:p>
    <w:sectPr w:rsidR="00F20521" w:rsidSect="00324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33B27"/>
    <w:multiLevelType w:val="multilevel"/>
    <w:tmpl w:val="00CAA6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6A"/>
    <w:rsid w:val="00010D4D"/>
    <w:rsid w:val="00011F44"/>
    <w:rsid w:val="00046723"/>
    <w:rsid w:val="0005754F"/>
    <w:rsid w:val="00065D4D"/>
    <w:rsid w:val="0007587F"/>
    <w:rsid w:val="00094039"/>
    <w:rsid w:val="000A1DDB"/>
    <w:rsid w:val="000B54E8"/>
    <w:rsid w:val="000B649A"/>
    <w:rsid w:val="000C0C23"/>
    <w:rsid w:val="000C4A0F"/>
    <w:rsid w:val="000C6132"/>
    <w:rsid w:val="000D7176"/>
    <w:rsid w:val="000E1666"/>
    <w:rsid w:val="000E37AD"/>
    <w:rsid w:val="000F6FCC"/>
    <w:rsid w:val="000F70C0"/>
    <w:rsid w:val="000F7794"/>
    <w:rsid w:val="001072E8"/>
    <w:rsid w:val="00123ACF"/>
    <w:rsid w:val="0012764B"/>
    <w:rsid w:val="00136EFC"/>
    <w:rsid w:val="00140B70"/>
    <w:rsid w:val="00154939"/>
    <w:rsid w:val="0015645B"/>
    <w:rsid w:val="0016011A"/>
    <w:rsid w:val="001652C9"/>
    <w:rsid w:val="00171C62"/>
    <w:rsid w:val="001737A5"/>
    <w:rsid w:val="001818D6"/>
    <w:rsid w:val="00182CD1"/>
    <w:rsid w:val="001A2D64"/>
    <w:rsid w:val="001A337C"/>
    <w:rsid w:val="001B65BE"/>
    <w:rsid w:val="001D1138"/>
    <w:rsid w:val="001D4E27"/>
    <w:rsid w:val="001E3D81"/>
    <w:rsid w:val="001E4075"/>
    <w:rsid w:val="001E4438"/>
    <w:rsid w:val="001E6979"/>
    <w:rsid w:val="0020189F"/>
    <w:rsid w:val="00204152"/>
    <w:rsid w:val="00204D46"/>
    <w:rsid w:val="00206A6C"/>
    <w:rsid w:val="002260E6"/>
    <w:rsid w:val="0023631E"/>
    <w:rsid w:val="002540B7"/>
    <w:rsid w:val="00255782"/>
    <w:rsid w:val="002626AA"/>
    <w:rsid w:val="00281341"/>
    <w:rsid w:val="002913E6"/>
    <w:rsid w:val="002954F8"/>
    <w:rsid w:val="002A0E95"/>
    <w:rsid w:val="002A155B"/>
    <w:rsid w:val="002C2478"/>
    <w:rsid w:val="002C28A8"/>
    <w:rsid w:val="002C34E9"/>
    <w:rsid w:val="002D4EE5"/>
    <w:rsid w:val="002E0878"/>
    <w:rsid w:val="002E5353"/>
    <w:rsid w:val="00324C8C"/>
    <w:rsid w:val="003252A2"/>
    <w:rsid w:val="00340C52"/>
    <w:rsid w:val="00340F88"/>
    <w:rsid w:val="00344C85"/>
    <w:rsid w:val="00346482"/>
    <w:rsid w:val="00393C64"/>
    <w:rsid w:val="003B0EB4"/>
    <w:rsid w:val="003B374A"/>
    <w:rsid w:val="003D4954"/>
    <w:rsid w:val="003F1A81"/>
    <w:rsid w:val="003F3B01"/>
    <w:rsid w:val="003F3BF4"/>
    <w:rsid w:val="00442290"/>
    <w:rsid w:val="00451DA2"/>
    <w:rsid w:val="00452406"/>
    <w:rsid w:val="00462F2D"/>
    <w:rsid w:val="0046469E"/>
    <w:rsid w:val="00470CD2"/>
    <w:rsid w:val="004738ED"/>
    <w:rsid w:val="004762DB"/>
    <w:rsid w:val="0047681A"/>
    <w:rsid w:val="00481D5B"/>
    <w:rsid w:val="00482C62"/>
    <w:rsid w:val="00492117"/>
    <w:rsid w:val="004E1E5C"/>
    <w:rsid w:val="004E546F"/>
    <w:rsid w:val="004E5C29"/>
    <w:rsid w:val="004F42E3"/>
    <w:rsid w:val="005033B5"/>
    <w:rsid w:val="00507E4D"/>
    <w:rsid w:val="00525195"/>
    <w:rsid w:val="00526F13"/>
    <w:rsid w:val="00530C32"/>
    <w:rsid w:val="00533F03"/>
    <w:rsid w:val="00536F11"/>
    <w:rsid w:val="00541247"/>
    <w:rsid w:val="005479CD"/>
    <w:rsid w:val="005551D7"/>
    <w:rsid w:val="005565D4"/>
    <w:rsid w:val="00556AF6"/>
    <w:rsid w:val="005618D2"/>
    <w:rsid w:val="005811F2"/>
    <w:rsid w:val="005C591D"/>
    <w:rsid w:val="005C5D2E"/>
    <w:rsid w:val="005D6B79"/>
    <w:rsid w:val="005E6680"/>
    <w:rsid w:val="005E7D1D"/>
    <w:rsid w:val="005F76C0"/>
    <w:rsid w:val="00601AC1"/>
    <w:rsid w:val="00610CB5"/>
    <w:rsid w:val="006139CD"/>
    <w:rsid w:val="00615B52"/>
    <w:rsid w:val="006431BB"/>
    <w:rsid w:val="00660C65"/>
    <w:rsid w:val="006625D9"/>
    <w:rsid w:val="006648BC"/>
    <w:rsid w:val="00664DA7"/>
    <w:rsid w:val="00672A22"/>
    <w:rsid w:val="00674118"/>
    <w:rsid w:val="00676782"/>
    <w:rsid w:val="00676D2A"/>
    <w:rsid w:val="006908B2"/>
    <w:rsid w:val="006A1C74"/>
    <w:rsid w:val="006A2317"/>
    <w:rsid w:val="006A64B5"/>
    <w:rsid w:val="006C672A"/>
    <w:rsid w:val="006D397A"/>
    <w:rsid w:val="006D77FC"/>
    <w:rsid w:val="006E4E52"/>
    <w:rsid w:val="00705E43"/>
    <w:rsid w:val="00721779"/>
    <w:rsid w:val="00727C64"/>
    <w:rsid w:val="00743872"/>
    <w:rsid w:val="00751BFB"/>
    <w:rsid w:val="00773EC0"/>
    <w:rsid w:val="00782993"/>
    <w:rsid w:val="0079270D"/>
    <w:rsid w:val="007B0CB3"/>
    <w:rsid w:val="007B2FC0"/>
    <w:rsid w:val="007D0C7C"/>
    <w:rsid w:val="007D6BB0"/>
    <w:rsid w:val="007D76A8"/>
    <w:rsid w:val="00805080"/>
    <w:rsid w:val="00807510"/>
    <w:rsid w:val="00812B5C"/>
    <w:rsid w:val="00825CDF"/>
    <w:rsid w:val="0083110E"/>
    <w:rsid w:val="00834B31"/>
    <w:rsid w:val="00841C38"/>
    <w:rsid w:val="00843301"/>
    <w:rsid w:val="00875967"/>
    <w:rsid w:val="00887153"/>
    <w:rsid w:val="008920EF"/>
    <w:rsid w:val="00892279"/>
    <w:rsid w:val="008924F7"/>
    <w:rsid w:val="008A787B"/>
    <w:rsid w:val="008C5C5D"/>
    <w:rsid w:val="008D36D8"/>
    <w:rsid w:val="008E01B9"/>
    <w:rsid w:val="008E5516"/>
    <w:rsid w:val="00901568"/>
    <w:rsid w:val="00906EE3"/>
    <w:rsid w:val="009141F1"/>
    <w:rsid w:val="009276B2"/>
    <w:rsid w:val="0093059E"/>
    <w:rsid w:val="00932B74"/>
    <w:rsid w:val="00954D00"/>
    <w:rsid w:val="00955DEC"/>
    <w:rsid w:val="00957547"/>
    <w:rsid w:val="00973F92"/>
    <w:rsid w:val="00993A4C"/>
    <w:rsid w:val="00993A6A"/>
    <w:rsid w:val="009A0F4E"/>
    <w:rsid w:val="009A22E0"/>
    <w:rsid w:val="009A7330"/>
    <w:rsid w:val="009B391B"/>
    <w:rsid w:val="009B400E"/>
    <w:rsid w:val="009B51FC"/>
    <w:rsid w:val="009B6FB1"/>
    <w:rsid w:val="009C33F5"/>
    <w:rsid w:val="009D1CCD"/>
    <w:rsid w:val="009E072F"/>
    <w:rsid w:val="009E1805"/>
    <w:rsid w:val="00A041A8"/>
    <w:rsid w:val="00A0454A"/>
    <w:rsid w:val="00A053D1"/>
    <w:rsid w:val="00A15771"/>
    <w:rsid w:val="00A20809"/>
    <w:rsid w:val="00A3503B"/>
    <w:rsid w:val="00A40ABC"/>
    <w:rsid w:val="00A4157A"/>
    <w:rsid w:val="00A45B3A"/>
    <w:rsid w:val="00A62C66"/>
    <w:rsid w:val="00A7027F"/>
    <w:rsid w:val="00A716EA"/>
    <w:rsid w:val="00A90491"/>
    <w:rsid w:val="00A90D89"/>
    <w:rsid w:val="00A9244E"/>
    <w:rsid w:val="00A94508"/>
    <w:rsid w:val="00A95F07"/>
    <w:rsid w:val="00AA244F"/>
    <w:rsid w:val="00AC164B"/>
    <w:rsid w:val="00AD2591"/>
    <w:rsid w:val="00AD54A3"/>
    <w:rsid w:val="00AD78C4"/>
    <w:rsid w:val="00AE7038"/>
    <w:rsid w:val="00B00316"/>
    <w:rsid w:val="00B170EC"/>
    <w:rsid w:val="00B21465"/>
    <w:rsid w:val="00B414CC"/>
    <w:rsid w:val="00B52A82"/>
    <w:rsid w:val="00B55007"/>
    <w:rsid w:val="00B638B2"/>
    <w:rsid w:val="00B730D5"/>
    <w:rsid w:val="00B83054"/>
    <w:rsid w:val="00BA2104"/>
    <w:rsid w:val="00BB0EAB"/>
    <w:rsid w:val="00BB3BB4"/>
    <w:rsid w:val="00BB72FD"/>
    <w:rsid w:val="00BD21A3"/>
    <w:rsid w:val="00BD663B"/>
    <w:rsid w:val="00BD7959"/>
    <w:rsid w:val="00BE1B13"/>
    <w:rsid w:val="00BE6FD9"/>
    <w:rsid w:val="00BF16FE"/>
    <w:rsid w:val="00C04683"/>
    <w:rsid w:val="00C14731"/>
    <w:rsid w:val="00C23F96"/>
    <w:rsid w:val="00C357A3"/>
    <w:rsid w:val="00C51AC9"/>
    <w:rsid w:val="00C746E6"/>
    <w:rsid w:val="00C75D0C"/>
    <w:rsid w:val="00C76E81"/>
    <w:rsid w:val="00C816A8"/>
    <w:rsid w:val="00C82DEC"/>
    <w:rsid w:val="00C85FFF"/>
    <w:rsid w:val="00C92153"/>
    <w:rsid w:val="00CC442A"/>
    <w:rsid w:val="00CD19C1"/>
    <w:rsid w:val="00CD6152"/>
    <w:rsid w:val="00CF276C"/>
    <w:rsid w:val="00CF2D4A"/>
    <w:rsid w:val="00D05EB6"/>
    <w:rsid w:val="00D1304A"/>
    <w:rsid w:val="00D225B1"/>
    <w:rsid w:val="00D3493F"/>
    <w:rsid w:val="00D4081B"/>
    <w:rsid w:val="00D4216F"/>
    <w:rsid w:val="00D42EE3"/>
    <w:rsid w:val="00D45C71"/>
    <w:rsid w:val="00D51E63"/>
    <w:rsid w:val="00D54925"/>
    <w:rsid w:val="00D62081"/>
    <w:rsid w:val="00D62382"/>
    <w:rsid w:val="00D83E2C"/>
    <w:rsid w:val="00D93278"/>
    <w:rsid w:val="00DD4E45"/>
    <w:rsid w:val="00DE630F"/>
    <w:rsid w:val="00E051D8"/>
    <w:rsid w:val="00E159A3"/>
    <w:rsid w:val="00E32C4E"/>
    <w:rsid w:val="00E37485"/>
    <w:rsid w:val="00E46839"/>
    <w:rsid w:val="00E60887"/>
    <w:rsid w:val="00E63180"/>
    <w:rsid w:val="00E759CA"/>
    <w:rsid w:val="00E81B80"/>
    <w:rsid w:val="00EA3036"/>
    <w:rsid w:val="00EB021D"/>
    <w:rsid w:val="00EB0968"/>
    <w:rsid w:val="00EC60C2"/>
    <w:rsid w:val="00EC6DAE"/>
    <w:rsid w:val="00EF74D5"/>
    <w:rsid w:val="00F03936"/>
    <w:rsid w:val="00F20521"/>
    <w:rsid w:val="00F23E76"/>
    <w:rsid w:val="00F2729C"/>
    <w:rsid w:val="00F35F2F"/>
    <w:rsid w:val="00F41F9C"/>
    <w:rsid w:val="00F43225"/>
    <w:rsid w:val="00F57690"/>
    <w:rsid w:val="00F617AC"/>
    <w:rsid w:val="00F640FD"/>
    <w:rsid w:val="00F67F3E"/>
    <w:rsid w:val="00F70172"/>
    <w:rsid w:val="00F74739"/>
    <w:rsid w:val="00F74D1B"/>
    <w:rsid w:val="00F87C77"/>
    <w:rsid w:val="00F919CA"/>
    <w:rsid w:val="00FA4D36"/>
    <w:rsid w:val="00FA66F0"/>
    <w:rsid w:val="00FB0D19"/>
    <w:rsid w:val="00FB0D8B"/>
    <w:rsid w:val="00FC223E"/>
    <w:rsid w:val="00FC6583"/>
    <w:rsid w:val="00FD1EF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0F9B"/>
  <w15:chartTrackingRefBased/>
  <w15:docId w15:val="{CA1244B9-B727-415E-AF34-F4FEFA9A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A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A6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74118"/>
    <w:rPr>
      <w:color w:val="0563C1" w:themeColor="hyperlink"/>
      <w:u w:val="single"/>
    </w:rPr>
  </w:style>
  <w:style w:type="character" w:styleId="UnresolvedMention">
    <w:name w:val="Unresolved Mention"/>
    <w:basedOn w:val="DefaultParagraphFont"/>
    <w:uiPriority w:val="99"/>
    <w:semiHidden/>
    <w:unhideWhenUsed/>
    <w:rsid w:val="00674118"/>
    <w:rPr>
      <w:color w:val="605E5C"/>
      <w:shd w:val="clear" w:color="auto" w:fill="E1DFDD"/>
    </w:rPr>
  </w:style>
  <w:style w:type="paragraph" w:styleId="Caption">
    <w:name w:val="caption"/>
    <w:basedOn w:val="Normal"/>
    <w:next w:val="Normal"/>
    <w:uiPriority w:val="35"/>
    <w:unhideWhenUsed/>
    <w:qFormat/>
    <w:rsid w:val="00FD1EF9"/>
    <w:pPr>
      <w:spacing w:after="200" w:line="240" w:lineRule="auto"/>
    </w:pPr>
    <w:rPr>
      <w:i/>
      <w:iCs/>
      <w:color w:val="44546A" w:themeColor="text2"/>
      <w:sz w:val="18"/>
      <w:szCs w:val="18"/>
    </w:rPr>
  </w:style>
  <w:style w:type="paragraph" w:styleId="ListParagraph">
    <w:name w:val="List Paragraph"/>
    <w:basedOn w:val="Normal"/>
    <w:uiPriority w:val="34"/>
    <w:qFormat/>
    <w:rsid w:val="00672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nd.copernicus.eu/pan-european/corine-land-cover/clc-2012?tab=download" TargetMode="External"/><Relationship Id="rId3" Type="http://schemas.openxmlformats.org/officeDocument/2006/relationships/styles" Target="styles.xml"/><Relationship Id="rId7" Type="http://schemas.openxmlformats.org/officeDocument/2006/relationships/hyperlink" Target="https://land.copernicus.eu/pan-euro%20pean/corine-land-cover/clc2018?tab=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tp://fuoco.geog.umd.edu/VIIRS/VNP14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C0194-BBC2-4B29-9D85-DFCAA076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19941</TotalTime>
  <Pages>6</Pages>
  <Words>7342</Words>
  <Characters>41850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 C.</dc:creator>
  <cp:keywords/>
  <dc:description/>
  <cp:lastModifiedBy>Mol, C.</cp:lastModifiedBy>
  <cp:revision>245</cp:revision>
  <dcterms:created xsi:type="dcterms:W3CDTF">2020-05-03T15:52:00Z</dcterms:created>
  <dcterms:modified xsi:type="dcterms:W3CDTF">2020-10-14T20:04:00Z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71f6c68b-fa34-36d2-aff0-7ef8db5d4baf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