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AE881" w14:textId="0C721BD1" w:rsidR="002626AA" w:rsidRDefault="00993A6A" w:rsidP="00993A6A">
      <w:pPr>
        <w:pStyle w:val="Heading1"/>
      </w:pPr>
      <w:r>
        <w:t>Research Method</w:t>
      </w:r>
    </w:p>
    <w:p w14:paraId="10A1DD2C" w14:textId="19DAFB9C" w:rsidR="006431BB" w:rsidRDefault="006431BB" w:rsidP="006431BB">
      <w:pPr>
        <w:rPr>
          <w:i/>
          <w:iCs/>
        </w:rPr>
      </w:pPr>
      <w:r>
        <w:rPr>
          <w:i/>
          <w:iCs/>
        </w:rPr>
        <w:t>Research Area</w:t>
      </w:r>
    </w:p>
    <w:p w14:paraId="21941AB3" w14:textId="3C985201" w:rsidR="0012764B" w:rsidRDefault="008924F7" w:rsidP="006431BB">
      <w:r>
        <w:t>The study area is defined by the national administrative borders of the Netherlands</w:t>
      </w:r>
      <w:r w:rsidR="00E60887">
        <w:t xml:space="preserve"> </w:t>
      </w:r>
      <w:r w:rsidR="00E60887">
        <w:fldChar w:fldCharType="begin" w:fldLock="1"/>
      </w:r>
      <w:r w:rsidR="00E60887">
        <w:instrText>ADDIN CSL_CITATION {"citationItems":[{"id":"ITEM-1","itemData":{"URL":"https://www.pdok.nl/geo-services/-/article/administratieve-eenheden-inspire-geharmoniseerd-","accessed":{"date-parts":[["2020","5","1"]]},"author":[{"dropping-particle":"","family":"PDOK Beheer","given":"","non-dropping-particle":"","parse-names":false,"suffix":""}],"id":"ITEM-1","issued":{"date-parts":[["2020"]]},"title":"Dataset: Administratieve Eenheden (INSPIRE geharmoniseerd)","type":"webpage"},"uris":["http://www.mendeley.com/documents/?uuid=b78136af-8c70-46ed-afd4-614f95fcd203"]}],"mendeley":{"formattedCitation":"(PDOK Beheer, 2020)","manualFormatting":"(https://www.pdok.nl/geo-services/-/article/administratieve-eenheden-inspire-geharmoniseerd-, last accessed: 04-05-2020)","plainTextFormattedCitation":"(PDOK Beheer, 2020)","previouslyFormattedCitation":"(PDOK Beheer, 2020)"},"properties":{"noteIndex":0},"schema":"https://github.com/citation-style-language/schema/raw/master/csl-citation.json"}</w:instrText>
      </w:r>
      <w:r w:rsidR="00E60887">
        <w:fldChar w:fldCharType="separate"/>
      </w:r>
      <w:r w:rsidR="00E60887" w:rsidRPr="00E60887">
        <w:rPr>
          <w:noProof/>
        </w:rPr>
        <w:t>(https://www.pdok.nl/geo-services/-/article/administratieve-eenheden-inspire-geharmoniseerd-</w:t>
      </w:r>
      <w:r w:rsidR="00E60887">
        <w:rPr>
          <w:noProof/>
        </w:rPr>
        <w:t>, last accessed: 04-05-2020</w:t>
      </w:r>
      <w:r w:rsidR="00E60887" w:rsidRPr="00E60887">
        <w:rPr>
          <w:noProof/>
        </w:rPr>
        <w:t>)</w:t>
      </w:r>
      <w:r w:rsidR="00E60887">
        <w:fldChar w:fldCharType="end"/>
      </w:r>
      <w:r w:rsidR="00E60887">
        <w:t xml:space="preserve">. </w:t>
      </w:r>
      <w:r w:rsidR="00D4216F">
        <w:t>The Netherlands has very fragmented and diverse landscapes, which is caused by the urbanisation in the 20</w:t>
      </w:r>
      <w:r w:rsidR="00D4216F" w:rsidRPr="00D4216F">
        <w:rPr>
          <w:vertAlign w:val="superscript"/>
        </w:rPr>
        <w:t>th</w:t>
      </w:r>
      <w:r w:rsidR="00D4216F">
        <w:t xml:space="preserve"> century and the remodelling of waterworks to protect cities and villages against the great waterbodies </w:t>
      </w:r>
      <w:r w:rsidR="00D4216F">
        <w:fldChar w:fldCharType="begin" w:fldLock="1"/>
      </w:r>
      <w:r w:rsidR="004E5C29">
        <w:instrText>ADDIN CSL_CITATION {"citationItems":[{"id":"ITEM-1","itemData":{"DOI":"10.1007/978-3-319-75073-6_3","ISBN":"978-3-319-75073-6","abstract":"Dutch landscapes are rather unique as they all have been more or less heavily influenced and modified by humans, one of these (polder landscape) would not even exist without people. Here, we distinguish seven different landscapes in the Dutch delta. Laterally and chronologically these are often interrelated in rather complex patterns. Original and undisturbed landscapes are determined by their geological origin, their lithological composition and their vegetation. They range from limestones covered by loess in the southeast to periglacial cover sands and ice pushed ridges in the east and centre of the country. The Dutch delta is subsiding in the west and north and their associated landscapes consist of Holocene marine sand and clays. River sands and clays are found in a broad zone in the centre of the country. Polder landscapes occur in the west, north and in the centre of the Netherlands, whereas coastal dunes can be found all along the present coastal zone.","author":[{"dropping-particle":"","family":"Mulder","given":"Eduardo F J","non-dropping-particle":"De","parse-names":false,"suffix":""}],"container-title":"The Netherlands and the Dutch: A Physical and Human Geography","id":"ITEM-1","issued":{"date-parts":[["2019"]]},"page":"35-58","publisher":"Springer International Publishing","publisher-place":"Cham","title":"Landscapes","type":"chapter"},"uris":["http://www.mendeley.com/documents/?uuid=f6723f20-e4e9-4d4e-8df9-6207f605cffa"]}],"mendeley":{"formattedCitation":"(De Mulder, 2019)","plainTextFormattedCitation":"(De Mulder, 2019)","previouslyFormattedCitation":"(De Mulder, 2019)"},"properties":{"noteIndex":0},"schema":"https://github.com/citation-style-language/schema/raw/master/csl-citation.json"}</w:instrText>
      </w:r>
      <w:r w:rsidR="00D4216F">
        <w:fldChar w:fldCharType="separate"/>
      </w:r>
      <w:r w:rsidR="00D4216F" w:rsidRPr="00D4216F">
        <w:rPr>
          <w:noProof/>
        </w:rPr>
        <w:t>(De Mulder, 2019)</w:t>
      </w:r>
      <w:r w:rsidR="00D4216F">
        <w:fldChar w:fldCharType="end"/>
      </w:r>
      <w:r w:rsidR="00D4216F">
        <w:t>.</w:t>
      </w:r>
      <w:r w:rsidR="004E5C29">
        <w:t xml:space="preserve">The current climate, following the </w:t>
      </w:r>
      <w:proofErr w:type="spellStart"/>
      <w:r w:rsidR="004E5C29">
        <w:t>Köppen</w:t>
      </w:r>
      <w:proofErr w:type="spellEnd"/>
      <w:r w:rsidR="004E5C29">
        <w:t xml:space="preserve">-Geiger classification map of </w:t>
      </w:r>
      <w:r w:rsidR="004E5C29">
        <w:fldChar w:fldCharType="begin" w:fldLock="1"/>
      </w:r>
      <w:r w:rsidR="00011F44">
        <w:instrText>ADDIN CSL_CITATION {"citationItems":[{"id":"ITEM-1","itemData":{"DOI":"10.1038/sdata.2018.214","ISSN":"2052-4463","abstract":"We present new global maps of the Koppen-Geiger climate classification at an unprecedented 1-km resolution for the present-day (1980-2016) and for projected future conditions (2071-2100) under climate change. The present-day map is derived from an ensemble of four high-resolution, topographically-corrected climatic maps. The future map is derived from an ensemble of 32 climate model projections (scenario RCP8.5), by superimposing the projected climate change anomaly on the baseline high-resolution climatic maps. For both time periods we calculate confidence levels from the ensemble spread, providing valuable indications of the reliability of the classifications. The new maps exhibit a higher classification accuracy and substantially more detail than previous maps, particularly in regions with sharp spatial or elevation gradients. We anticipate the new maps will be useful for numerous applications, including species and vegetation distribution modeling. The new maps including the associated confidence maps are freely available via www.gloh2o.org/koppen.","author":[{"dropping-particle":"","family":"Beck","given":"Hylke E","non-dropping-particle":"","parse-names":false,"suffix":""},{"dropping-particle":"","family":"Zimmermann","given":"Niklaus E","non-dropping-particle":"","parse-names":false,"suffix":""},{"dropping-particle":"","family":"McVicar","given":"Tim R","non-dropping-particle":"","parse-names":false,"suffix":""},{"dropping-particle":"","family":"Vergopolan","given":"Noemi","non-dropping-particle":"","parse-names":false,"suffix":""},{"dropping-particle":"","family":"Berg","given":"Alexis","non-dropping-particle":"","parse-names":false,"suffix":""},{"dropping-particle":"","family":"Wood","given":"Eric F","non-dropping-particle":"","parse-names":false,"suffix":""}],"container-title":"Scientific Data","id":"ITEM-1","issue":"1","issued":{"date-parts":[["2018","12","30"]]},"page":"180214","publisher":"NATURE PUBLISHING GROUP","publisher-place":"MACMILLAN BUILDING, 4 CRINAN ST, LONDON N1 9XW, ENGLAND","title":"Present and future Köppen-Geiger climate classification maps at 1-km resolution","type":"article-journal","volume":"5"},"uris":["http://www.mendeley.com/documents/?uuid=433da89a-bfcf-422d-aba5-a99691904ee5"]}],"mendeley":{"formattedCitation":"(Beck &lt;i&gt;et al.&lt;/i&gt;, 2018)","manualFormatting":"Beck et al. (2018)","plainTextFormattedCitation":"(Beck et al., 2018)","previouslyFormattedCitation":"(Beck &lt;i&gt;et al.&lt;/i&gt;, 2018)"},"properties":{"noteIndex":0},"schema":"https://github.com/citation-style-language/schema/raw/master/csl-citation.json"}</w:instrText>
      </w:r>
      <w:r w:rsidR="004E5C29">
        <w:fldChar w:fldCharType="separate"/>
      </w:r>
      <w:r w:rsidR="004E5C29" w:rsidRPr="004E5C29">
        <w:rPr>
          <w:noProof/>
        </w:rPr>
        <w:t xml:space="preserve">Beck </w:t>
      </w:r>
      <w:r w:rsidR="004E5C29" w:rsidRPr="004E5C29">
        <w:rPr>
          <w:i/>
          <w:noProof/>
        </w:rPr>
        <w:t>et al.</w:t>
      </w:r>
      <w:r w:rsidR="004E5C29" w:rsidRPr="004E5C29">
        <w:rPr>
          <w:noProof/>
        </w:rPr>
        <w:t xml:space="preserve"> </w:t>
      </w:r>
      <w:r w:rsidR="004E5C29">
        <w:rPr>
          <w:noProof/>
        </w:rPr>
        <w:t>(</w:t>
      </w:r>
      <w:r w:rsidR="004E5C29" w:rsidRPr="004E5C29">
        <w:rPr>
          <w:noProof/>
        </w:rPr>
        <w:t>2018)</w:t>
      </w:r>
      <w:r w:rsidR="004E5C29">
        <w:fldChar w:fldCharType="end"/>
      </w:r>
      <w:r w:rsidR="004E5C29">
        <w:t xml:space="preserve"> is </w:t>
      </w:r>
      <w:r w:rsidR="002E0878">
        <w:t>a temperate climate without a dry season, but with a warm summer.</w:t>
      </w:r>
      <w:r w:rsidR="00D4216F">
        <w:t xml:space="preserve"> These characteristics and landcover have a great influence on how fires spread </w:t>
      </w:r>
    </w:p>
    <w:p w14:paraId="7049BB11" w14:textId="77777777" w:rsidR="002954F8" w:rsidRDefault="0012764B" w:rsidP="006431BB">
      <w:r>
        <w:t xml:space="preserve">The spatial pattern of urban areas and agricultural land of the Netherlands </w:t>
      </w:r>
      <w:r w:rsidR="00A20809">
        <w:t xml:space="preserve">has a fragmented landscape that has been developed throughout the </w:t>
      </w:r>
      <w:r w:rsidR="00393C64">
        <w:t xml:space="preserve">second part of the </w:t>
      </w:r>
      <w:r w:rsidR="00A20809">
        <w:t>20</w:t>
      </w:r>
      <w:r w:rsidR="00A20809" w:rsidRPr="00A20809">
        <w:rPr>
          <w:vertAlign w:val="superscript"/>
        </w:rPr>
        <w:t>th</w:t>
      </w:r>
      <w:r w:rsidR="00A20809">
        <w:t xml:space="preserve"> century.</w:t>
      </w:r>
      <w:r w:rsidR="006A64B5">
        <w:t xml:space="preserve"> A national policy document was introduced about the on spatial planning. First was the spatial planning in the 1960s focused on spreading of regional grow poles</w:t>
      </w:r>
      <w:r w:rsidR="00B638B2">
        <w:t>,</w:t>
      </w:r>
      <w:r w:rsidR="006A64B5">
        <w:t xml:space="preserve"> building housing for the growing population post-war</w:t>
      </w:r>
      <w:r w:rsidR="00B638B2">
        <w:t xml:space="preserve"> and introducing the mobility caused by the generalization of the car</w:t>
      </w:r>
      <w:r w:rsidR="006A64B5">
        <w:t>.</w:t>
      </w:r>
      <w:r w:rsidR="003D4954">
        <w:t xml:space="preserve"> However, the changing social dynamic and the limit the urban sprawl toward peripheral area.</w:t>
      </w:r>
      <w:r w:rsidR="00C82DEC">
        <w:t xml:space="preserve"> In the 1970’s, the</w:t>
      </w:r>
      <w:r w:rsidR="003D4954">
        <w:t xml:space="preserve"> focus </w:t>
      </w:r>
      <w:r w:rsidR="00C82DEC">
        <w:t xml:space="preserve">was on </w:t>
      </w:r>
      <w:r w:rsidR="003D4954">
        <w:t xml:space="preserve">regional grow poles </w:t>
      </w:r>
      <w:r w:rsidR="00C82DEC">
        <w:t>and zoning of land use was introduced. There were also buffer zones introduced to lower the urbanisation rate.</w:t>
      </w:r>
      <w:r w:rsidR="00BF16FE">
        <w:t xml:space="preserve"> I</w:t>
      </w:r>
      <w:r w:rsidR="0046469E">
        <w:t>n the late 1980’s, the subsidization of regional grow poles became financial unhealthy and therefore stopped.</w:t>
      </w:r>
      <w:r w:rsidR="00AD78C4">
        <w:t xml:space="preserve"> This subsidization was refocused on the cities and </w:t>
      </w:r>
      <w:proofErr w:type="gramStart"/>
      <w:r w:rsidR="00AD78C4">
        <w:t>therefore</w:t>
      </w:r>
      <w:proofErr w:type="gramEnd"/>
      <w:r w:rsidR="00AD78C4">
        <w:t xml:space="preserve"> focused on grow poles on a national level</w:t>
      </w:r>
      <w:r w:rsidR="00525195">
        <w:t xml:space="preserve">. </w:t>
      </w:r>
    </w:p>
    <w:p w14:paraId="00F349E5" w14:textId="19AEA0C7" w:rsidR="006431BB" w:rsidRPr="00D83E2C" w:rsidRDefault="00D3493F" w:rsidP="006431BB">
      <w:r>
        <w:t>The final period of the national document of spatial policy reorganized spatial planning on</w:t>
      </w:r>
      <w:r w:rsidR="006139CD">
        <w:t xml:space="preserve"> local and regional</w:t>
      </w:r>
      <w:r>
        <w:t xml:space="preserve"> governmental instruments such as municipalitie</w:t>
      </w:r>
      <w:r w:rsidR="00462F2D">
        <w:t>s</w:t>
      </w:r>
      <w:r w:rsidR="00CF2D4A">
        <w:t>. This</w:t>
      </w:r>
      <w:r w:rsidR="00462F2D">
        <w:t xml:space="preserve"> </w:t>
      </w:r>
      <w:r w:rsidR="00CF2D4A">
        <w:t xml:space="preserve">caused that spatial planning became project driven instead of plan driven. </w:t>
      </w:r>
      <w:r w:rsidR="00F617AC">
        <w:t xml:space="preserve">However, this governmental instrument </w:t>
      </w:r>
      <w:proofErr w:type="gramStart"/>
      <w:r w:rsidR="00F617AC">
        <w:t>were</w:t>
      </w:r>
      <w:proofErr w:type="gramEnd"/>
      <w:r w:rsidR="00F617AC">
        <w:t xml:space="preserve"> </w:t>
      </w:r>
      <w:r w:rsidR="00136EFC">
        <w:t>over</w:t>
      </w:r>
      <w:r w:rsidR="00F617AC">
        <w:t xml:space="preserve">optimistic and caused </w:t>
      </w:r>
      <w:proofErr w:type="spellStart"/>
      <w:r w:rsidR="00F617AC">
        <w:t>overzoning</w:t>
      </w:r>
      <w:proofErr w:type="spellEnd"/>
      <w:r w:rsidR="00F617AC">
        <w:t>, which lead to a more fragmented landscape</w:t>
      </w:r>
      <w:r w:rsidR="00182CD1">
        <w:t xml:space="preserve">. In 2010, the spatial planning became fully regional and local, which ended the national policy of spatial planning </w:t>
      </w:r>
      <w:r w:rsidR="00FC6583">
        <w:fldChar w:fldCharType="begin" w:fldLock="1"/>
      </w:r>
      <w:r w:rsidR="00FC6583">
        <w:instrText>ADDIN CSL_CITATION {"citationItems":[{"id":"ITEM-1","itemData":{"DOI":"10.1515/admin-2016-0023","ISSN":"2449-9471","abstract":"The Dutch planning system has been widely feted as a coordinated, ‘plan-led’ and evidence-informed system that has been successfully implemented, resulting in sensitive land management, an absence of urban sprawl and the protection of ‘green areas’. However, at least since the 1970s, the reality has been somewhat different. This paper reviews Dutch planning history over the past fifty years to highlight in particular the challenge of implementation. The paper also reviews the current challenges facing Dutch planners and provides some international reflection from Dutch experiences for Irish planners.","author":[{"dropping-particle":"","family":"Janssen-Jansen","given":"Leonie","non-dropping-particle":"","parse-names":false,"suffix":""}],"container-title":"Administration","id":"ITEM-1","issue":"3-4","issued":{"date-parts":[["2016","12","1"]]},"page":"23-43","title":"Taking national planning seriously: A challenged planning agenda in the Netherlands","type":"article-journal","volume":"64"},"uris":["http://www.mendeley.com/documents/?uuid=54ee3ef9-82cc-4c98-b1ec-47a66b03d294"]}],"mendeley":{"formattedCitation":"(Janssen-Jansen, 2016)","plainTextFormattedCitation":"(Janssen-Jansen, 2016)"},"properties":{"noteIndex":0},"schema":"https://github.com/citation-style-language/schema/raw/master/csl-citation.json"}</w:instrText>
      </w:r>
      <w:r w:rsidR="00FC6583">
        <w:fldChar w:fldCharType="separate"/>
      </w:r>
      <w:r w:rsidR="00FC6583" w:rsidRPr="00FC6583">
        <w:rPr>
          <w:noProof/>
        </w:rPr>
        <w:t>(Janssen-Jansen, 2016)</w:t>
      </w:r>
      <w:r w:rsidR="00FC6583">
        <w:fldChar w:fldCharType="end"/>
      </w:r>
      <w:r w:rsidR="00FC6583">
        <w:t>.</w:t>
      </w:r>
      <w:r w:rsidR="0046469E">
        <w:t xml:space="preserve"> </w:t>
      </w:r>
    </w:p>
    <w:p w14:paraId="6F35B7F2" w14:textId="77777777" w:rsidR="00841C38" w:rsidRPr="000E1666" w:rsidRDefault="00841C38" w:rsidP="00841C38">
      <w:pPr>
        <w:rPr>
          <w:i/>
          <w:iCs/>
        </w:rPr>
      </w:pPr>
      <w:r w:rsidRPr="000E1666">
        <w:rPr>
          <w:i/>
          <w:iCs/>
        </w:rPr>
        <w:t>VIIRS dataset</w:t>
      </w:r>
    </w:p>
    <w:p w14:paraId="61F588B5" w14:textId="0E141CE3" w:rsidR="000E1666" w:rsidRDefault="00841C38" w:rsidP="00841C38">
      <w:pPr>
        <w:rPr>
          <w:b/>
          <w:bCs/>
        </w:rPr>
      </w:pPr>
      <w:r w:rsidRPr="00841C38">
        <w:t xml:space="preserve">The VIIRS instrument is on the Suomi National Polar-orbiting Partnership (S-NPP) and crosses the equator ascending around 13:30 (Greenwich time) and descends around (01:30). An algorithm has been developed by </w:t>
      </w:r>
      <w:r w:rsidRPr="00841C38">
        <w:fldChar w:fldCharType="begin" w:fldLock="1"/>
      </w:r>
      <w:r w:rsidR="00AC164B">
        <w:instrText>ADDIN CSL_CITATION {"citationItems":[{"id":"ITEM-1","itemData":{"DOI":"10.1016/j.rse.2013.12.008","ISSN":"0034-4257","abstract":"The first Visible Infrared Imaging Radiometer Suite (VIIRS) was launched\nin October 2011 aboard the Suomi-National Polar-orbiting Partnership\n(S-NPP) satellite. The VIIRS instrument carries two separate sets of\nmulti-spectral channels providing full global coverage at both 375 m and\n750 m nominal resolutions every 12 h or less depending on the latitude.\nIn this study, we introduce a new VIIRS active fire detection algorithm,\nwhich is driven primarily by the 375 m middle and thermal infrared\nimagery data. The algorithm builds on the well-established MODIS Fire\nand Thermal Anomalies product using a contextual approach to detect both\nday and nighttime biomass burning and other thermal anomalies. Here we\npresent the fire algorithm's design and implementation, including\nimportant information describing the input data characteristics and\npotential artifacts associated with pixel saturation and the South\nAtlantic Magnetic Anomaly, both found to affect the middle infrared\nchannel data. Initial assessment using results derived from the global\nprocessing of the algorithm indicated small, although variable,\ncommission errors (&lt;1.2%) for nominal confidence fire pixels. We\nachieved improved performance using the 375 m active fire data compared\nto the VIIRS 750 m baseline fire product, resulting in a 3 x and 25 x\nfactor increase in the absolute number of fire pixels detected using day\nand nighttime data, respectively. Similarly, VIIRS 375 m fire data\nshowed significantly superior mapping capabilities compared to current\nMODIS fire detection data with improved consistency of fire perimeter\ndelineation for biomass burning lasting multiple days. (C) 2014 Elsevier\nInc. All rights reserved.","author":[{"dropping-particle":"","family":"Schroeder","given":"Wilfrid","non-dropping-particle":"","parse-names":false,"suffix":""},{"dropping-particle":"","family":"Oliva","given":"Patricia","non-dropping-particle":"","parse-names":false,"suffix":""},{"dropping-particle":"","family":"Giglio","given":"Louis","non-dropping-particle":"","parse-names":false,"suffix":""},{"dropping-particle":"","family":"Csiszar","given":"Ivan A","non-dropping-particle":"","parse-names":false,"suffix":""}],"container-title":"REMOTE SENSING OF ENVIRONMENT","id":"ITEM-1","issued":{"date-parts":[["2014"]]},"page":"85-96","publisher":"ELSEVIER SCIENCE INC","publisher-place":"360 PARK AVE SOUTH, NEW YORK, NY 10010-1710 USA","title":"The New VIIRS 375 m active fire detection data product: Algorithm description and initial assessment","type":"article-journal","volume":"143"},"uris":["http://www.mendeley.com/documents/?uuid=a634acde-4e20-40d9-9972-992dcc303ba4"]}],"mendeley":{"formattedCitation":"(Schroeder &lt;i&gt;et al.&lt;/i&gt;, 2014)","manualFormatting":"Schroeder et al.(2014)","plainTextFormattedCitation":"(Schroeder et al., 2014)","previouslyFormattedCitation":"(Schroeder &lt;i&gt;et al.&lt;/i&gt;, 2014)"},"properties":{"noteIndex":0},"schema":"https://github.com/citation-style-language/schema/raw/master/csl-citation.json"}</w:instrText>
      </w:r>
      <w:r w:rsidRPr="00841C38">
        <w:fldChar w:fldCharType="separate"/>
      </w:r>
      <w:r w:rsidRPr="00841C38">
        <w:rPr>
          <w:noProof/>
        </w:rPr>
        <w:t>Schroeder et al.(2014)</w:t>
      </w:r>
      <w:r w:rsidRPr="00841C38">
        <w:fldChar w:fldCharType="end"/>
      </w:r>
      <w:r w:rsidRPr="00841C38">
        <w:t xml:space="preserve"> to identify active fires on the earth surface at a resolution of 375 meter</w:t>
      </w:r>
      <w:r>
        <w:t xml:space="preserve"> and increased the detection of fires by day and night. </w:t>
      </w:r>
      <w:r w:rsidR="00674118">
        <w:t>This dataset is as ASCII text file  and is taken from the VNP14ML monthly dataset (</w:t>
      </w:r>
      <w:hyperlink r:id="rId5" w:history="1">
        <w:r w:rsidR="00674118" w:rsidRPr="006243BB">
          <w:rPr>
            <w:rStyle w:val="Hyperlink"/>
          </w:rPr>
          <w:t>ftp://fuoco.geog.umd.edu/VIIRS/VNP14ML</w:t>
        </w:r>
      </w:hyperlink>
      <w:r w:rsidR="00674118">
        <w:t>, last accessed on May 2020)</w:t>
      </w:r>
      <w:r w:rsidR="002913E6">
        <w:t xml:space="preserve">. </w:t>
      </w:r>
      <w:r w:rsidR="00F640FD">
        <w:rPr>
          <w:b/>
          <w:bCs/>
        </w:rPr>
        <w:t>NOG UITBREIDEN</w:t>
      </w:r>
    </w:p>
    <w:p w14:paraId="34A4E810" w14:textId="5C04F9F7" w:rsidR="001652C9" w:rsidRPr="001652C9" w:rsidRDefault="001652C9" w:rsidP="00841C38"/>
    <w:p w14:paraId="09BF60A8" w14:textId="16D13BDC" w:rsidR="005033B5" w:rsidRDefault="005033B5" w:rsidP="00533F03">
      <w:pPr>
        <w:tabs>
          <w:tab w:val="left" w:pos="5235"/>
        </w:tabs>
        <w:rPr>
          <w:i/>
          <w:iCs/>
        </w:rPr>
      </w:pPr>
      <w:r>
        <w:rPr>
          <w:i/>
          <w:iCs/>
        </w:rPr>
        <w:t>Corine Land Cover</w:t>
      </w:r>
    </w:p>
    <w:p w14:paraId="7CBAB6AE" w14:textId="75C4444F" w:rsidR="00FB0D8B" w:rsidRDefault="00F919CA" w:rsidP="00841C38">
      <w:r>
        <w:t xml:space="preserve">The dataset that is used to extract the landcover is the Corine Land Cover (CLC) Dataset from 2012 and 2018. The CLC 2018 dataset has been developed between 2017 to 2018 and the CLC 2012 dataset between 2011-2012. The datasets have both an equal or greater 85% </w:t>
      </w:r>
      <w:r w:rsidR="00906EE3">
        <w:t>thematic accuracy with a minimum mapping unit of 100 mete</w:t>
      </w:r>
      <w:r w:rsidR="001A337C">
        <w:t>r</w:t>
      </w:r>
      <w:r w:rsidR="00AC164B">
        <w:t xml:space="preserve"> </w:t>
      </w:r>
      <w:r w:rsidR="00AC164B">
        <w:fldChar w:fldCharType="begin" w:fldLock="1"/>
      </w:r>
      <w:r w:rsidR="00E60887">
        <w:instrText>ADDIN CSL_CITATION {"citationItems":[{"id":"ITEM-1","itemData":{"author":[{"dropping-particle":"","family":"Büttner","given":"György","non-dropping-particle":"","parse-names":false,"suffix":""},{"dropping-particle":"","family":"Kosztra","given":"Barbara","non-dropping-particle":"","parse-names":false,"suffix":""},{"dropping-particle":"","family":"Soukup","given":"Tomas","non-dropping-particle":"","parse-names":false,"suffix":""},{"dropping-particle":"","family":"Sousa","given":"Ana","non-dropping-particle":"","parse-names":false,"suffix":""},{"dropping-particle":"","family":"Langanke","given":"Tobias","non-dropping-particle":"","parse-names":false,"suffix":""}],"id":"ITEM-1","issue":"3436","issued":{"date-parts":[["2017"]]},"page":"60","title":"CLC2018 Technical Guidelines","type":"article-journal"},"uris":["http://www.mendeley.com/documents/?uuid=b75f3d0e-2452-4dfa-9287-c3c9a8287c10"]}],"mendeley":{"formattedCitation":"(Büttner &lt;i&gt;et al.&lt;/i&gt;, 2017)","plainTextFormattedCitation":"(Büttner et al., 2017)","previouslyFormattedCitation":"(Büttner &lt;i&gt;et al.&lt;/i&gt;, 2017)"},"properties":{"noteIndex":0},"schema":"https://github.com/citation-style-language/schema/raw/master/csl-citation.json"}</w:instrText>
      </w:r>
      <w:r w:rsidR="00AC164B">
        <w:fldChar w:fldCharType="separate"/>
      </w:r>
      <w:r w:rsidR="00AC164B" w:rsidRPr="00AC164B">
        <w:rPr>
          <w:noProof/>
        </w:rPr>
        <w:t xml:space="preserve">(Büttner </w:t>
      </w:r>
      <w:r w:rsidR="00AC164B" w:rsidRPr="00AC164B">
        <w:rPr>
          <w:i/>
          <w:noProof/>
        </w:rPr>
        <w:t>et al.</w:t>
      </w:r>
      <w:r w:rsidR="00AC164B" w:rsidRPr="00AC164B">
        <w:rPr>
          <w:noProof/>
        </w:rPr>
        <w:t>, 2017)</w:t>
      </w:r>
      <w:r w:rsidR="00AC164B">
        <w:fldChar w:fldCharType="end"/>
      </w:r>
      <w:r w:rsidR="001A337C">
        <w:t xml:space="preserve">. </w:t>
      </w:r>
      <w:r w:rsidR="00AC164B">
        <w:t xml:space="preserve">It is taken from </w:t>
      </w:r>
      <w:hyperlink r:id="rId6" w:history="1">
        <w:r w:rsidR="00AC164B" w:rsidRPr="006243BB">
          <w:rPr>
            <w:rStyle w:val="Hyperlink"/>
          </w:rPr>
          <w:t>https://land.copernicus.eu/pan-european/corine-land-cover/clc2018?tab=download</w:t>
        </w:r>
      </w:hyperlink>
      <w:r w:rsidR="00AC164B">
        <w:t xml:space="preserve"> (last accessed on May 2020)</w:t>
      </w:r>
      <w:r w:rsidR="00BD663B">
        <w:t xml:space="preserve">. </w:t>
      </w:r>
    </w:p>
    <w:p w14:paraId="057D7A7F" w14:textId="77777777" w:rsidR="00FB0D8B" w:rsidRDefault="00FB0D8B">
      <w:r>
        <w:br w:type="page"/>
      </w:r>
    </w:p>
    <w:p w14:paraId="5BC6D41D" w14:textId="48BD069F" w:rsidR="005033B5" w:rsidRPr="00FB0D8B" w:rsidRDefault="00FB0D8B" w:rsidP="00841C38">
      <w:pPr>
        <w:rPr>
          <w:i/>
          <w:iCs/>
        </w:rPr>
      </w:pPr>
      <w:r>
        <w:rPr>
          <w:i/>
          <w:iCs/>
        </w:rPr>
        <w:lastRenderedPageBreak/>
        <w:t>Overview of the methods</w:t>
      </w:r>
    </w:p>
    <w:p w14:paraId="7055F12A" w14:textId="2B0205D2" w:rsidR="002260E6" w:rsidRDefault="00A95F07">
      <w:r>
        <w:t>Two different methods</w:t>
      </w:r>
      <w:r w:rsidR="001B65BE">
        <w:t>, which are</w:t>
      </w:r>
      <w:r w:rsidR="001E6979">
        <w:t xml:space="preserve"> visualized in flowcharts (see</w:t>
      </w:r>
      <w:r w:rsidR="00A62C66">
        <w:t xml:space="preserve"> figure </w:t>
      </w:r>
      <w:r w:rsidR="0023631E">
        <w:t>1</w:t>
      </w:r>
      <w:r w:rsidR="00A62C66">
        <w:rPr>
          <w:b/>
          <w:bCs/>
        </w:rPr>
        <w:t xml:space="preserve"> and X)</w:t>
      </w:r>
      <w:r w:rsidR="001E6979">
        <w:t xml:space="preserve"> have </w:t>
      </w:r>
      <w:r w:rsidR="008E5516">
        <w:t xml:space="preserve">been developed for </w:t>
      </w:r>
      <w:r w:rsidR="001E6979">
        <w:t xml:space="preserve">this research. </w:t>
      </w:r>
      <w:r w:rsidR="008E5516">
        <w:t>The</w:t>
      </w:r>
      <w:r w:rsidR="001B65BE">
        <w:t xml:space="preserve"> first method is for acquiring the data from the VNL14ML, CLC </w:t>
      </w:r>
      <w:proofErr w:type="spellStart"/>
      <w:r w:rsidR="001B65BE">
        <w:t>rasters</w:t>
      </w:r>
      <w:proofErr w:type="spellEnd"/>
      <w:r w:rsidR="001B65BE">
        <w:t xml:space="preserve"> and administrative borders of the Netherlands. </w:t>
      </w:r>
      <w:r w:rsidR="009141F1">
        <w:t>For each method, there will be given an overview what the reasoning is behind the different choices are</w:t>
      </w:r>
      <w:r w:rsidR="00C51AC9">
        <w:t xml:space="preserve"> </w:t>
      </w:r>
      <w:r w:rsidR="00C51AC9">
        <w:rPr>
          <w:b/>
          <w:bCs/>
        </w:rPr>
        <w:t>DIT MISSCHIEN IN THE LEIDING VAN DIT HOOFDSTUK ZETTEN</w:t>
      </w:r>
      <w:r w:rsidR="009141F1">
        <w:t xml:space="preserve">. </w:t>
      </w:r>
    </w:p>
    <w:p w14:paraId="09AFE172" w14:textId="77777777" w:rsidR="002260E6" w:rsidRDefault="002260E6">
      <w:r>
        <w:br w:type="page"/>
      </w:r>
    </w:p>
    <w:p w14:paraId="6657C9AD" w14:textId="353E283A" w:rsidR="001818D6" w:rsidRPr="001818D6" w:rsidRDefault="00F2729C" w:rsidP="00841C38">
      <w:pPr>
        <w:rPr>
          <w:i/>
          <w:iCs/>
        </w:rPr>
      </w:pPr>
      <w:r>
        <w:rPr>
          <w:i/>
          <w:iCs/>
        </w:rPr>
        <w:lastRenderedPageBreak/>
        <w:t>Acquiring the data for the Research</w:t>
      </w:r>
    </w:p>
    <w:p w14:paraId="65255D99" w14:textId="45245F49" w:rsidR="00FB0D8B" w:rsidRPr="00FB0D8B" w:rsidRDefault="00FB0D8B" w:rsidP="00841C38"/>
    <w:p w14:paraId="68901E59" w14:textId="4C4C1C9A" w:rsidR="00FD1EF9" w:rsidRDefault="001A2D64" w:rsidP="00FD1EF9">
      <w:pPr>
        <w:keepNext/>
        <w:jc w:val="center"/>
      </w:pPr>
      <w:r>
        <w:rPr>
          <w:noProof/>
        </w:rPr>
        <w:drawing>
          <wp:inline distT="0" distB="0" distL="0" distR="0" wp14:anchorId="5D935A9D" wp14:editId="1EF22D7E">
            <wp:extent cx="4581525" cy="7153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1525" cy="7153275"/>
                    </a:xfrm>
                    <a:prstGeom prst="rect">
                      <a:avLst/>
                    </a:prstGeom>
                    <a:noFill/>
                    <a:ln>
                      <a:noFill/>
                    </a:ln>
                  </pic:spPr>
                </pic:pic>
              </a:graphicData>
            </a:graphic>
          </wp:inline>
        </w:drawing>
      </w:r>
    </w:p>
    <w:p w14:paraId="43BBCA43" w14:textId="2E6A0CAA" w:rsidR="000B649A" w:rsidRDefault="00FD1EF9" w:rsidP="00FD1EF9">
      <w:pPr>
        <w:pStyle w:val="Caption"/>
        <w:jc w:val="center"/>
        <w:rPr>
          <w:noProof/>
        </w:rPr>
      </w:pPr>
      <w:r>
        <w:t xml:space="preserve">Figure </w:t>
      </w:r>
      <w:fldSimple w:instr=" SEQ Figure \* ARABIC ">
        <w:r>
          <w:rPr>
            <w:noProof/>
          </w:rPr>
          <w:t>1</w:t>
        </w:r>
      </w:fldSimple>
      <w:r>
        <w:t xml:space="preserve"> Flowchart on how the data from the data sources are used and are selected</w:t>
      </w:r>
      <w:r>
        <w:rPr>
          <w:noProof/>
        </w:rPr>
        <w:t>. The outcome if this flowchart are a shapefile and a rasterfile containing information about the land cover and the size of the fires.</w:t>
      </w:r>
    </w:p>
    <w:p w14:paraId="29920BB2" w14:textId="2C5BFA3A" w:rsidR="00FB0D19" w:rsidRDefault="001818D6" w:rsidP="00FB0D8B">
      <w:r>
        <w:t>The general overview of the method for acquiring the data can be seen in figure 1.</w:t>
      </w:r>
      <w:r w:rsidR="009C33F5">
        <w:t xml:space="preserve"> </w:t>
      </w:r>
      <w:r w:rsidR="001A2D64">
        <w:t xml:space="preserve">The VIIRS dataset contains information about the size of the pixel, the classification with the help of the </w:t>
      </w:r>
      <w:r w:rsidR="00E32C4E">
        <w:t>C</w:t>
      </w:r>
      <w:r w:rsidR="001A2D64">
        <w:t xml:space="preserve">orine landcover, the year and the month of </w:t>
      </w:r>
      <w:r w:rsidR="00F23E76">
        <w:t xml:space="preserve">observation. </w:t>
      </w:r>
    </w:p>
    <w:p w14:paraId="08E9B9D5" w14:textId="14AD28E2" w:rsidR="0023631E" w:rsidRPr="0023631E" w:rsidRDefault="0023631E" w:rsidP="00FB0D8B">
      <w:pPr>
        <w:rPr>
          <w:i/>
          <w:iCs/>
          <w:u w:val="single"/>
        </w:rPr>
      </w:pPr>
      <w:r>
        <w:rPr>
          <w:i/>
          <w:iCs/>
          <w:u w:val="single"/>
        </w:rPr>
        <w:lastRenderedPageBreak/>
        <w:t>VIIRS Fire pixels</w:t>
      </w:r>
    </w:p>
    <w:p w14:paraId="5F9B3F89" w14:textId="70DF6E07" w:rsidR="00676D2A" w:rsidRDefault="00676D2A" w:rsidP="00FB0D8B">
      <w:r>
        <w:t xml:space="preserve">The size of the fire pixel is determined on which </w:t>
      </w:r>
      <w:r w:rsidR="00B55007">
        <w:t xml:space="preserve">horizontal the pixel has been observed. The further away from the nadir how greater the bow-tie effect is, which means that the pixels toward the edge a more surface area cover. </w:t>
      </w:r>
      <w:r w:rsidR="00E37485">
        <w:t xml:space="preserve"> The change in angle, observation distance and curvature of the earth causes this effect. VIIRS use multiple bands to compensate his effect, however after the 960</w:t>
      </w:r>
      <w:r w:rsidR="001D1138">
        <w:t>th</w:t>
      </w:r>
      <w:r w:rsidR="00E37485">
        <w:t xml:space="preserve"> pixel, the instrument </w:t>
      </w:r>
      <w:r w:rsidR="00664DA7">
        <w:t xml:space="preserve">cannot compensate the </w:t>
      </w:r>
      <w:r w:rsidR="00481D5B">
        <w:t>pixels which cause the pixel size of the measurements to be bigger</w:t>
      </w:r>
      <w:r w:rsidR="00D62081">
        <w:t xml:space="preserve"> </w:t>
      </w:r>
      <w:r w:rsidR="00D62081">
        <w:fldChar w:fldCharType="begin" w:fldLock="1"/>
      </w:r>
      <w:r w:rsidR="00206A6C">
        <w:instrText>ADDIN CSL_CITATION {"citationItems":[{"id":"ITEM-1","itemData":{"abstract":"This VIIRS Sensor Data Record User’s Guide (hereinafter referred to as the User’s Guide) is intended for users of the Sensor Data Records (SDR) generated from the VIIRS. It provides a general introduction to the VIIRS instrument, data products, format, content, and their applications. It also serves as a reference to more detailed technical documents on VIIRS such as the Algorithm Theoretical Basis Documents (ATBDs) for radiometric and geolocation calibration algorithms as listed in the reference section [1-4]. This User’s Guide is intended for the VIIRS instrument as-built onboard the S-NPP satellite. Technical data may be updated for VIIRS onboard the JPSS satellites in the future.","author":[{"dropping-particle":"","family":"Cao","given":"Changyong","non-dropping-particle":"","parse-names":false,"suffix":""},{"dropping-particle":"","family":"Xiaoxiong","given":"Xiong","non-dropping-particle":"","parse-names":false,"suffix":""},{"dropping-particle":"","family":"Wolfe","given":"Robert","non-dropping-particle":"","parse-names":false,"suffix":""},{"dropping-particle":"","family":"DeLuccia","given":"Frank","non-dropping-particle":"","parse-names":false,"suffix":""},{"dropping-particle":"","family":"Liu","given":"Quanhua (Mark)","non-dropping-particle":"","parse-names":false,"suffix":""},{"dropping-particle":"","family":"Blonski","given":"Slawomir","non-dropping-particle":"","parse-names":false,"suffix":""},{"dropping-particle":"","family":"Lin","given":"Guoqing (Gary)","non-dropping-particle":"","parse-names":false,"suffix":""},{"dropping-particle":"","family":"Nishihama","given":"Masahiro","non-dropping-particle":"","parse-names":false,"suffix":""},{"dropping-particle":"","family":"Pogorzala","given":"Dave","non-dropping-particle":"","parse-names":false,"suffix":""},{"dropping-particle":"","family":"Oudrari","given":"Hassan","non-dropping-particle":"","parse-names":false,"suffix":""},{"dropping-particle":"","family":"Hillger","given":"Don","non-dropping-particle":"","parse-names":false,"suffix":""}],"container-title":"NOAA Technical Report NESDIS 142","id":"ITEM-1","issue":"March","issued":{"date-parts":[["2017"]]},"title":"NOAA Technical Report NESDIS 142 Visible Infrared Imaging Radiometer Suite (VIIRS) Sensor Data Record (SDR) User’s Guide Version 1.3","type":"article-journal"},"uris":["http://www.mendeley.com/documents/?uuid=a68a1ca7-b6a0-41b4-826d-d69496d6351d"]}],"mendeley":{"formattedCitation":"(Cao &lt;i&gt;et al.&lt;/i&gt;, 2017)","plainTextFormattedCitation":"(Cao et al., 2017)","previouslyFormattedCitation":"(Cao &lt;i&gt;et al.&lt;/i&gt;, 2017)"},"properties":{"noteIndex":0},"schema":"https://github.com/citation-style-language/schema/raw/master/csl-citation.json"}</w:instrText>
      </w:r>
      <w:r w:rsidR="00D62081">
        <w:fldChar w:fldCharType="separate"/>
      </w:r>
      <w:r w:rsidR="00D62081" w:rsidRPr="00D62081">
        <w:rPr>
          <w:noProof/>
        </w:rPr>
        <w:t xml:space="preserve">(Cao </w:t>
      </w:r>
      <w:r w:rsidR="00D62081" w:rsidRPr="00D62081">
        <w:rPr>
          <w:i/>
          <w:noProof/>
        </w:rPr>
        <w:t>et al.</w:t>
      </w:r>
      <w:r w:rsidR="00D62081" w:rsidRPr="00D62081">
        <w:rPr>
          <w:noProof/>
        </w:rPr>
        <w:t>, 2017)</w:t>
      </w:r>
      <w:r w:rsidR="00D62081">
        <w:fldChar w:fldCharType="end"/>
      </w:r>
      <w:r w:rsidR="00D62081">
        <w:t>.</w:t>
      </w:r>
      <w:r w:rsidR="00C04683">
        <w:t xml:space="preserve"> </w:t>
      </w:r>
      <w:r w:rsidR="00C04683">
        <w:rPr>
          <w:b/>
          <w:bCs/>
        </w:rPr>
        <w:t>MISSCHIEN NAAR INLEDING VERPLAATSEN EN WAT UITGEBREIDER MAKEN</w:t>
      </w:r>
      <w:r w:rsidR="00481D5B">
        <w:t>.</w:t>
      </w:r>
      <w:r w:rsidR="00EC60C2">
        <w:t xml:space="preserve"> </w:t>
      </w:r>
    </w:p>
    <w:p w14:paraId="34B5DE5F" w14:textId="45E8497C" w:rsidR="005479CD" w:rsidRPr="005479CD" w:rsidRDefault="005479CD" w:rsidP="00FB0D8B">
      <w:pPr>
        <w:rPr>
          <w:i/>
          <w:iCs/>
          <w:u w:val="single"/>
        </w:rPr>
      </w:pPr>
      <w:r>
        <w:rPr>
          <w:i/>
          <w:iCs/>
          <w:u w:val="single"/>
        </w:rPr>
        <w:t>Classification of the fire pixels</w:t>
      </w:r>
    </w:p>
    <w:p w14:paraId="75417487" w14:textId="077F8B2A" w:rsidR="00EC60C2" w:rsidRDefault="00EC60C2" w:rsidP="00FB0D8B">
      <w:r>
        <w:t xml:space="preserve">The classification of the pixels </w:t>
      </w:r>
      <w:r w:rsidR="00615B52">
        <w:t xml:space="preserve">is </w:t>
      </w:r>
      <w:r>
        <w:t xml:space="preserve">focused on </w:t>
      </w:r>
      <w:r w:rsidR="008D36D8">
        <w:t>natural fires</w:t>
      </w:r>
      <w:r>
        <w:t xml:space="preserve">. </w:t>
      </w:r>
      <w:r w:rsidR="00EC6DAE">
        <w:t>The agricultural and urban fires could be yearly periodical occurrent event or wrongly identified fires such as the external radiation by greenhouses</w:t>
      </w:r>
      <w:r w:rsidR="00FA4D36">
        <w:t xml:space="preserve"> or periodical </w:t>
      </w:r>
      <w:r w:rsidR="006908B2">
        <w:t>burning waste</w:t>
      </w:r>
      <w:r w:rsidR="009A7330">
        <w:t xml:space="preserve"> </w:t>
      </w:r>
      <w:r w:rsidR="009A7330">
        <w:rPr>
          <w:b/>
          <w:bCs/>
        </w:rPr>
        <w:t>HIERBIJ NOG BRONNEN VOOR VINDEN</w:t>
      </w:r>
      <w:r w:rsidR="009A7330">
        <w:t xml:space="preserve">. </w:t>
      </w:r>
    </w:p>
    <w:p w14:paraId="430A8706" w14:textId="2DD98E65" w:rsidR="005F76C0" w:rsidRDefault="005F76C0" w:rsidP="00FB0D8B">
      <w:r>
        <w:t>The classification of the pixels in the Corine Landcover dataset</w:t>
      </w:r>
      <w:r w:rsidR="00206A6C">
        <w:t xml:space="preserve"> </w:t>
      </w:r>
      <w:r w:rsidR="00206A6C">
        <w:fldChar w:fldCharType="begin" w:fldLock="1"/>
      </w:r>
      <w:r w:rsidR="00FC6583">
        <w:instrText>ADDIN CSL_CITATION {"citationItems":[{"id":"ITEM-1","itemData":{"author":[{"dropping-particle":"","family":"Kosztra","given":"Barbara","non-dropping-particle":"","parse-names":false,"suffix":""},{"dropping-particle":"","family":"Büttner","given":"György","non-dropping-particle":"","parse-names":false,"suffix":""},{"dropping-particle":"","family":"Hazeu","given":"Gerard","non-dropping-particle":"","parse-names":false,"suffix":""},{"dropping-particle":"","family":"Arnold","given":"Stephan","non-dropping-particle":"","parse-names":false,"suffix":""}],"container-title":"European Environment Agency","id":"ITEM-1","issue":"3436","issued":{"date-parts":[["2017"]]},"page":"1-124","title":"Updated CLC illustrated nomenclature guidelines","type":"article-journal"},"uris":["http://www.mendeley.com/documents/?uuid=5788e19f-2226-4197-9bac-c91745b43a2a"]}],"mendeley":{"formattedCitation":"(Kosztra &lt;i&gt;et al.&lt;/i&gt;, 2017)","plainTextFormattedCitation":"(Kosztra et al., 2017)","previouslyFormattedCitation":"(Kosztra &lt;i&gt;et al.&lt;/i&gt;, 2017)"},"properties":{"noteIndex":0},"schema":"https://github.com/citation-style-language/schema/raw/master/csl-citation.json"}</w:instrText>
      </w:r>
      <w:r w:rsidR="00206A6C">
        <w:fldChar w:fldCharType="separate"/>
      </w:r>
      <w:r w:rsidR="00206A6C" w:rsidRPr="00206A6C">
        <w:rPr>
          <w:noProof/>
        </w:rPr>
        <w:t xml:space="preserve">(Kosztra </w:t>
      </w:r>
      <w:r w:rsidR="00206A6C" w:rsidRPr="00206A6C">
        <w:rPr>
          <w:i/>
          <w:noProof/>
        </w:rPr>
        <w:t>et al.</w:t>
      </w:r>
      <w:r w:rsidR="00206A6C" w:rsidRPr="00206A6C">
        <w:rPr>
          <w:noProof/>
        </w:rPr>
        <w:t>, 2017)</w:t>
      </w:r>
      <w:r w:rsidR="00206A6C">
        <w:fldChar w:fldCharType="end"/>
      </w:r>
      <w:r w:rsidR="00206A6C">
        <w:t xml:space="preserve"> the head classes 3 (Forest and semi-natural areas) and 4 (Wetlands) are used to filter the urban, agricultural and water bodies identified fire pixels. </w:t>
      </w:r>
      <w:r w:rsidR="00DE630F">
        <w:t xml:space="preserve"> </w:t>
      </w:r>
      <w:r w:rsidR="00206A6C">
        <w:t>Hereby are the bare rock class</w:t>
      </w:r>
    </w:p>
    <w:p w14:paraId="304A4048" w14:textId="77777777" w:rsidR="002C2478" w:rsidRPr="009A7330" w:rsidRDefault="002C2478" w:rsidP="00FB0D8B"/>
    <w:p w14:paraId="7D7AA1F3" w14:textId="77777777" w:rsidR="00FB0D19" w:rsidRDefault="00FB0D19">
      <w:r>
        <w:br w:type="page"/>
      </w:r>
    </w:p>
    <w:p w14:paraId="121847FE" w14:textId="79E6E12A" w:rsidR="00F20521" w:rsidRDefault="00340C52" w:rsidP="00FB0D8B">
      <w:r>
        <w:lastRenderedPageBreak/>
        <w:t>This will be more convenient for the analysis of the data and the flexibility of the data.</w:t>
      </w:r>
      <w:r w:rsidR="00C76E81">
        <w:t xml:space="preserve"> For the landcover datasets means that the datasets </w:t>
      </w:r>
      <w:r w:rsidR="00094039">
        <w:t xml:space="preserve">are </w:t>
      </w:r>
      <w:r w:rsidR="00C76E81">
        <w:t>cropped to the range of the administrative borders of the Netherlands and for the burned dataset means that th</w:t>
      </w:r>
      <w:r w:rsidR="009B51FC">
        <w:t xml:space="preserve">e points which are in range of the borders are filtered out of the dataset. </w:t>
      </w:r>
    </w:p>
    <w:p w14:paraId="5034AABB" w14:textId="710A8AEA" w:rsidR="00FC6583" w:rsidRPr="00FC6583" w:rsidRDefault="00F20521" w:rsidP="00FC6583">
      <w:pPr>
        <w:widowControl w:val="0"/>
        <w:autoSpaceDE w:val="0"/>
        <w:autoSpaceDN w:val="0"/>
        <w:adjustRightInd w:val="0"/>
        <w:spacing w:line="240" w:lineRule="auto"/>
        <w:rPr>
          <w:rFonts w:ascii="Calibri" w:hAnsi="Calibri" w:cs="Calibri"/>
          <w:noProof/>
          <w:szCs w:val="24"/>
        </w:rPr>
      </w:pPr>
      <w:r>
        <w:br w:type="page"/>
      </w:r>
      <w:r w:rsidR="00A041A8">
        <w:lastRenderedPageBreak/>
        <w:fldChar w:fldCharType="begin" w:fldLock="1"/>
      </w:r>
      <w:r w:rsidR="00A041A8">
        <w:instrText xml:space="preserve">ADDIN Mendeley Bibliography CSL_BIBLIOGRAPHY </w:instrText>
      </w:r>
      <w:r w:rsidR="00A041A8">
        <w:fldChar w:fldCharType="separate"/>
      </w:r>
      <w:r w:rsidR="00FC6583" w:rsidRPr="00FC6583">
        <w:rPr>
          <w:rFonts w:ascii="Calibri" w:hAnsi="Calibri" w:cs="Calibri"/>
          <w:noProof/>
          <w:szCs w:val="24"/>
        </w:rPr>
        <w:t>B</w:t>
      </w:r>
      <w:r w:rsidR="00C14731">
        <w:rPr>
          <w:rFonts w:ascii="Calibri" w:hAnsi="Calibri" w:cs="Calibri"/>
          <w:noProof/>
          <w:szCs w:val="24"/>
        </w:rPr>
        <w:t xml:space="preserve">  </w:t>
      </w:r>
      <w:r w:rsidR="00FC6583" w:rsidRPr="00FC6583">
        <w:rPr>
          <w:rFonts w:ascii="Calibri" w:hAnsi="Calibri" w:cs="Calibri"/>
          <w:noProof/>
          <w:szCs w:val="24"/>
        </w:rPr>
        <w:t xml:space="preserve">eck, H. E. </w:t>
      </w:r>
      <w:r w:rsidR="00FC6583" w:rsidRPr="00FC6583">
        <w:rPr>
          <w:rFonts w:ascii="Calibri" w:hAnsi="Calibri" w:cs="Calibri"/>
          <w:i/>
          <w:iCs/>
          <w:noProof/>
          <w:szCs w:val="24"/>
        </w:rPr>
        <w:t>et al.</w:t>
      </w:r>
      <w:r w:rsidR="00FC6583" w:rsidRPr="00FC6583">
        <w:rPr>
          <w:rFonts w:ascii="Calibri" w:hAnsi="Calibri" w:cs="Calibri"/>
          <w:noProof/>
          <w:szCs w:val="24"/>
        </w:rPr>
        <w:t xml:space="preserve"> (2018) ‘Present and future Köppen-Geiger climate classification maps at 1-km resolution’, </w:t>
      </w:r>
      <w:r w:rsidR="00FC6583" w:rsidRPr="00FC6583">
        <w:rPr>
          <w:rFonts w:ascii="Calibri" w:hAnsi="Calibri" w:cs="Calibri"/>
          <w:i/>
          <w:iCs/>
          <w:noProof/>
          <w:szCs w:val="24"/>
        </w:rPr>
        <w:t>Scientific Data</w:t>
      </w:r>
      <w:r w:rsidR="00FC6583" w:rsidRPr="00FC6583">
        <w:rPr>
          <w:rFonts w:ascii="Calibri" w:hAnsi="Calibri" w:cs="Calibri"/>
          <w:noProof/>
          <w:szCs w:val="24"/>
        </w:rPr>
        <w:t>. MACMILLAN BUILDING, 4 CRINAN ST, LONDON N1 9XW, ENGLAND: NATURE PUBLISHING GROUP, 5(1), p. 180214. doi: 10.1038/sdata.2018.214.</w:t>
      </w:r>
    </w:p>
    <w:p w14:paraId="0F86A945" w14:textId="77777777" w:rsidR="00FC6583" w:rsidRPr="00FC6583" w:rsidRDefault="00FC6583" w:rsidP="00FC6583">
      <w:pPr>
        <w:widowControl w:val="0"/>
        <w:autoSpaceDE w:val="0"/>
        <w:autoSpaceDN w:val="0"/>
        <w:adjustRightInd w:val="0"/>
        <w:spacing w:line="240" w:lineRule="auto"/>
        <w:rPr>
          <w:rFonts w:ascii="Calibri" w:hAnsi="Calibri" w:cs="Calibri"/>
          <w:noProof/>
          <w:szCs w:val="24"/>
        </w:rPr>
      </w:pPr>
      <w:r w:rsidRPr="00FC6583">
        <w:rPr>
          <w:rFonts w:ascii="Calibri" w:hAnsi="Calibri" w:cs="Calibri"/>
          <w:noProof/>
          <w:szCs w:val="24"/>
        </w:rPr>
        <w:t xml:space="preserve">Büttner, G. </w:t>
      </w:r>
      <w:r w:rsidRPr="00FC6583">
        <w:rPr>
          <w:rFonts w:ascii="Calibri" w:hAnsi="Calibri" w:cs="Calibri"/>
          <w:i/>
          <w:iCs/>
          <w:noProof/>
          <w:szCs w:val="24"/>
        </w:rPr>
        <w:t>et al.</w:t>
      </w:r>
      <w:r w:rsidRPr="00FC6583">
        <w:rPr>
          <w:rFonts w:ascii="Calibri" w:hAnsi="Calibri" w:cs="Calibri"/>
          <w:noProof/>
          <w:szCs w:val="24"/>
        </w:rPr>
        <w:t xml:space="preserve"> (2017) ‘CLC2018 Technical Guidelines’, (3436), p. 60. Available at: https://land.copernicus.eu/user-corner/technical-library/clc2018technicalguidelines_final.pdf.</w:t>
      </w:r>
    </w:p>
    <w:p w14:paraId="3C186DAB" w14:textId="77777777" w:rsidR="00FC6583" w:rsidRPr="00FC6583" w:rsidRDefault="00FC6583" w:rsidP="00FC6583">
      <w:pPr>
        <w:widowControl w:val="0"/>
        <w:autoSpaceDE w:val="0"/>
        <w:autoSpaceDN w:val="0"/>
        <w:adjustRightInd w:val="0"/>
        <w:spacing w:line="240" w:lineRule="auto"/>
        <w:rPr>
          <w:rFonts w:ascii="Calibri" w:hAnsi="Calibri" w:cs="Calibri"/>
          <w:noProof/>
          <w:szCs w:val="24"/>
        </w:rPr>
      </w:pPr>
      <w:r w:rsidRPr="00FC6583">
        <w:rPr>
          <w:rFonts w:ascii="Calibri" w:hAnsi="Calibri" w:cs="Calibri"/>
          <w:noProof/>
          <w:szCs w:val="24"/>
        </w:rPr>
        <w:t xml:space="preserve">Cao, C. </w:t>
      </w:r>
      <w:r w:rsidRPr="00FC6583">
        <w:rPr>
          <w:rFonts w:ascii="Calibri" w:hAnsi="Calibri" w:cs="Calibri"/>
          <w:i/>
          <w:iCs/>
          <w:noProof/>
          <w:szCs w:val="24"/>
        </w:rPr>
        <w:t>et al.</w:t>
      </w:r>
      <w:r w:rsidRPr="00FC6583">
        <w:rPr>
          <w:rFonts w:ascii="Calibri" w:hAnsi="Calibri" w:cs="Calibri"/>
          <w:noProof/>
          <w:szCs w:val="24"/>
        </w:rPr>
        <w:t xml:space="preserve"> (2017) ‘NOAA Technical Report NESDIS 142 Visible Infrared Imaging Radiometer Suite (VIIRS) Sensor Data Record (SDR) User’s Guide Version 1.3’, </w:t>
      </w:r>
      <w:r w:rsidRPr="00FC6583">
        <w:rPr>
          <w:rFonts w:ascii="Calibri" w:hAnsi="Calibri" w:cs="Calibri"/>
          <w:i/>
          <w:iCs/>
          <w:noProof/>
          <w:szCs w:val="24"/>
        </w:rPr>
        <w:t>NOAA Technical Report NESDIS 142</w:t>
      </w:r>
      <w:r w:rsidRPr="00FC6583">
        <w:rPr>
          <w:rFonts w:ascii="Calibri" w:hAnsi="Calibri" w:cs="Calibri"/>
          <w:noProof/>
          <w:szCs w:val="24"/>
        </w:rPr>
        <w:t>, (March). Available at: https://ncc.nesdis.noaa.gov/documents/documentation/viirs-users-guide-tech-report-142a-v1.3.pdf.</w:t>
      </w:r>
    </w:p>
    <w:p w14:paraId="10341C68" w14:textId="77777777" w:rsidR="00FC6583" w:rsidRPr="00FC6583" w:rsidRDefault="00FC6583" w:rsidP="00FC6583">
      <w:pPr>
        <w:widowControl w:val="0"/>
        <w:autoSpaceDE w:val="0"/>
        <w:autoSpaceDN w:val="0"/>
        <w:adjustRightInd w:val="0"/>
        <w:spacing w:line="240" w:lineRule="auto"/>
        <w:rPr>
          <w:rFonts w:ascii="Calibri" w:hAnsi="Calibri" w:cs="Calibri"/>
          <w:noProof/>
          <w:szCs w:val="24"/>
        </w:rPr>
      </w:pPr>
      <w:r w:rsidRPr="00FC6583">
        <w:rPr>
          <w:rFonts w:ascii="Calibri" w:hAnsi="Calibri" w:cs="Calibri"/>
          <w:noProof/>
          <w:szCs w:val="24"/>
        </w:rPr>
        <w:t xml:space="preserve">Janssen-Jansen, L. (2016) ‘Taking national planning seriously: A challenged planning agenda in the Netherlands’, </w:t>
      </w:r>
      <w:r w:rsidRPr="00FC6583">
        <w:rPr>
          <w:rFonts w:ascii="Calibri" w:hAnsi="Calibri" w:cs="Calibri"/>
          <w:i/>
          <w:iCs/>
          <w:noProof/>
          <w:szCs w:val="24"/>
        </w:rPr>
        <w:t>Administration</w:t>
      </w:r>
      <w:r w:rsidRPr="00FC6583">
        <w:rPr>
          <w:rFonts w:ascii="Calibri" w:hAnsi="Calibri" w:cs="Calibri"/>
          <w:noProof/>
          <w:szCs w:val="24"/>
        </w:rPr>
        <w:t>, 64(3–4), pp. 23–43. doi: 10.1515/admin-2016-0023.</w:t>
      </w:r>
    </w:p>
    <w:p w14:paraId="3A3268BF" w14:textId="77777777" w:rsidR="00FC6583" w:rsidRPr="00FC6583" w:rsidRDefault="00FC6583" w:rsidP="00FC6583">
      <w:pPr>
        <w:widowControl w:val="0"/>
        <w:autoSpaceDE w:val="0"/>
        <w:autoSpaceDN w:val="0"/>
        <w:adjustRightInd w:val="0"/>
        <w:spacing w:line="240" w:lineRule="auto"/>
        <w:rPr>
          <w:rFonts w:ascii="Calibri" w:hAnsi="Calibri" w:cs="Calibri"/>
          <w:noProof/>
          <w:szCs w:val="24"/>
        </w:rPr>
      </w:pPr>
      <w:r w:rsidRPr="00FC6583">
        <w:rPr>
          <w:rFonts w:ascii="Calibri" w:hAnsi="Calibri" w:cs="Calibri"/>
          <w:noProof/>
          <w:szCs w:val="24"/>
        </w:rPr>
        <w:t xml:space="preserve">Kosztra, B. </w:t>
      </w:r>
      <w:r w:rsidRPr="00FC6583">
        <w:rPr>
          <w:rFonts w:ascii="Calibri" w:hAnsi="Calibri" w:cs="Calibri"/>
          <w:i/>
          <w:iCs/>
          <w:noProof/>
          <w:szCs w:val="24"/>
        </w:rPr>
        <w:t>et al.</w:t>
      </w:r>
      <w:r w:rsidRPr="00FC6583">
        <w:rPr>
          <w:rFonts w:ascii="Calibri" w:hAnsi="Calibri" w:cs="Calibri"/>
          <w:noProof/>
          <w:szCs w:val="24"/>
        </w:rPr>
        <w:t xml:space="preserve"> (2017) ‘Updated CLC illustrated nomenclature guidelines’, </w:t>
      </w:r>
      <w:r w:rsidRPr="00FC6583">
        <w:rPr>
          <w:rFonts w:ascii="Calibri" w:hAnsi="Calibri" w:cs="Calibri"/>
          <w:i/>
          <w:iCs/>
          <w:noProof/>
          <w:szCs w:val="24"/>
        </w:rPr>
        <w:t>European Environment Agency</w:t>
      </w:r>
      <w:r w:rsidRPr="00FC6583">
        <w:rPr>
          <w:rFonts w:ascii="Calibri" w:hAnsi="Calibri" w:cs="Calibri"/>
          <w:noProof/>
          <w:szCs w:val="24"/>
        </w:rPr>
        <w:t>, (3436), pp. 1–124. Available at: https://land.copernicus.eu/user-corner/technical-library/corine-land-cover-nomenclature-guidelines/docs/pdf/CLC2018_Nomenclature_illustrated_guide_20190510.pdf.</w:t>
      </w:r>
    </w:p>
    <w:p w14:paraId="3AE92C3F" w14:textId="77777777" w:rsidR="00FC6583" w:rsidRPr="00FC6583" w:rsidRDefault="00FC6583" w:rsidP="00FC6583">
      <w:pPr>
        <w:widowControl w:val="0"/>
        <w:autoSpaceDE w:val="0"/>
        <w:autoSpaceDN w:val="0"/>
        <w:adjustRightInd w:val="0"/>
        <w:spacing w:line="240" w:lineRule="auto"/>
        <w:rPr>
          <w:rFonts w:ascii="Calibri" w:hAnsi="Calibri" w:cs="Calibri"/>
          <w:noProof/>
          <w:szCs w:val="24"/>
        </w:rPr>
      </w:pPr>
      <w:r w:rsidRPr="00FC6583">
        <w:rPr>
          <w:rFonts w:ascii="Calibri" w:hAnsi="Calibri" w:cs="Calibri"/>
          <w:noProof/>
          <w:szCs w:val="24"/>
        </w:rPr>
        <w:t xml:space="preserve">De Mulder, E. F. J. (2019) ‘Landscapes’, in </w:t>
      </w:r>
      <w:r w:rsidRPr="00FC6583">
        <w:rPr>
          <w:rFonts w:ascii="Calibri" w:hAnsi="Calibri" w:cs="Calibri"/>
          <w:i/>
          <w:iCs/>
          <w:noProof/>
          <w:szCs w:val="24"/>
        </w:rPr>
        <w:t>The Netherlands and the Dutch: A Physical and Human Geography</w:t>
      </w:r>
      <w:r w:rsidRPr="00FC6583">
        <w:rPr>
          <w:rFonts w:ascii="Calibri" w:hAnsi="Calibri" w:cs="Calibri"/>
          <w:noProof/>
          <w:szCs w:val="24"/>
        </w:rPr>
        <w:t>. Cham: Springer International Publishing, pp. 35–58. doi: 10.1007/978-3-319-75073-6_3.</w:t>
      </w:r>
    </w:p>
    <w:p w14:paraId="1E5343F5" w14:textId="77777777" w:rsidR="00FC6583" w:rsidRPr="00FC6583" w:rsidRDefault="00FC6583" w:rsidP="00FC6583">
      <w:pPr>
        <w:widowControl w:val="0"/>
        <w:autoSpaceDE w:val="0"/>
        <w:autoSpaceDN w:val="0"/>
        <w:adjustRightInd w:val="0"/>
        <w:spacing w:line="240" w:lineRule="auto"/>
        <w:rPr>
          <w:rFonts w:ascii="Calibri" w:hAnsi="Calibri" w:cs="Calibri"/>
          <w:noProof/>
          <w:szCs w:val="24"/>
        </w:rPr>
      </w:pPr>
      <w:r w:rsidRPr="00FC6583">
        <w:rPr>
          <w:rFonts w:ascii="Calibri" w:hAnsi="Calibri" w:cs="Calibri"/>
          <w:noProof/>
          <w:szCs w:val="24"/>
        </w:rPr>
        <w:t xml:space="preserve">PDOK Beheer (2020) </w:t>
      </w:r>
      <w:r w:rsidRPr="00FC6583">
        <w:rPr>
          <w:rFonts w:ascii="Calibri" w:hAnsi="Calibri" w:cs="Calibri"/>
          <w:i/>
          <w:iCs/>
          <w:noProof/>
          <w:szCs w:val="24"/>
        </w:rPr>
        <w:t>Dataset: Administratieve Eenheden (INSPIRE geharmoniseerd)</w:t>
      </w:r>
      <w:r w:rsidRPr="00FC6583">
        <w:rPr>
          <w:rFonts w:ascii="Calibri" w:hAnsi="Calibri" w:cs="Calibri"/>
          <w:noProof/>
          <w:szCs w:val="24"/>
        </w:rPr>
        <w:t>. Available at: https://www.pdok.nl/geo-services/-/article/administratieve-eenheden-inspire-geharmoniseerd- (Accessed: 1 May 2020).</w:t>
      </w:r>
    </w:p>
    <w:p w14:paraId="7B62C406" w14:textId="77777777" w:rsidR="00FC6583" w:rsidRPr="00FC6583" w:rsidRDefault="00FC6583" w:rsidP="00FC6583">
      <w:pPr>
        <w:widowControl w:val="0"/>
        <w:autoSpaceDE w:val="0"/>
        <w:autoSpaceDN w:val="0"/>
        <w:adjustRightInd w:val="0"/>
        <w:spacing w:line="240" w:lineRule="auto"/>
        <w:rPr>
          <w:rFonts w:ascii="Calibri" w:hAnsi="Calibri" w:cs="Calibri"/>
          <w:noProof/>
        </w:rPr>
      </w:pPr>
      <w:r w:rsidRPr="00FC6583">
        <w:rPr>
          <w:rFonts w:ascii="Calibri" w:hAnsi="Calibri" w:cs="Calibri"/>
          <w:noProof/>
          <w:szCs w:val="24"/>
        </w:rPr>
        <w:t xml:space="preserve">Schroeder, W. </w:t>
      </w:r>
      <w:r w:rsidRPr="00FC6583">
        <w:rPr>
          <w:rFonts w:ascii="Calibri" w:hAnsi="Calibri" w:cs="Calibri"/>
          <w:i/>
          <w:iCs/>
          <w:noProof/>
          <w:szCs w:val="24"/>
        </w:rPr>
        <w:t>et al.</w:t>
      </w:r>
      <w:r w:rsidRPr="00FC6583">
        <w:rPr>
          <w:rFonts w:ascii="Calibri" w:hAnsi="Calibri" w:cs="Calibri"/>
          <w:noProof/>
          <w:szCs w:val="24"/>
        </w:rPr>
        <w:t xml:space="preserve"> (2014) ‘The New VIIRS 375 m active fire detection data product: Algorithm description and initial assessment’, </w:t>
      </w:r>
      <w:r w:rsidRPr="00FC6583">
        <w:rPr>
          <w:rFonts w:ascii="Calibri" w:hAnsi="Calibri" w:cs="Calibri"/>
          <w:i/>
          <w:iCs/>
          <w:noProof/>
          <w:szCs w:val="24"/>
        </w:rPr>
        <w:t>REMOTE SENSING OF ENVIRONMENT</w:t>
      </w:r>
      <w:r w:rsidRPr="00FC6583">
        <w:rPr>
          <w:rFonts w:ascii="Calibri" w:hAnsi="Calibri" w:cs="Calibri"/>
          <w:noProof/>
          <w:szCs w:val="24"/>
        </w:rPr>
        <w:t>. 360 PARK AVE SOUTH, NEW YORK, NY 10010-1710 USA: ELSEVIER SCIENCE INC, 143, pp. 85–96. doi: 10.1016/j.rse.2013.12.008.</w:t>
      </w:r>
    </w:p>
    <w:p w14:paraId="74DEEF6E" w14:textId="79236BCB" w:rsidR="00A041A8" w:rsidRDefault="00A041A8" w:rsidP="00A041A8">
      <w:pPr>
        <w:widowControl w:val="0"/>
        <w:autoSpaceDE w:val="0"/>
        <w:autoSpaceDN w:val="0"/>
        <w:adjustRightInd w:val="0"/>
        <w:spacing w:line="240" w:lineRule="auto"/>
      </w:pPr>
      <w:r>
        <w:fldChar w:fldCharType="end"/>
      </w:r>
      <w:r>
        <w:t xml:space="preserve"> </w:t>
      </w:r>
    </w:p>
    <w:p w14:paraId="2596D668" w14:textId="3704E58F" w:rsidR="00F20521" w:rsidRDefault="00F20521"/>
    <w:sectPr w:rsidR="00F20521" w:rsidSect="00324C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A6A"/>
    <w:rsid w:val="00011F44"/>
    <w:rsid w:val="00094039"/>
    <w:rsid w:val="000A1DDB"/>
    <w:rsid w:val="000B649A"/>
    <w:rsid w:val="000C6132"/>
    <w:rsid w:val="000E1666"/>
    <w:rsid w:val="000F7794"/>
    <w:rsid w:val="001072E8"/>
    <w:rsid w:val="0012764B"/>
    <w:rsid w:val="00136EFC"/>
    <w:rsid w:val="0016011A"/>
    <w:rsid w:val="001652C9"/>
    <w:rsid w:val="001818D6"/>
    <w:rsid w:val="00182CD1"/>
    <w:rsid w:val="001A2D64"/>
    <w:rsid w:val="001A337C"/>
    <w:rsid w:val="001B65BE"/>
    <w:rsid w:val="001D1138"/>
    <w:rsid w:val="001E3D81"/>
    <w:rsid w:val="001E4438"/>
    <w:rsid w:val="001E6979"/>
    <w:rsid w:val="0020189F"/>
    <w:rsid w:val="00206A6C"/>
    <w:rsid w:val="002260E6"/>
    <w:rsid w:val="0023631E"/>
    <w:rsid w:val="002540B7"/>
    <w:rsid w:val="00255782"/>
    <w:rsid w:val="002626AA"/>
    <w:rsid w:val="002913E6"/>
    <w:rsid w:val="002954F8"/>
    <w:rsid w:val="002C2478"/>
    <w:rsid w:val="002D4EE5"/>
    <w:rsid w:val="002E0878"/>
    <w:rsid w:val="00324C8C"/>
    <w:rsid w:val="00340C52"/>
    <w:rsid w:val="00340F88"/>
    <w:rsid w:val="00344C85"/>
    <w:rsid w:val="00346482"/>
    <w:rsid w:val="00393C64"/>
    <w:rsid w:val="003B0EB4"/>
    <w:rsid w:val="003B374A"/>
    <w:rsid w:val="003D4954"/>
    <w:rsid w:val="00462F2D"/>
    <w:rsid w:val="0046469E"/>
    <w:rsid w:val="00470CD2"/>
    <w:rsid w:val="00481D5B"/>
    <w:rsid w:val="00482C62"/>
    <w:rsid w:val="004E5C29"/>
    <w:rsid w:val="005033B5"/>
    <w:rsid w:val="00525195"/>
    <w:rsid w:val="00526F13"/>
    <w:rsid w:val="00533F03"/>
    <w:rsid w:val="005479CD"/>
    <w:rsid w:val="005551D7"/>
    <w:rsid w:val="005565D4"/>
    <w:rsid w:val="005811F2"/>
    <w:rsid w:val="005F76C0"/>
    <w:rsid w:val="006139CD"/>
    <w:rsid w:val="00615B52"/>
    <w:rsid w:val="006431BB"/>
    <w:rsid w:val="006625D9"/>
    <w:rsid w:val="00664DA7"/>
    <w:rsid w:val="00674118"/>
    <w:rsid w:val="00676D2A"/>
    <w:rsid w:val="006908B2"/>
    <w:rsid w:val="006A2317"/>
    <w:rsid w:val="006A64B5"/>
    <w:rsid w:val="006D77FC"/>
    <w:rsid w:val="00721779"/>
    <w:rsid w:val="00743872"/>
    <w:rsid w:val="00773EC0"/>
    <w:rsid w:val="007B2FC0"/>
    <w:rsid w:val="007D0C7C"/>
    <w:rsid w:val="00812B5C"/>
    <w:rsid w:val="00834B31"/>
    <w:rsid w:val="00841C38"/>
    <w:rsid w:val="00843301"/>
    <w:rsid w:val="008924F7"/>
    <w:rsid w:val="008D36D8"/>
    <w:rsid w:val="008E5516"/>
    <w:rsid w:val="00901568"/>
    <w:rsid w:val="00906EE3"/>
    <w:rsid w:val="009141F1"/>
    <w:rsid w:val="0093059E"/>
    <w:rsid w:val="00973F92"/>
    <w:rsid w:val="00993A4C"/>
    <w:rsid w:val="00993A6A"/>
    <w:rsid w:val="009A7330"/>
    <w:rsid w:val="009B400E"/>
    <w:rsid w:val="009B51FC"/>
    <w:rsid w:val="009C33F5"/>
    <w:rsid w:val="009E072F"/>
    <w:rsid w:val="00A041A8"/>
    <w:rsid w:val="00A0454A"/>
    <w:rsid w:val="00A053D1"/>
    <w:rsid w:val="00A20809"/>
    <w:rsid w:val="00A40ABC"/>
    <w:rsid w:val="00A45B3A"/>
    <w:rsid w:val="00A62C66"/>
    <w:rsid w:val="00A716EA"/>
    <w:rsid w:val="00A94508"/>
    <w:rsid w:val="00A95F07"/>
    <w:rsid w:val="00AC164B"/>
    <w:rsid w:val="00AD78C4"/>
    <w:rsid w:val="00B170EC"/>
    <w:rsid w:val="00B21465"/>
    <w:rsid w:val="00B55007"/>
    <w:rsid w:val="00B638B2"/>
    <w:rsid w:val="00B730D5"/>
    <w:rsid w:val="00BA2104"/>
    <w:rsid w:val="00BB72FD"/>
    <w:rsid w:val="00BD21A3"/>
    <w:rsid w:val="00BD663B"/>
    <w:rsid w:val="00BF16FE"/>
    <w:rsid w:val="00C04683"/>
    <w:rsid w:val="00C14731"/>
    <w:rsid w:val="00C51AC9"/>
    <w:rsid w:val="00C75D0C"/>
    <w:rsid w:val="00C76E81"/>
    <w:rsid w:val="00C82DEC"/>
    <w:rsid w:val="00CC442A"/>
    <w:rsid w:val="00CF276C"/>
    <w:rsid w:val="00CF2D4A"/>
    <w:rsid w:val="00D225B1"/>
    <w:rsid w:val="00D3493F"/>
    <w:rsid w:val="00D4216F"/>
    <w:rsid w:val="00D62081"/>
    <w:rsid w:val="00D62382"/>
    <w:rsid w:val="00D83E2C"/>
    <w:rsid w:val="00DE630F"/>
    <w:rsid w:val="00E32C4E"/>
    <w:rsid w:val="00E37485"/>
    <w:rsid w:val="00E60887"/>
    <w:rsid w:val="00E63180"/>
    <w:rsid w:val="00EB021D"/>
    <w:rsid w:val="00EC60C2"/>
    <w:rsid w:val="00EC6DAE"/>
    <w:rsid w:val="00F20521"/>
    <w:rsid w:val="00F23E76"/>
    <w:rsid w:val="00F2729C"/>
    <w:rsid w:val="00F617AC"/>
    <w:rsid w:val="00F640FD"/>
    <w:rsid w:val="00F74739"/>
    <w:rsid w:val="00F919CA"/>
    <w:rsid w:val="00FA4D36"/>
    <w:rsid w:val="00FB0D19"/>
    <w:rsid w:val="00FB0D8B"/>
    <w:rsid w:val="00FC6583"/>
    <w:rsid w:val="00FD1EF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C0F9B"/>
  <w15:chartTrackingRefBased/>
  <w15:docId w15:val="{CA1244B9-B727-415E-AF34-F4FEFA9A0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A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A6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74118"/>
    <w:rPr>
      <w:color w:val="0563C1" w:themeColor="hyperlink"/>
      <w:u w:val="single"/>
    </w:rPr>
  </w:style>
  <w:style w:type="character" w:styleId="UnresolvedMention">
    <w:name w:val="Unresolved Mention"/>
    <w:basedOn w:val="DefaultParagraphFont"/>
    <w:uiPriority w:val="99"/>
    <w:semiHidden/>
    <w:unhideWhenUsed/>
    <w:rsid w:val="00674118"/>
    <w:rPr>
      <w:color w:val="605E5C"/>
      <w:shd w:val="clear" w:color="auto" w:fill="E1DFDD"/>
    </w:rPr>
  </w:style>
  <w:style w:type="paragraph" w:styleId="Caption">
    <w:name w:val="caption"/>
    <w:basedOn w:val="Normal"/>
    <w:next w:val="Normal"/>
    <w:uiPriority w:val="35"/>
    <w:unhideWhenUsed/>
    <w:qFormat/>
    <w:rsid w:val="00FD1EF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land.copernicus.eu/pan-european/corine-land-cover/clc2018?tab=download" TargetMode="External"/><Relationship Id="rId5" Type="http://schemas.openxmlformats.org/officeDocument/2006/relationships/hyperlink" Target="ftp://fuoco.geog.umd.edu/VIIRS/VNP14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C0194-BBC2-4B29-9D85-DFCAA0763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18671</TotalTime>
  <Pages>6</Pages>
  <Words>3446</Words>
  <Characters>19646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 C.</dc:creator>
  <cp:keywords/>
  <dc:description/>
  <cp:lastModifiedBy>Mol, C.</cp:lastModifiedBy>
  <cp:revision>120</cp:revision>
  <dcterms:created xsi:type="dcterms:W3CDTF">2020-05-03T15:52:00Z</dcterms:created>
  <dcterms:modified xsi:type="dcterms:W3CDTF">2020-09-08T21:33:00Z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71f6c68b-fa34-36d2-aff0-7ef8db5d4baf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