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밸류체인 교사 라벨 — CPA 검수 (VAL)</w:t>
      </w:r>
    </w:p>
    <w:p>
      <w:r>
        <w:rPr>
          <w:b/>
        </w:rPr>
        <w:t xml:space="preserve">검수 대상: </w:t>
      </w:r>
      <w:r>
        <w:t>교사(Claude)가 같은 원문을 2회 독립 추출한 결과가 어긋난 17건입니다. 나머지는 2회 일치로 자동 확정됐습니다(val 383/400, test 481/500).</w:t>
        <w:br/>
      </w:r>
      <w:r>
        <w:rPr>
          <w:b/>
        </w:rPr>
        <w:t xml:space="preserve">판정 방법: </w:t>
      </w:r>
      <w:r>
        <w:t>각 건의 원문을 보고 ① 1회차 채택 ② 2회차 채택 ③ 둘 다 아님(직접 수정) 중 하나를 판정란에 적어 주세요. 관계가 아예 없으면 '관계 없음'으로 적으면 됩니다.</w:t>
      </w:r>
    </w:p>
    <w:p>
      <w:r>
        <w:t>용어: 고객사=앵커가 파는 상대 / 공급처=앵커가 사는 상대 / 현재·과거·예정=거래의 현재성</w:t>
      </w:r>
    </w:p>
    <w:p>
      <w:r>
        <w:br w:type="page"/>
      </w:r>
    </w:p>
    <w:p>
      <w:pPr>
        <w:pStyle w:val="Heading1"/>
      </w:pPr>
      <w:r>
        <w:rPr>
          <w:color w:val="1F4E79"/>
        </w:rPr>
        <w:t>1. 에프알텍</w:t>
      </w:r>
    </w:p>
    <w:p>
      <w:r>
        <w:rPr>
          <w:b/>
        </w:rPr>
        <w:t xml:space="preserve">섹터 </w:t>
      </w:r>
      <w:r>
        <w:t xml:space="preserve">semi  </w:t>
      </w:r>
      <w:r>
        <w:rPr>
          <w:b/>
        </w:rPr>
        <w:t xml:space="preserve">시장 </w:t>
      </w:r>
      <w:r>
        <w:t xml:space="preserve">KOSDAQ  </w:t>
      </w:r>
      <w:r>
        <w:rPr>
          <w:b/>
        </w:rPr>
        <w:t xml:space="preserve">공시 </w:t>
      </w:r>
      <w:r>
        <w:rPr>
          <w:sz w:val="18"/>
        </w:rPr>
        <w:t>20230323001130</w:t>
      </w:r>
    </w:p>
    <w:p>
      <w:r>
        <w:rPr>
          <w:b/>
        </w:rPr>
        <w:t>■ 원문 (근거 부분 발췌)</w:t>
      </w:r>
    </w:p>
    <w:p>
      <w:pPr>
        <w:ind w:left="280"/>
      </w:pPr>
      <w:r>
        <w:rPr>
          <w:sz w:val="19"/>
        </w:rPr>
        <w:t>연구개발 실적</w:t>
        <w:br/>
        <w:t>| 연도 | 연구과제 | 결과 |</w:t>
        <w:br/>
        <w:t>| 2018 | LED 시스템조명2.0 | 개발 완료 및 매출 |</w:t>
        <w:br/>
        <w:t>| NOKIA PSMA | 개발 완료 및 매출 |</w:t>
        <w:br/>
        <w:t>| 역률 보상회로 중계기 시스템 | 개발 완료 |</w:t>
        <w:br/>
        <w:t>| 수출용 28GHz 5G 무선광 분산 중계기 | 개발 완료 및 매출 |</w:t>
        <w:br/>
        <w:t>| 수출용 Munti-Band 인빌딩 광 중계기 | 개발 완료 |</w:t>
        <w:br/>
        <w:t>| 기가코리아사업(5G RF 중계기용 동기 모듈 및 RF 중계기) 개발 | 개발 완료 |</w:t>
        <w:br/>
        <w:t>| 기가코리아사업 (Indoor DAS) 3차년도 28GHz 5G-DAS 개발 | 개발 완료 |</w:t>
        <w:br/>
        <w:t>| 2019 | 기가코리아사업 (Indoor DAS) 4차년도 28GHz 5G-DAS 개발 | 개발 완료 |</w:t>
        <w:br/>
        <w:t>| 3.5GHz 5G 고출력 광중계기 개발 | 개발 완료 및 매출 |</w:t>
        <w:br/>
        <w:t>| 3.5GHz 5G 소출력 광중계기 개발 | 개발 완료 및 매출 |</w:t>
        <w:br/>
        <w:t>| 재난방송 수신설비 | 개발 완료 및 매출 |</w:t>
        <w:br/>
        <w:t>| 3.5GHz 5G RF중계기 개발 | 개발 완료 |</w:t>
        <w:br/>
        <w:t>| 수출용 28GHz 5G IF 분산 중계기 | 개발 완료 |</w:t>
        <w:br/>
        <w:t>| 소비자 체감형 요금제 연동형 OCF 기반 서브미터링 기술 및 개발 | 개발중 |</w:t>
        <w:br/>
        <w:t>| 기지국 분산 유닛(DU) 1차년도 개발 | 개발 완료 |</w:t>
        <w:br/>
        <w:t>| 2020 | 기지국 분산 유닛(DU) 2차년도 개발 | 개발 완료 |</w:t>
        <w:br/>
        <w:t>| KELIS 소출력 SROU | 개발 완료 및 매출 |</w:t>
        <w:br/>
        <w:t>| PrimAer 28 개발(미국향) | 개발 완료 및 매출 |</w:t>
        <w:br/>
        <w:t>| 수출용 39GHz 5G 무선광 분산 중계기 | 개발 완료 및 매출 |</w:t>
        <w:br/>
        <w:t>| 28GHz 일체형 중계기 개발 | 개발 완료 |</w:t>
        <w:br/>
        <w:t>| 2021 | 3.5GHz ORAN RU 2차년도 개발 | 개발 완료 |</w:t>
        <w:br/>
        <w:t>| 28GHz ORAN RU 3차년도 개발 | 개발 완료 |</w:t>
        <w:br/>
        <w:t>| PrimAer 28 개발(LGU+향) | 개발 완료 및 매출 |</w:t>
        <w:br/>
        <w:t>| PrimAer 28 개발(SKT향) | 개발 완료 |</w:t>
        <w:br/>
        <w:t>| PrimAer 28 개발(KT향) | 개발 완료 |</w:t>
        <w:br/>
        <w:t>| PrimAer 39 개발(미국향) | 개발 완료 |</w:t>
        <w:br/>
        <w:t>| 3.5G 3사 통합 RF 중계기 1차년도 개발 | 개발 완료 |</w:t>
        <w:br/>
        <w:t>| DB(1.8G&amp;3.5G) RF 소형 중계기개발 | 개발 완료 |</w:t>
        <w:br/>
        <w:t>| 수출용 5G 인빌딩…</w:t>
      </w:r>
    </w:p>
    <w:p>
      <w:r>
        <w:rPr>
          <w:b/>
        </w:rPr>
        <w:t>■ 1회차 vs 2회차</w:t>
      </w:r>
    </w:p>
    <w:tbl>
      <w:tblPr>
        <w:tblStyle w:val="TableGrid"/>
        <w:tblW w:type="auto" w:w="0"/>
        <w:tblLook w:firstColumn="1" w:firstRow="1" w:lastColumn="0" w:lastRow="0" w:noHBand="0" w:noVBand="1" w:val="04A0"/>
      </w:tblPr>
      <w:tblGrid>
        <w:gridCol w:w="4320"/>
        <w:gridCol w:w="4320"/>
      </w:tblGrid>
      <w:tr>
        <w:tc>
          <w:tcPr>
            <w:tcW w:type="dxa" w:w="4320"/>
          </w:tcPr>
          <w:p>
            <w:r>
              <w:rPr>
                <w:b/>
              </w:rPr>
              <w:t>1회차 추출</w:t>
            </w:r>
          </w:p>
        </w:tc>
        <w:tc>
          <w:tcPr>
            <w:tcW w:type="dxa" w:w="4320"/>
          </w:tcPr>
          <w:p>
            <w:r>
              <w:rPr>
                <w:b/>
              </w:rPr>
              <w:t>2회차 추출</w:t>
            </w:r>
          </w:p>
        </w:tc>
      </w:tr>
      <w:tr>
        <w:tc>
          <w:tcPr>
            <w:tcW w:type="dxa" w:w="4320"/>
          </w:tcPr>
          <w:p>
            <w:r>
              <w:rPr>
                <w:b/>
              </w:rPr>
              <w:t>• NOKIA — 고객사(앵커가 판매) · 과거</w:t>
            </w:r>
          </w:p>
          <w:p>
            <w:r>
              <w:rPr>
                <w:color w:val="606060"/>
                <w:sz w:val="17"/>
              </w:rPr>
              <w:t xml:space="preserve">  근거: | NOKIA PSMA | 개발 완료 및 매출 |</w:t>
            </w:r>
          </w:p>
          <w:p>
            <w:r>
              <w:rPr>
                <w:b/>
              </w:rPr>
              <w:t>• LGU+ — 고객사(앵커가 판매) · 현재</w:t>
            </w:r>
          </w:p>
          <w:p>
            <w:r>
              <w:rPr>
                <w:color w:val="606060"/>
                <w:sz w:val="17"/>
              </w:rPr>
              <w:t xml:space="preserve">  근거: | PrimAer 28 개발(LGU+향) | 개발 완료 및 매출 |</w:t>
            </w:r>
          </w:p>
          <w:p>
            <w:r>
              <w:rPr>
                <w:b/>
              </w:rPr>
              <w:t>• SKT — 고객사(앵커가 판매) · 예정</w:t>
            </w:r>
          </w:p>
          <w:p>
            <w:r>
              <w:rPr>
                <w:color w:val="606060"/>
                <w:sz w:val="17"/>
              </w:rPr>
              <w:t xml:space="preserve">  근거: | PrimAer 28 개발(SKT향) | 개발 완료 |</w:t>
            </w:r>
          </w:p>
          <w:p>
            <w:r>
              <w:rPr>
                <w:b/>
              </w:rPr>
              <w:t>• KT — 고객사(앵커가 판매) · 예정</w:t>
            </w:r>
          </w:p>
          <w:p>
            <w:r>
              <w:rPr>
                <w:color w:val="606060"/>
                <w:sz w:val="17"/>
              </w:rPr>
              <w:t xml:space="preserve">  근거: | PrimAer 28 개발(KT향) | 개발 완료 |</w:t>
            </w:r>
          </w:p>
        </w:tc>
        <w:tc>
          <w:tcPr>
            <w:tcW w:type="dxa" w:w="4320"/>
          </w:tcPr>
          <w:p>
            <w:r>
              <w:rPr>
                <w:b/>
              </w:rPr>
              <w:t>• NOKIA — 고객사(앵커가 판매) · 현재</w:t>
            </w:r>
          </w:p>
          <w:p>
            <w:r>
              <w:rPr>
                <w:color w:val="606060"/>
                <w:sz w:val="17"/>
              </w:rPr>
              <w:t xml:space="preserve">  근거: | NOKIA PSMA | 개발 완료 및 매출 |</w:t>
            </w:r>
          </w:p>
          <w:p>
            <w:r>
              <w:rPr>
                <w:b/>
              </w:rPr>
              <w:t>• LGU+ — 고객사(앵커가 판매) · 현재</w:t>
            </w:r>
          </w:p>
          <w:p>
            <w:r>
              <w:rPr>
                <w:color w:val="606060"/>
                <w:sz w:val="17"/>
              </w:rPr>
              <w:t xml:space="preserve">  근거: | PrimAer 28 개발(LGU+향) | 개발 완료 및 매출 |</w:t>
            </w:r>
          </w:p>
          <w:p>
            <w:r>
              <w:rPr>
                <w:b/>
              </w:rPr>
              <w:t>• SKT — 고객사(앵커가 판매) · 현재</w:t>
            </w:r>
          </w:p>
          <w:p>
            <w:r>
              <w:rPr>
                <w:color w:val="606060"/>
                <w:sz w:val="17"/>
              </w:rPr>
              <w:t xml:space="preserve">  근거: | PrimAer 28 개발(SKT향) | 개발 완료 |</w:t>
            </w:r>
          </w:p>
          <w:p>
            <w:r>
              <w:rPr>
                <w:b/>
              </w:rPr>
              <w:t>• KT — 고객사(앵커가 판매) · 현재</w:t>
            </w:r>
          </w:p>
          <w:p>
            <w:r>
              <w:rPr>
                <w:color w:val="606060"/>
                <w:sz w:val="17"/>
              </w:rPr>
              <w:t xml:space="preserve">  근거: | PrimAer 28 개발(KT향) | 개발 완료 |</w:t>
            </w:r>
          </w:p>
        </w:tc>
      </w:tr>
    </w:tbl>
    <w:p>
      <w:r>
        <w:rPr>
          <w:b/>
        </w:rPr>
        <w:t xml:space="preserve">차이: </w:t>
      </w:r>
      <w:r>
        <w:rPr>
          <w:sz w:val="18"/>
        </w:rPr>
        <w:t>1회차만 [kt|customer|planned, nokia|customer|past, skt|customer|planned]  /  2회차만 [kt|customer|active, nokia|customer|active, skt|customer|active]</w:t>
      </w:r>
    </w:p>
    <w:p>
      <w:r>
        <w:rPr>
          <w:b/>
        </w:rPr>
        <w:t xml:space="preserve">판정: </w:t>
      </w:r>
      <w:r>
        <w:t>□ 1회차   □ 2회차   □ 둘 다 아님 → ______________________________</w:t>
      </w:r>
    </w:p>
    <w:p>
      <w:r>
        <w:rPr>
          <w:color w:val="C0C0C0"/>
        </w:rPr>
        <w:t>______________________________________________________________________________</w:t>
      </w:r>
    </w:p>
    <w:p>
      <w:pPr>
        <w:pStyle w:val="Heading1"/>
      </w:pPr>
      <w:r>
        <w:rPr>
          <w:color w:val="1F4E79"/>
        </w:rPr>
        <w:t>2. 삼기에너지솔루션즈</w:t>
      </w:r>
    </w:p>
    <w:p>
      <w:r>
        <w:rPr>
          <w:b/>
        </w:rPr>
        <w:t xml:space="preserve">섹터 </w:t>
      </w:r>
      <w:r>
        <w:t xml:space="preserve">auto  </w:t>
      </w:r>
      <w:r>
        <w:rPr>
          <w:b/>
        </w:rPr>
        <w:t xml:space="preserve">시장 </w:t>
      </w:r>
      <w:r>
        <w:t xml:space="preserve">KOSDAQ  </w:t>
      </w:r>
      <w:r>
        <w:rPr>
          <w:b/>
        </w:rPr>
        <w:t xml:space="preserve">공시 </w:t>
      </w:r>
      <w:r>
        <w:rPr>
          <w:sz w:val="18"/>
        </w:rPr>
        <w:t>20230320000830</w:t>
      </w:r>
    </w:p>
    <w:p>
      <w:r>
        <w:rPr>
          <w:b/>
        </w:rPr>
        <w:t>■ 원문 (근거 부분 발췌)</w:t>
      </w:r>
    </w:p>
    <w:p>
      <w:pPr>
        <w:ind w:left="280"/>
      </w:pPr>
      <w:r>
        <w:rPr>
          <w:sz w:val="19"/>
        </w:rPr>
        <w:t>| 매출유형 | 기종 | 구분 | 판매경로 | 2022년매출액(비중) |</w:t>
        <w:br/>
        <w:t>| 제품판매 | End-plate | 수출 | 삼기이브이 → 스타리온, 나라엠텍, ST Automotive (폴란드 법인)→ LG에너지솔루션L(폴란드 법인) | 81,947,820(76.6%) |</w:t>
        <w:br/>
        <w:t>| 삼기이브이 → LG에너지솔루션L(폴란드 법인) |</w:t>
        <w:br/>
        <w:t>| Gate(부산물) | 국내 | 삼기이브이 → 삼기 | 25,081,708(23.4%) |</w:t>
        <w:br/>
        <w:br/>
        <w:t>매출</w:t>
        <w:br/>
        <w:t>유형</w:t>
        <w:br/>
        <w:t>기종</w:t>
        <w:br/>
        <w:t>구분</w:t>
        <w:br/>
        <w:t>판매경로</w:t>
        <w:br/>
        <w:t>2022년매출액(비중)</w:t>
        <w:br/>
        <w:t>제품</w:t>
        <w:br/>
        <w:t>판매</w:t>
        <w:br/>
        <w:t>삼기이브이 → 스타리온, 나라엠텍, ST Automotive (폴란드 법인)</w:t>
        <w:br/>
        <w:t>→ LG에너지솔루션L(폴란드 법인)</w:t>
        <w:br/>
        <w:t>삼기이브이 → LG에너지솔루션L(폴란드 법인)</w:t>
        <w:br/>
        <w:t>(3) 판매 전략</w:t>
        <w:br/>
        <w:t>당사 역시 신규 배터리 제조사의 기가팩토리 해외 동시 진출 및 성장을 도모 중입니다. 당사가 보유하고 있는 기술을 바탕으로 고객의 요구사항과 어려움에 대해서 어떠한 제품을 만들어 줄 수 있는지에 대해서 고객의 기술 부문과 협의를 하고 그에 맞는 적정 가격을 산출하여 협상하는 방식으로 영업이 진행됩니다.</w:t>
        <w:br/>
        <w:t>전기차용 배터리는 부품업체 → 배터리 업체 → OEM의 Supply Chain으로 구성됩니다. 배터리 업체가 OEM으로부터 수주를 받기 위해서 개발 컨셉 단계에서부터 부품업체와 협력하여 경쟁력 있는 모듈/팩 시스템 설계가 필요합니다. 따라서 영업조직은 단순한 견적입찰이 아닌 고객사 개발/구매팀과의 접점에서 전기차 배터리 기술 트렌드 조사, 수주 이전 목표 사양 및 기술협의, 최적 원가 분석, 신규 고객사 발굴 등Technical 마케팅 기능 및 역할로써 수행하고 있습니다. 증권신고서 제출일 현재 13명의 인원이 연구소의 R&amp;D 인력과 협업하여 업무를 진행하고 있으며, 잠재 고객사 발굴을 위해 인력을 보강하여 강화할 예정입니다.</w:t>
        <w:br/>
        <w:t>이차전지 부품은 내연기관차 부품과는 다르게 높은 기술력과 품질을 요구하는 제품들로써, 가격경쟁력보다는 제품의 품질 및 신뢰성, 안전성 등이 강조되고 있습니다. 당사가 보유하고 있는 기술을 바탕으로 고객의 다양한 제품 및 공정상의 요구사항에 대해서 고객사의 기술 및 생산부문과 적극적인 협의 및 기술지원(용역)을 하고 그에 맞는 제품개발 및 제품 단가를 산출하여 고객사와 협상하는 방식으로 영업이 진행됩니다. 특정 고객의 생산 물량이나 지역 등과 관계없이, 개발 전에 당사에서 보유하고 있는 기술력에 대해서 고객사와의 논의 및 협상할 수 있는 기술영업 조직과 기능이 중요합니다.</w:t>
        <w:br/>
        <w:t>당사는 주요고객사의 개발/품질/생산/구매 등의 전 부서와 실시간 대응을 통해 밀접한 협업이 진행되고 있으며, 상호 신뢰를 바탕으로 비즈니스가 이루어지고 있습니다.당사는 기존 내연기관 부품과는 다르게 설계부터 제조까지 업무영역 및 역량이 확대되어 있으며, 고진공 기술데이터를 바탕으로 시장을 개척하여 나아가고 있습니다.</w:t>
        <w:br/>
        <w:t>다. 주요 매출처 현황</w:t>
        <w:br/>
        <w:t>당사의 매출구조는 LG에너지솔루션에 납품하는 End-plate 제품매출과 End-plate 생산 후 생성되는 부산물인 Gate 매출이 있습니다.</w:t>
      </w:r>
    </w:p>
    <w:p>
      <w:r>
        <w:rPr>
          <w:b/>
        </w:rPr>
        <w:t>■ 1회차 vs 2회차</w:t>
      </w:r>
    </w:p>
    <w:tbl>
      <w:tblPr>
        <w:tblStyle w:val="TableGrid"/>
        <w:tblW w:type="auto" w:w="0"/>
        <w:tblLook w:firstColumn="1" w:firstRow="1" w:lastColumn="0" w:lastRow="0" w:noHBand="0" w:noVBand="1" w:val="04A0"/>
      </w:tblPr>
      <w:tblGrid>
        <w:gridCol w:w="4320"/>
        <w:gridCol w:w="4320"/>
      </w:tblGrid>
      <w:tr>
        <w:tc>
          <w:tcPr>
            <w:tcW w:type="dxa" w:w="4320"/>
          </w:tcPr>
          <w:p>
            <w:r>
              <w:rPr>
                <w:b/>
              </w:rPr>
              <w:t>1회차 추출</w:t>
            </w:r>
          </w:p>
        </w:tc>
        <w:tc>
          <w:tcPr>
            <w:tcW w:type="dxa" w:w="4320"/>
          </w:tcPr>
          <w:p>
            <w:r>
              <w:rPr>
                <w:b/>
              </w:rPr>
              <w:t>2회차 추출</w:t>
            </w:r>
          </w:p>
        </w:tc>
      </w:tr>
      <w:tr>
        <w:tc>
          <w:tcPr>
            <w:tcW w:type="dxa" w:w="4320"/>
          </w:tcPr>
          <w:p>
            <w:r>
              <w:rPr>
                <w:b/>
              </w:rPr>
              <w:t>• 스타리온 — 고객사(앵커가 판매) · 현재</w:t>
            </w:r>
          </w:p>
          <w:p>
            <w:r>
              <w:rPr>
                <w:color w:val="606060"/>
                <w:sz w:val="17"/>
              </w:rPr>
              <w:t xml:space="preserve">  근거: | 제품판매 | End-plate | 수출 | 삼기이브이 → 스타리온, 나라엠텍, ST Automotive (폴란드 법인)→ LG에너지솔루션L(폴란드 법인) | 81,947,820(76.6%) |</w:t>
            </w:r>
          </w:p>
          <w:p>
            <w:r>
              <w:rPr>
                <w:b/>
              </w:rPr>
              <w:t>• 나라엠텍 — 고객사(앵커가 판매) · 현재</w:t>
            </w:r>
          </w:p>
          <w:p>
            <w:r>
              <w:rPr>
                <w:color w:val="606060"/>
                <w:sz w:val="17"/>
              </w:rPr>
              <w:t xml:space="preserve">  근거: | 제품판매 | End-plate | 수출 | 삼기이브이 → 스타리온, 나라엠텍, ST Automotive (폴란드 법인)→ LG에너지솔루션L(폴란드 법인) | 81,947,820(76.6%) |</w:t>
            </w:r>
          </w:p>
          <w:p>
            <w:r>
              <w:rPr>
                <w:b/>
              </w:rPr>
              <w:t>• ST Automotive (폴란드 법인) — 고객사(앵커가 판매) · 현재</w:t>
            </w:r>
          </w:p>
          <w:p>
            <w:r>
              <w:rPr>
                <w:color w:val="606060"/>
                <w:sz w:val="17"/>
              </w:rPr>
              <w:t xml:space="preserve">  근거: | 제품판매 | End-plate | 수출 | 삼기이브이 → 스타리온, 나라엠텍, ST Automotive (폴란드 법인)→ LG에너지솔루션L(폴란드 법인) | 81,947,820(76.6%) |</w:t>
            </w:r>
          </w:p>
          <w:p>
            <w:r>
              <w:rPr>
                <w:b/>
              </w:rPr>
              <w:t>• LG에너지솔루션L(폴란드 법인) — 고객사(앵커가 판매) · 현재</w:t>
            </w:r>
          </w:p>
          <w:p>
            <w:r>
              <w:rPr>
                <w:color w:val="606060"/>
                <w:sz w:val="17"/>
              </w:rPr>
              <w:t xml:space="preserve">  근거: | 제품판매 | End-plate | 수출 | 삼기이브이 → 스타리온, 나라엠텍, ST Automotive (폴란드 법인)→ LG에너지솔루션L(폴란드 법인) | 81,947,820(76.6%) |</w:t>
            </w:r>
          </w:p>
          <w:p>
            <w:r>
              <w:rPr>
                <w:b/>
              </w:rPr>
              <w:t>• 삼기 — 고객사(앵커가 판매) · 현재</w:t>
            </w:r>
          </w:p>
          <w:p>
            <w:r>
              <w:rPr>
                <w:color w:val="606060"/>
                <w:sz w:val="17"/>
              </w:rPr>
              <w:t xml:space="preserve">  근거: | Gate(부산물) | 국내 | 삼기이브이 → 삼기 | 25,081,708(23.4%) |</w:t>
            </w:r>
          </w:p>
          <w:p>
            <w:r>
              <w:rPr>
                <w:b/>
              </w:rPr>
              <w:t>• LG에너지솔루션 — 고객사(앵커가 판매) · 현재</w:t>
            </w:r>
          </w:p>
          <w:p>
            <w:r>
              <w:rPr>
                <w:color w:val="606060"/>
                <w:sz w:val="17"/>
              </w:rPr>
              <w:t xml:space="preserve">  근거: 당사의 매출구조는 LG에너지솔루션에 납품하는 End-plate 제품매출과 End-plate 생산 후 생성되는 부산물인 Gate 매출이 있습니다.</w:t>
            </w:r>
          </w:p>
        </w:tc>
        <w:tc>
          <w:tcPr>
            <w:tcW w:type="dxa" w:w="4320"/>
          </w:tcPr>
          <w:p>
            <w:r>
              <w:rPr>
                <w:b/>
              </w:rPr>
              <w:t>• 스타리온 — 고객사(앵커가 판매) · 현재</w:t>
            </w:r>
          </w:p>
          <w:p>
            <w:r>
              <w:rPr>
                <w:color w:val="606060"/>
                <w:sz w:val="17"/>
              </w:rPr>
              <w:t xml:space="preserve">  근거: | 제품판매 | End-plate | 수출 | 삼기이브이 → 스타리온, 나라엠텍, ST Automotive (폴란드 법인)→ LG에너지솔루션L(폴란드 법인) | 81,947,820(76.6%) |</w:t>
            </w:r>
          </w:p>
          <w:p>
            <w:r>
              <w:rPr>
                <w:b/>
              </w:rPr>
              <w:t>• 나라엠텍 — 고객사(앵커가 판매) · 현재</w:t>
            </w:r>
          </w:p>
          <w:p>
            <w:r>
              <w:rPr>
                <w:color w:val="606060"/>
                <w:sz w:val="17"/>
              </w:rPr>
              <w:t xml:space="preserve">  근거: | 제품판매 | End-plate | 수출 | 삼기이브이 → 스타리온, 나라엠텍, ST Automotive (폴란드 법인)→ LG에너지솔루션L(폴란드 법인) | 81,947,820(76.6%) |</w:t>
            </w:r>
          </w:p>
          <w:p>
            <w:r>
              <w:rPr>
                <w:b/>
              </w:rPr>
              <w:t>• ST Automotive — 고객사(앵커가 판매) · 현재</w:t>
            </w:r>
          </w:p>
          <w:p>
            <w:r>
              <w:rPr>
                <w:color w:val="606060"/>
                <w:sz w:val="17"/>
              </w:rPr>
              <w:t xml:space="preserve">  근거: | 제품판매 | End-plate | 수출 | 삼기이브이 → 스타리온, 나라엠텍, ST Automotive (폴란드 법인)→ LG에너지솔루션L(폴란드 법인) | 81,947,820(76.6%) |</w:t>
            </w:r>
          </w:p>
          <w:p>
            <w:r>
              <w:rPr>
                <w:b/>
              </w:rPr>
              <w:t>• LG에너지솔루션L — 고객사(앵커가 판매) · 현재</w:t>
            </w:r>
          </w:p>
          <w:p>
            <w:r>
              <w:rPr>
                <w:color w:val="606060"/>
                <w:sz w:val="17"/>
              </w:rPr>
              <w:t xml:space="preserve">  근거: | 제품판매 | End-plate | 수출 | 삼기이브이 → 스타리온, 나라엠텍, ST Automotive (폴란드 법인)→ LG에너지솔루션L(폴란드 법인) | 81,947,820(76.6%) |</w:t>
            </w:r>
          </w:p>
          <w:p>
            <w:r>
              <w:rPr>
                <w:b/>
              </w:rPr>
              <w:t>• 삼기 — 고객사(앵커가 판매) · 현재</w:t>
            </w:r>
          </w:p>
          <w:p>
            <w:r>
              <w:rPr>
                <w:color w:val="606060"/>
                <w:sz w:val="17"/>
              </w:rPr>
              <w:t xml:space="preserve">  근거: | Gate(부산물) | 국내 | 삼기이브이 → 삼기 | 25,081,708(23.4%) |</w:t>
            </w:r>
          </w:p>
          <w:p>
            <w:r>
              <w:rPr>
                <w:b/>
              </w:rPr>
              <w:t>• LG에너지솔루션 — 고객사(앵커가 판매) · 현재</w:t>
            </w:r>
          </w:p>
          <w:p>
            <w:r>
              <w:rPr>
                <w:color w:val="606060"/>
                <w:sz w:val="17"/>
              </w:rPr>
              <w:t xml:space="preserve">  근거: 당사의 매출구조는 LG에너지솔루션에 납품하는 End-plate 제품매출과 End-plate 생산 후 생성되는 부산물인 Gate 매출이 있습니다.</w:t>
            </w:r>
          </w:p>
        </w:tc>
      </w:tr>
    </w:tbl>
    <w:p>
      <w:r>
        <w:rPr>
          <w:b/>
        </w:rPr>
        <w:t xml:space="preserve">차이: </w:t>
      </w:r>
      <w:r>
        <w:rPr>
          <w:sz w:val="18"/>
        </w:rPr>
        <w:t>1회차만 [lg에너지솔루션l(폴란드법인)|customer|active, stautomotive(폴란드법인)|customer|active]  /  2회차만 [lg에너지솔루션l|customer|active, stautomotive|customer|active]</w:t>
      </w:r>
    </w:p>
    <w:p>
      <w:r>
        <w:rPr>
          <w:b/>
        </w:rPr>
        <w:t xml:space="preserve">판정: </w:t>
      </w:r>
      <w:r>
        <w:t>□ 1회차   □ 2회차   □ 둘 다 아님 → ______________________________</w:t>
      </w:r>
    </w:p>
    <w:p>
      <w:r>
        <w:rPr>
          <w:color w:val="C0C0C0"/>
        </w:rPr>
        <w:t>______________________________________________________________________________</w:t>
      </w:r>
    </w:p>
    <w:p>
      <w:pPr>
        <w:pStyle w:val="Heading1"/>
      </w:pPr>
      <w:r>
        <w:rPr>
          <w:color w:val="1F4E79"/>
        </w:rPr>
        <w:t>3. HLB생명과학</w:t>
      </w:r>
    </w:p>
    <w:p>
      <w:r>
        <w:rPr>
          <w:b/>
        </w:rPr>
        <w:t xml:space="preserve">섹터 </w:t>
      </w:r>
      <w:r>
        <w:t xml:space="preserve">pharma  </w:t>
      </w:r>
      <w:r>
        <w:rPr>
          <w:b/>
        </w:rPr>
        <w:t xml:space="preserve">시장 </w:t>
      </w:r>
      <w:r>
        <w:t xml:space="preserve">KOSDAQ  </w:t>
      </w:r>
      <w:r>
        <w:rPr>
          <w:b/>
        </w:rPr>
        <w:t xml:space="preserve">공시 </w:t>
      </w:r>
      <w:r>
        <w:rPr>
          <w:sz w:val="18"/>
        </w:rPr>
        <w:t>20240320001812</w:t>
      </w:r>
    </w:p>
    <w:p>
      <w:r>
        <w:rPr>
          <w:b/>
        </w:rPr>
        <w:t>■ 원문 (근거 부분 발췌)</w:t>
      </w:r>
    </w:p>
    <w:p>
      <w:pPr>
        <w:ind w:left="280"/>
      </w:pPr>
      <w:r>
        <w:rPr>
          <w:sz w:val="19"/>
        </w:rPr>
        <w:t>…)</w:t>
        <w:br/>
        <w:t>2021년 임상계획 승인</w:t>
        <w:br/>
        <w:t>확증임상 진행 중</w:t>
        <w:br/>
        <w:t>의료기기</w:t>
        <w:br/>
        <w:t>인체 세포 외 기질</w:t>
        <w:br/>
        <w:t>(Hutrigel®-AU)</w:t>
        <w:br/>
        <w:t>의료용/미용용</w:t>
        <w:br/>
        <w:t>기능성 제품</w:t>
        <w:br/>
        <w:t>N/A</w:t>
        <w:br/>
        <w:t>연구개발 중</w:t>
        <w:br/>
        <w:t>N/A</w:t>
        <w:br/>
        <w:t>제형화 및 생체 외 평가 중</w:t>
        <w:br/>
        <w:t>HLB셀</w:t>
        <w:br/>
        <w:t>HLB제약</w:t>
        <w:br/>
        <w:t>| 주1) 당사는 2018년 8월 14일에 리보세라닙(아파티닙) 관련 부광약품에 인정되는 계약상 지위, 권리 및 의무 일체를 취득하여 연구개발을 진행하고 있습니다. (2018.8.14 공시 참조)주2) 당사는 2020년 9월 28일에 중국 항서제약으로부터 파이로티닙(Pyrotinib)의 개발, 허가, 판매에 대한 국내 독점권한 및 생산에 대한 선택적 권한을 취득하여 연구개발을 진행하고 있습니다.주3) 당사는 2015년 11월 5일에 유타 인하 디디에스 및 신의료기술개발 공동연구소로부터 지혈제(생분해성 의료용 접착제 또는 실란트 조성물)의 계약지적재산권에 대한 기술이전 및 전세계 전용 실시권을 취득하여 연구개발을 진행하고 있습니다.주4) 라이센스인 계약 관련 계약 금액 및 2023년 당기말 기준 지급금액 현황은 하기와 같습니다.(단위 : 백만원)대상회사품 목계약상대방대상지역계약체결일계약종료일총계약금액*지급금액*HLB생명과학리보세라닙(Rivoceranib)부광약품LSK BioPartners, Inc.</w:t>
      </w:r>
    </w:p>
    <w:p>
      <w:r>
        <w:rPr>
          <w:b/>
        </w:rPr>
        <w:t>■ 1회차 vs 2회차</w:t>
      </w:r>
    </w:p>
    <w:tbl>
      <w:tblPr>
        <w:tblStyle w:val="TableGrid"/>
        <w:tblW w:type="auto" w:w="0"/>
        <w:tblLook w:firstColumn="1" w:firstRow="1" w:lastColumn="0" w:lastRow="0" w:noHBand="0" w:noVBand="1" w:val="04A0"/>
      </w:tblPr>
      <w:tblGrid>
        <w:gridCol w:w="4320"/>
        <w:gridCol w:w="4320"/>
      </w:tblGrid>
      <w:tr>
        <w:tc>
          <w:tcPr>
            <w:tcW w:type="dxa" w:w="4320"/>
          </w:tcPr>
          <w:p>
            <w:r>
              <w:rPr>
                <w:b/>
              </w:rPr>
              <w:t>1회차 추출</w:t>
            </w:r>
          </w:p>
        </w:tc>
        <w:tc>
          <w:tcPr>
            <w:tcW w:type="dxa" w:w="4320"/>
          </w:tcPr>
          <w:p>
            <w:r>
              <w:rPr>
                <w:b/>
              </w:rPr>
              <w:t>2회차 추출</w:t>
            </w:r>
          </w:p>
        </w:tc>
      </w:tr>
      <w:tr>
        <w:tc>
          <w:tcPr>
            <w:tcW w:type="dxa" w:w="4320"/>
          </w:tcPr>
          <w:p>
            <w:r>
              <w:rPr>
                <w:b/>
              </w:rPr>
              <w:t>• 부광약품 — 공급처(앵커가 구매) · 과거</w:t>
            </w:r>
          </w:p>
          <w:p>
            <w:r>
              <w:rPr>
                <w:color w:val="606060"/>
                <w:sz w:val="17"/>
              </w:rPr>
              <w:t xml:space="preserve">  근거: 당사는 2018년 8월 14일에 리보세라닙(아파티닙) 관련 부광약품에 인정되는 계약상 지위, 권리 및 의무 일체를 취득하여 연구개발을 진행하고 있습니다.</w:t>
            </w:r>
          </w:p>
          <w:p>
            <w:r>
              <w:rPr>
                <w:b/>
              </w:rPr>
              <w:t>• 항서제약 — 공급처(앵커가 구매) · 현재</w:t>
            </w:r>
          </w:p>
          <w:p>
            <w:r>
              <w:rPr>
                <w:color w:val="606060"/>
                <w:sz w:val="17"/>
              </w:rPr>
              <w:t xml:space="preserve">  근거: 당사는 2020년 9월 28일에 중국 항서제약으로부터 파이로티닙(Pyrotinib)의 개발, 허가, 판매에 대한 국내 독점권한 및 생산에 대한 선택적 권한을 취득하여 연구개발을 진행하고 있습니다.</w:t>
            </w:r>
          </w:p>
          <w:p>
            <w:r>
              <w:rPr>
                <w:b/>
              </w:rPr>
              <w:t>• 유타 인하 디디에스 및 신의료기술개발 공동연구소 — 공급처(앵커가 구매) · 현재</w:t>
            </w:r>
          </w:p>
          <w:p>
            <w:r>
              <w:rPr>
                <w:color w:val="606060"/>
                <w:sz w:val="17"/>
              </w:rPr>
              <w:t xml:space="preserve">  근거: 당사는 2015년 11월 5일에 유타 인하 디디에스 및 신의료기술개발 공동연구소로부터 지혈제(생분해성 의료용 접착제 또는 실란트 조성물)의 계약지적재산권에 대한 기술이전 및 전세계 전용 실시권을 취득하여 연구개발을 진행하고 있습니다.</w:t>
            </w:r>
          </w:p>
        </w:tc>
        <w:tc>
          <w:tcPr>
            <w:tcW w:type="dxa" w:w="4320"/>
          </w:tcPr>
          <w:p>
            <w:r>
              <w:rPr>
                <w:b/>
              </w:rPr>
              <w:t>• 부광약품 — 공급처(앵커가 구매) · 현재</w:t>
            </w:r>
          </w:p>
          <w:p>
            <w:r>
              <w:rPr>
                <w:color w:val="606060"/>
                <w:sz w:val="17"/>
              </w:rPr>
              <w:t xml:space="preserve">  근거: 당사는 2018년 8월 14일에 리보세라닙(아파티닙) 관련 부광약품에 인정되는 계약상 지위, 권리 및 의무 일체를 취득하여 연구개발을 진행하고 있습니다.</w:t>
            </w:r>
          </w:p>
          <w:p>
            <w:r>
              <w:rPr>
                <w:b/>
              </w:rPr>
              <w:t>• 항서제약 — 공급처(앵커가 구매) · 현재</w:t>
            </w:r>
          </w:p>
          <w:p>
            <w:r>
              <w:rPr>
                <w:color w:val="606060"/>
                <w:sz w:val="17"/>
              </w:rPr>
              <w:t xml:space="preserve">  근거: 당사는 2020년 9월 28일에 중국 항서제약으로부터 파이로티닙(Pyrotinib)의 개발, 허가, 판매에 대한 국내 독점권한 및 생산에 대한 선택적 권한을 취득하여 연구개발을 진행하고 있습니다.</w:t>
            </w:r>
          </w:p>
          <w:p>
            <w:r>
              <w:rPr>
                <w:b/>
              </w:rPr>
              <w:t>• 유타 인하 디디에스 및 신의료기술개발 공동연구소 — 공급처(앵커가 구매) · 현재</w:t>
            </w:r>
          </w:p>
          <w:p>
            <w:r>
              <w:rPr>
                <w:color w:val="606060"/>
                <w:sz w:val="17"/>
              </w:rPr>
              <w:t xml:space="preserve">  근거: 당사는 2015년 11월 5일에 유타 인하 디디에스 및 신의료기술개발 공동연구소로부터 지혈제(생분해성 의료용 접착제 또는 실란트 조성물)의 계약지적재산권에 대한 기술이전 및 전세계 전용 실시권을 취득하여 연구개발을 진행하고 있습니다.</w:t>
            </w:r>
          </w:p>
          <w:p>
            <w:r>
              <w:rPr>
                <w:b/>
              </w:rPr>
              <w:t>• LSK BioPartners, Inc. — 공급처(앵커가 구매) · 현재</w:t>
            </w:r>
          </w:p>
          <w:p>
            <w:r>
              <w:rPr>
                <w:color w:val="606060"/>
                <w:sz w:val="17"/>
              </w:rPr>
              <w:t xml:space="preserve">  근거: 라이센스인 계약 관련 계약 금액 및 2023년 당기말 기준 지급금액 현황은 하기와 같습니다.(단위 : 백만원)대상회사품 목계약상대방대상지역계약체결일계약종료일총계약금액*지급금액*HLB생명과학리보세라닙(Rivoceranib)부광약품LSK BioPartners, Inc.</w:t>
            </w:r>
          </w:p>
        </w:tc>
      </w:tr>
    </w:tbl>
    <w:p>
      <w:r>
        <w:rPr>
          <w:b/>
        </w:rPr>
        <w:t xml:space="preserve">차이: </w:t>
      </w:r>
      <w:r>
        <w:rPr>
          <w:sz w:val="18"/>
        </w:rPr>
        <w:t>1회차만 [부광약품|supplier|past]  /  2회차만 [lskbiopartners|supplier|active, 부광약품|supplier|active]</w:t>
      </w:r>
    </w:p>
    <w:p>
      <w:r>
        <w:rPr>
          <w:b/>
        </w:rPr>
        <w:t xml:space="preserve">판정: </w:t>
      </w:r>
      <w:r>
        <w:t>□ 1회차   □ 2회차   □ 둘 다 아님 → ______________________________</w:t>
      </w:r>
    </w:p>
    <w:p>
      <w:r>
        <w:rPr>
          <w:color w:val="C0C0C0"/>
        </w:rPr>
        <w:t>______________________________________________________________________________</w:t>
      </w:r>
    </w:p>
    <w:p>
      <w:pPr>
        <w:pStyle w:val="Heading1"/>
      </w:pPr>
      <w:r>
        <w:rPr>
          <w:color w:val="1F4E79"/>
        </w:rPr>
        <w:t>4. SK가스</w:t>
      </w:r>
    </w:p>
    <w:p>
      <w:r>
        <w:rPr>
          <w:b/>
        </w:rPr>
        <w:t xml:space="preserve">섹터 </w:t>
      </w:r>
      <w:r>
        <w:t xml:space="preserve">retail  </w:t>
      </w:r>
      <w:r>
        <w:rPr>
          <w:b/>
        </w:rPr>
        <w:t xml:space="preserve">시장 </w:t>
      </w:r>
      <w:r>
        <w:t xml:space="preserve">KOSPI  </w:t>
      </w:r>
      <w:r>
        <w:rPr>
          <w:b/>
        </w:rPr>
        <w:t xml:space="preserve">공시 </w:t>
      </w:r>
      <w:r>
        <w:rPr>
          <w:sz w:val="18"/>
        </w:rPr>
        <w:t>20250312000964</w:t>
      </w:r>
    </w:p>
    <w:p>
      <w:r>
        <w:rPr>
          <w:b/>
        </w:rPr>
        <w:t>■ 원문 (근거 부분 발췌)</w:t>
      </w:r>
    </w:p>
    <w:p>
      <w:pPr>
        <w:ind w:left="280"/>
      </w:pPr>
      <w:r>
        <w:rPr>
          <w:sz w:val="19"/>
        </w:rPr>
        <w:t>…6.30 |</w:t>
        <w:br/>
        <w:t>| 목       적 | 울산오일허브 액화가스터미널 이용계약 체결(TUA)을 통한 LNG 사업 확장 |</w:t>
        <w:br/>
        <w:t>| 기타 주요 내용 | - 계약금액 : 5,316억원 (계약기간 전체에 대한 터미널 이용 요금)- 당사가 코리아에너지터미널(주)로부터 이용 확약한 액화가스터미널 중 일부 저장시설(LNG 저장탱크 등)에 대하여 계약상대방인 S-OIL(주)에 대해 액화가스터미널의 사용 및 서비스를 제공함에 따른 계약 체결 건 |</w:t>
        <w:br/>
        <w:t>| 한국동서발전주식회사 | 계약체결시기 | 2022.12.16 |</w:t>
        <w:br/>
        <w:t>| 계약 기간 | 2022.12.16~2045.6.30 |</w:t>
        <w:br/>
        <w:t>| 목       적 | 울산신항 항만배후부지 2공구에 클린에너지 복합단지(CEC, Clean Energy Complex) 사업 추진 |</w:t>
        <w:br/>
        <w:t>| 기타 주요 내…</w:t>
      </w:r>
    </w:p>
    <w:p>
      <w:r>
        <w:rPr>
          <w:b/>
        </w:rPr>
        <w:t>■ 1회차 vs 2회차</w:t>
      </w:r>
    </w:p>
    <w:tbl>
      <w:tblPr>
        <w:tblStyle w:val="TableGrid"/>
        <w:tblW w:type="auto" w:w="0"/>
        <w:tblLook w:firstColumn="1" w:firstRow="1" w:lastColumn="0" w:lastRow="0" w:noHBand="0" w:noVBand="1" w:val="04A0"/>
      </w:tblPr>
      <w:tblGrid>
        <w:gridCol w:w="4320"/>
        <w:gridCol w:w="4320"/>
      </w:tblGrid>
      <w:tr>
        <w:tc>
          <w:tcPr>
            <w:tcW w:type="dxa" w:w="4320"/>
          </w:tcPr>
          <w:p>
            <w:r>
              <w:rPr>
                <w:b/>
              </w:rPr>
              <w:t>1회차 추출</w:t>
            </w:r>
          </w:p>
        </w:tc>
        <w:tc>
          <w:tcPr>
            <w:tcW w:type="dxa" w:w="4320"/>
          </w:tcPr>
          <w:p>
            <w:r>
              <w:rPr>
                <w:b/>
              </w:rPr>
              <w:t>2회차 추출</w:t>
            </w:r>
          </w:p>
        </w:tc>
      </w:tr>
      <w:tr>
        <w:tc>
          <w:tcPr>
            <w:tcW w:type="dxa" w:w="4320"/>
          </w:tcPr>
          <w:p>
            <w:r>
              <w:rPr>
                <w:b/>
              </w:rPr>
              <w:t>• S-OIL(주) — 고객사(앵커가 판매) · 예정</w:t>
            </w:r>
          </w:p>
          <w:p>
            <w:r>
              <w:rPr>
                <w:color w:val="606060"/>
                <w:sz w:val="17"/>
              </w:rPr>
              <w:t xml:space="preserve">  근거: 당사가 코리아에너지터미널(주)로부터 이용 확약한 액화가스터미널 중 일부 저장시설(LNG 저장탱크 등)에 대하여 계약상대방인 S-OIL(주)에 대해 액화가스터미널의 사용 및 서비스를 제공함에 따른 계약 체결 건</w:t>
            </w:r>
          </w:p>
          <w:p>
            <w:r>
              <w:rPr>
                <w:b/>
              </w:rPr>
              <w:t>• 코리아에너지터미널(주) — 공급처(앵커가 구매) · 현재</w:t>
            </w:r>
          </w:p>
          <w:p>
            <w:r>
              <w:rPr>
                <w:color w:val="606060"/>
                <w:sz w:val="17"/>
              </w:rPr>
              <w:t xml:space="preserve">  근거: 당사가 코리아에너지터미널(주)로부터 이용 확약한 액화가스터미널 중 일부 저장시설(LNG 저장탱크 등)에 대하여 계약상대방인 S-OIL(주)에 대해 액화가스터미널의 사용 및 서비스를 제공함에 따른 계약 체결 건</w:t>
            </w:r>
          </w:p>
          <w:p>
            <w:r>
              <w:rPr>
                <w:b/>
              </w:rPr>
              <w:t>• 한국동서발전주식회사 — 고객사(앵커가 판매) · 현재</w:t>
            </w:r>
          </w:p>
          <w:p>
            <w:r>
              <w:rPr>
                <w:color w:val="606060"/>
                <w:sz w:val="17"/>
              </w:rPr>
              <w:t xml:space="preserve">  근거: | 한국동서발전주식회사 | 계약체결시기 | 2022.12.16 |</w:t>
            </w:r>
          </w:p>
        </w:tc>
        <w:tc>
          <w:tcPr>
            <w:tcW w:type="dxa" w:w="4320"/>
          </w:tcPr>
          <w:p>
            <w:r>
              <w:rPr>
                <w:b/>
              </w:rPr>
              <w:t>• S-OIL(주) — 고객사(앵커가 판매) · 예정</w:t>
            </w:r>
          </w:p>
          <w:p>
            <w:r>
              <w:rPr>
                <w:color w:val="606060"/>
                <w:sz w:val="17"/>
              </w:rPr>
              <w:t xml:space="preserve">  근거: 당사가 코리아에너지터미널(주)로부터 이용 확약한 액화가스터미널 중 일부 저장시설(LNG 저장탱크 등)에 대하여 계약상대방인 S-OIL(주)에 대해 액화가스터미널의 사용 및 서비스를 제공함에 따른 계약 체결 건</w:t>
            </w:r>
          </w:p>
          <w:p>
            <w:r>
              <w:rPr>
                <w:b/>
              </w:rPr>
              <w:t>• 코리아에너지터미널(주) — 공급처(앵커가 구매) · 예정</w:t>
            </w:r>
          </w:p>
          <w:p>
            <w:r>
              <w:rPr>
                <w:color w:val="606060"/>
                <w:sz w:val="17"/>
              </w:rPr>
              <w:t xml:space="preserve">  근거: 당사가 코리아에너지터미널(주)로부터 이용 확약한 액화가스터미널 중 일부 저장시설(LNG 저장탱크 등)에 대하여 계약상대방인 S-OIL(주)에 대해 액화가스터미널의 사용 및 서비스를 제공함에 따른 계약 체결 건</w:t>
            </w:r>
          </w:p>
          <w:p>
            <w:r>
              <w:rPr>
                <w:b/>
              </w:rPr>
              <w:t>• 한국동서발전주식회사 — 고객사(앵커가 판매) · 현재</w:t>
            </w:r>
          </w:p>
          <w:p>
            <w:r>
              <w:rPr>
                <w:color w:val="606060"/>
                <w:sz w:val="17"/>
              </w:rPr>
              <w:t xml:space="preserve">  근거: | 한국동서발전주식회사 | 계약체결시기 | 2022.12.16 |</w:t>
            </w:r>
          </w:p>
        </w:tc>
      </w:tr>
    </w:tbl>
    <w:p>
      <w:r>
        <w:rPr>
          <w:b/>
        </w:rPr>
        <w:t xml:space="preserve">차이: </w:t>
      </w:r>
      <w:r>
        <w:rPr>
          <w:sz w:val="18"/>
        </w:rPr>
        <w:t>1회차만 [코리아에너지터미널|supplier|active]  /  2회차만 [코리아에너지터미널|supplier|planned]</w:t>
      </w:r>
    </w:p>
    <w:p>
      <w:r>
        <w:rPr>
          <w:b/>
        </w:rPr>
        <w:t xml:space="preserve">판정: </w:t>
      </w:r>
      <w:r>
        <w:t>□ 1회차   □ 2회차   □ 둘 다 아님 → ______________________________</w:t>
      </w:r>
    </w:p>
    <w:p>
      <w:r>
        <w:rPr>
          <w:color w:val="C0C0C0"/>
        </w:rPr>
        <w:t>______________________________________________________________________________</w:t>
      </w:r>
    </w:p>
    <w:p>
      <w:pPr>
        <w:pStyle w:val="Heading1"/>
      </w:pPr>
      <w:r>
        <w:rPr>
          <w:color w:val="1F4E79"/>
        </w:rPr>
        <w:t>5. 조일알미늄</w:t>
      </w:r>
    </w:p>
    <w:p>
      <w:r>
        <w:rPr>
          <w:b/>
        </w:rPr>
        <w:t xml:space="preserve">섹터 </w:t>
      </w:r>
      <w:r>
        <w:t xml:space="preserve">steel  </w:t>
      </w:r>
      <w:r>
        <w:rPr>
          <w:b/>
        </w:rPr>
        <w:t xml:space="preserve">시장 </w:t>
      </w:r>
      <w:r>
        <w:t xml:space="preserve">KOSPI  </w:t>
      </w:r>
      <w:r>
        <w:rPr>
          <w:b/>
        </w:rPr>
        <w:t xml:space="preserve">공시 </w:t>
      </w:r>
      <w:r>
        <w:rPr>
          <w:sz w:val="18"/>
        </w:rPr>
        <w:t>20240314001198</w:t>
      </w:r>
    </w:p>
    <w:p>
      <w:r>
        <w:rPr>
          <w:b/>
        </w:rPr>
        <w:t>■ 원문 (근거 부분 발췌)</w:t>
      </w:r>
    </w:p>
    <w:p>
      <w:pPr>
        <w:ind w:left="280"/>
      </w:pPr>
      <w:r>
        <w:rPr>
          <w:sz w:val="19"/>
        </w:rPr>
        <w:t>…천원).</w:t>
        <w:br/>
        <w:t>| 구   분 | 매출등 | 매입등 | 채권 | 채무 |</w:t>
        <w:br/>
        <w:t>| 당기 | 전기 | 당기 | 전기 | 당기말 | 전기말 | 당기말 | 전기말 |</w:t>
        <w:br/>
        <w:t>| 기타 특수관계자 |  |  |  |  |  |  |  |  |</w:t>
        <w:br/>
        <w:t>| (주)조광(*1) | 405,720 | 295,920 | 137,230 | 130,860 | 154,000 | 154,000 | - | - |</w:t>
        <w:br/>
        <w:t>| (주)에스제이엘엠씨(*2) | - | - | 701,901 | 611,086 | - | - | 262,293 | 162,434 |</w:t>
        <w:br/>
        <w:t>| 합   계 | 405,720 | 295,920 | 839,131 | 741,946 | 154,000 | 154,000 | 262,293 | 162,434 |</w:t>
        <w:br/>
        <w:br/>
        <w:t>전기</w:t>
        <w:br/>
        <w:t>전기</w:t>
        <w:br/>
        <w:t>(*1) 매출 등은 임대료이고 매입 등은…</w:t>
      </w:r>
    </w:p>
    <w:p>
      <w:r>
        <w:rPr>
          <w:b/>
        </w:rPr>
        <w:t>■ 1회차 vs 2회차</w:t>
      </w:r>
    </w:p>
    <w:tbl>
      <w:tblPr>
        <w:tblStyle w:val="TableGrid"/>
        <w:tblW w:type="auto" w:w="0"/>
        <w:tblLook w:firstColumn="1" w:firstRow="1" w:lastColumn="0" w:lastRow="0" w:noHBand="0" w:noVBand="1" w:val="04A0"/>
      </w:tblPr>
      <w:tblGrid>
        <w:gridCol w:w="4320"/>
        <w:gridCol w:w="4320"/>
      </w:tblGrid>
      <w:tr>
        <w:tc>
          <w:tcPr>
            <w:tcW w:type="dxa" w:w="4320"/>
          </w:tcPr>
          <w:p>
            <w:r>
              <w:rPr>
                <w:b/>
              </w:rPr>
              <w:t>1회차 추출</w:t>
            </w:r>
          </w:p>
        </w:tc>
        <w:tc>
          <w:tcPr>
            <w:tcW w:type="dxa" w:w="4320"/>
          </w:tcPr>
          <w:p>
            <w:r>
              <w:rPr>
                <w:b/>
              </w:rPr>
              <w:t>2회차 추출</w:t>
            </w:r>
          </w:p>
        </w:tc>
      </w:tr>
      <w:tr>
        <w:tc>
          <w:tcPr>
            <w:tcW w:type="dxa" w:w="4320"/>
          </w:tcPr>
          <w:p>
            <w:r>
              <w:rPr>
                <w:b/>
              </w:rPr>
              <w:t>• (주)조광 — 고객사(앵커가 판매) · 현재</w:t>
            </w:r>
          </w:p>
          <w:p>
            <w:r>
              <w:rPr>
                <w:color w:val="606060"/>
                <w:sz w:val="17"/>
              </w:rPr>
              <w:t xml:space="preserve">  근거: | (주)조광(*1) | 405,720 | 295,920 | 137,230 | 130,860 | 154,000 | 154,000 | - | - |</w:t>
            </w:r>
          </w:p>
          <w:p>
            <w:r>
              <w:rPr>
                <w:b/>
              </w:rPr>
              <w:t>• (주)조광 — 공급처(앵커가 구매) · 현재</w:t>
            </w:r>
          </w:p>
          <w:p>
            <w:r>
              <w:rPr>
                <w:color w:val="606060"/>
                <w:sz w:val="17"/>
              </w:rPr>
              <w:t xml:space="preserve">  근거: | (주)조광(*1) | 405,720 | 295,920 | 137,230 | 130,860 | 154,000 | 154,000 | - | - |</w:t>
            </w:r>
          </w:p>
          <w:p>
            <w:r>
              <w:rPr>
                <w:b/>
              </w:rPr>
              <w:t>• (주)에스제이엘엠씨 — 공급처(앵커가 구매) · 현재</w:t>
            </w:r>
          </w:p>
          <w:p>
            <w:r>
              <w:rPr>
                <w:color w:val="606060"/>
                <w:sz w:val="17"/>
              </w:rPr>
              <w:t xml:space="preserve">  근거: | (주)에스제이엘엠씨(*2) | - | - | 701,901 | 611,086 | - | - | 262,293 | 162,434 |</w:t>
            </w:r>
          </w:p>
        </w:tc>
        <w:tc>
          <w:tcPr>
            <w:tcW w:type="dxa" w:w="4320"/>
          </w:tcPr>
          <w:p>
            <w:r>
              <w:rPr>
                <w:b/>
              </w:rPr>
              <w:t>• (주)에스제이엘엠씨 — 공급처(앵커가 구매) · 현재</w:t>
            </w:r>
          </w:p>
          <w:p>
            <w:r>
              <w:rPr>
                <w:color w:val="606060"/>
                <w:sz w:val="17"/>
              </w:rPr>
              <w:t xml:space="preserve">  근거: | (주)에스제이엘엠씨(*2) | - | - | 701,901 | 611,086 | - | - | 262,293 | 162,434 |</w:t>
            </w:r>
          </w:p>
        </w:tc>
      </w:tr>
    </w:tbl>
    <w:p>
      <w:r>
        <w:rPr>
          <w:b/>
        </w:rPr>
        <w:t xml:space="preserve">차이: </w:t>
      </w:r>
      <w:r>
        <w:rPr>
          <w:sz w:val="18"/>
        </w:rPr>
        <w:t>1회차만 [조광|customer|active, 조광|supplier|active]  /  2회차만 [—]</w:t>
      </w:r>
    </w:p>
    <w:p>
      <w:r>
        <w:rPr>
          <w:b/>
        </w:rPr>
        <w:t xml:space="preserve">판정: </w:t>
      </w:r>
      <w:r>
        <w:t>□ 1회차   □ 2회차   □ 둘 다 아님 → ______________________________</w:t>
      </w:r>
    </w:p>
    <w:p>
      <w:r>
        <w:rPr>
          <w:color w:val="C0C0C0"/>
        </w:rPr>
        <w:t>______________________________________________________________________________</w:t>
      </w:r>
    </w:p>
    <w:p>
      <w:pPr>
        <w:pStyle w:val="Heading1"/>
      </w:pPr>
      <w:r>
        <w:rPr>
          <w:color w:val="1F4E79"/>
        </w:rPr>
        <w:t>6. 엘디티</w:t>
      </w:r>
    </w:p>
    <w:p>
      <w:r>
        <w:rPr>
          <w:b/>
        </w:rPr>
        <w:t xml:space="preserve">섹터 </w:t>
      </w:r>
      <w:r>
        <w:t xml:space="preserve">semi  </w:t>
      </w:r>
      <w:r>
        <w:rPr>
          <w:b/>
        </w:rPr>
        <w:t xml:space="preserve">시장 </w:t>
      </w:r>
      <w:r>
        <w:t xml:space="preserve">KOSDAQ  </w:t>
      </w:r>
      <w:r>
        <w:rPr>
          <w:b/>
        </w:rPr>
        <w:t xml:space="preserve">공시 </w:t>
      </w:r>
      <w:r>
        <w:rPr>
          <w:sz w:val="18"/>
        </w:rPr>
        <w:t>20220318000038</w:t>
      </w:r>
    </w:p>
    <w:p>
      <w:r>
        <w:rPr>
          <w:b/>
        </w:rPr>
        <w:t>■ 원문 (근거 부분 발췌)</w:t>
      </w:r>
    </w:p>
    <w:p>
      <w:pPr>
        <w:ind w:left="280"/>
      </w:pPr>
      <w:r>
        <w:rPr>
          <w:sz w:val="19"/>
        </w:rPr>
        <w:t>…의 입지를 굳건히 다지게 되었습니다. &amp;cr  2020년에는 5G 화재조기감지기, 5G 스마트대피유도장치, 5G 재난방송장치를 국비를 지원받아 개발하였으며, 도출된 기반 기술을 현재 제품에 적용 완료한 상태입니다. 개발된 5G 제품들은 육군사관학교, 요양병</w:t>
        <w:br/>
        <w:t>요양병원, 차량철도기지, 도서관 등 다양한 환경에 시판 및 시범 운영되고 있으며, 안정성 확보 후 다중이용시설을 대상으로 횡 전개 할 계획입니다.</w:t>
        <w:br/>
        <w:t>소방법에 입각하여 기축 시장을 대상으로 개발되는 유무선화재감지기 3종과, 신축 시장을 대상으로 개발되는 무선화재감지기 4종, 그리고 해당 시스템을 연계하는 무선중계기와 R형 수신기 등이 개발 중에 있으며, 2021년 상반기 내 소방형식승인이 도출될 예정입니다.</w:t>
        <w:br/>
        <w:t>K사와 함께 사업을 추진중인 SafeMate는 기존과 같이 화원을 빠르게 발췌할 수 있으면서도, 기존 대비 설치비용 면을 장점으로 기존과 다른 다양한 고객층이 생겨나게 되었습니다. 서울 지하쇼핑센터 27개소, 국가출연연구원, 전시 관람시설, 공연장, 박물관, 전통사찰, 펜션 협회, 호텔, ESS시설, 축산 농가 등 다양한 사업이 추진되었으며, 구축 사이트에 대한 적극적인 현장 대응으로 202…</w:t>
      </w:r>
    </w:p>
    <w:p>
      <w:r>
        <w:rPr>
          <w:b/>
        </w:rPr>
        <w:t>■ 1회차 vs 2회차</w:t>
      </w:r>
    </w:p>
    <w:tbl>
      <w:tblPr>
        <w:tblStyle w:val="TableGrid"/>
        <w:tblW w:type="auto" w:w="0"/>
        <w:tblLook w:firstColumn="1" w:firstRow="1" w:lastColumn="0" w:lastRow="0" w:noHBand="0" w:noVBand="1" w:val="04A0"/>
      </w:tblPr>
      <w:tblGrid>
        <w:gridCol w:w="4320"/>
        <w:gridCol w:w="4320"/>
      </w:tblGrid>
      <w:tr>
        <w:tc>
          <w:tcPr>
            <w:tcW w:type="dxa" w:w="4320"/>
          </w:tcPr>
          <w:p>
            <w:r>
              <w:rPr>
                <w:b/>
              </w:rPr>
              <w:t>1회차 추출</w:t>
            </w:r>
          </w:p>
        </w:tc>
        <w:tc>
          <w:tcPr>
            <w:tcW w:type="dxa" w:w="4320"/>
          </w:tcPr>
          <w:p>
            <w:r>
              <w:rPr>
                <w:b/>
              </w:rPr>
              <w:t>2회차 추출</w:t>
            </w:r>
          </w:p>
        </w:tc>
      </w:tr>
      <w:tr>
        <w:tc>
          <w:tcPr>
            <w:tcW w:type="dxa" w:w="4320"/>
          </w:tcPr>
          <w:p>
            <w:r>
              <w:rPr>
                <w:b/>
              </w:rPr>
              <w:t>• 육군사관학교 — 고객사(앵커가 판매) · 현재</w:t>
            </w:r>
          </w:p>
          <w:p>
            <w:r>
              <w:rPr>
                <w:color w:val="606060"/>
                <w:sz w:val="17"/>
              </w:rPr>
              <w:t xml:space="preserve">  근거: 개발된 5G 제품들은 육군사관학교, 요양병</w:t>
              <w:br/>
              <w:t>요양병원, 차량철도기지, 도서관 등 다양한 환경에 시판 및 시범 운영되고 있으며</w:t>
            </w:r>
          </w:p>
          <w:p>
            <w:r>
              <w:rPr>
                <w:b/>
              </w:rPr>
              <w:t>• K사 [익명] — 고객사(앵커가 판매) · 현재</w:t>
            </w:r>
          </w:p>
          <w:p>
            <w:r>
              <w:rPr>
                <w:color w:val="606060"/>
                <w:sz w:val="17"/>
              </w:rPr>
              <w:t xml:space="preserve">  근거: K사와 함께 사업을 추진중인 SafeMate는 기존과 같이 화원을 빠르게 발췌할 수 있으면서도, 기존 대비 설치비용 면을 장점으로 기존과 다른 다양한 고객층이 생겨나게 되었습니다.</w:t>
            </w:r>
          </w:p>
        </w:tc>
        <w:tc>
          <w:tcPr>
            <w:tcW w:type="dxa" w:w="4320"/>
          </w:tcPr>
          <w:p>
            <w:r>
              <w:rPr>
                <w:i/>
              </w:rPr>
              <w:t>(관계 없음)</w:t>
            </w:r>
          </w:p>
        </w:tc>
      </w:tr>
    </w:tbl>
    <w:p>
      <w:r>
        <w:rPr>
          <w:b/>
        </w:rPr>
        <w:t xml:space="preserve">차이: </w:t>
      </w:r>
      <w:r>
        <w:rPr>
          <w:sz w:val="18"/>
        </w:rPr>
        <w:t>1회차만 [k사|customer|active, 육군사관학교|customer|active]  /  2회차만 [—]</w:t>
      </w:r>
    </w:p>
    <w:p>
      <w:r>
        <w:rPr>
          <w:b/>
        </w:rPr>
        <w:t xml:space="preserve">판정: </w:t>
      </w:r>
      <w:r>
        <w:t>□ 1회차   □ 2회차   □ 둘 다 아님 → ______________________________</w:t>
      </w:r>
    </w:p>
    <w:p>
      <w:r>
        <w:rPr>
          <w:color w:val="C0C0C0"/>
        </w:rPr>
        <w:t>______________________________________________________________________________</w:t>
      </w:r>
    </w:p>
    <w:p>
      <w:pPr>
        <w:pStyle w:val="Heading1"/>
      </w:pPr>
      <w:r>
        <w:rPr>
          <w:color w:val="1F4E79"/>
        </w:rPr>
        <w:t>7. 일동제약</w:t>
      </w:r>
    </w:p>
    <w:p>
      <w:r>
        <w:rPr>
          <w:b/>
        </w:rPr>
        <w:t xml:space="preserve">섹터 </w:t>
      </w:r>
      <w:r>
        <w:t xml:space="preserve">pharma  </w:t>
      </w:r>
      <w:r>
        <w:rPr>
          <w:b/>
        </w:rPr>
        <w:t xml:space="preserve">시장 </w:t>
      </w:r>
      <w:r>
        <w:t xml:space="preserve">KOSPI  </w:t>
      </w:r>
      <w:r>
        <w:rPr>
          <w:b/>
        </w:rPr>
        <w:t xml:space="preserve">공시 </w:t>
      </w:r>
      <w:r>
        <w:rPr>
          <w:sz w:val="18"/>
        </w:rPr>
        <w:t>20220317000965</w:t>
      </w:r>
    </w:p>
    <w:p>
      <w:r>
        <w:rPr>
          <w:b/>
        </w:rPr>
        <w:t>■ 원문 (근거 부분 발췌)</w:t>
      </w:r>
    </w:p>
    <w:p>
      <w:pPr>
        <w:ind w:left="280"/>
      </w:pPr>
      <w:r>
        <w:rPr>
          <w:sz w:val="19"/>
        </w:rPr>
        <w:t>…장규모는 약 23조원 규모이며 300여 제약사가 난립되어 있는 상황임.&amp;cr  ② 의약품은 약사에 의해 판매되는 영양제 등 일반의약품과, 의사의 처방에 의해&amp;cr      판매되는 전문의약품으로 구분됨.&amp;cr  ③ 제품력과 연구개발력이 뛰어난 외국계제약사들의 독자적인 사업강화로 국내 &amp;cr      제약 시장의 잠식을 가속화 하고 있음.&amp;cr  ④ 건강보험 재정 불안으로 인한 약가인하 요인이 상존하고 있음.&amp;cr  ⑤ 대기업 및 석유화학, 음식료종의 제약 및 바이오산업에 투자를 확대하는 등 &amp;…</w:t>
      </w:r>
    </w:p>
    <w:p>
      <w:r>
        <w:rPr>
          <w:b/>
        </w:rPr>
        <w:t>■ 1회차 vs 2회차</w:t>
      </w:r>
    </w:p>
    <w:tbl>
      <w:tblPr>
        <w:tblStyle w:val="TableGrid"/>
        <w:tblW w:type="auto" w:w="0"/>
        <w:tblLook w:firstColumn="1" w:firstRow="1" w:lastColumn="0" w:lastRow="0" w:noHBand="0" w:noVBand="1" w:val="04A0"/>
      </w:tblPr>
      <w:tblGrid>
        <w:gridCol w:w="4320"/>
        <w:gridCol w:w="4320"/>
      </w:tblGrid>
      <w:tr>
        <w:tc>
          <w:tcPr>
            <w:tcW w:type="dxa" w:w="4320"/>
          </w:tcPr>
          <w:p>
            <w:r>
              <w:rPr>
                <w:b/>
              </w:rPr>
              <w:t>1회차 추출</w:t>
            </w:r>
          </w:p>
        </w:tc>
        <w:tc>
          <w:tcPr>
            <w:tcW w:type="dxa" w:w="4320"/>
          </w:tcPr>
          <w:p>
            <w:r>
              <w:rPr>
                <w:b/>
              </w:rPr>
              <w:t>2회차 추출</w:t>
            </w:r>
          </w:p>
        </w:tc>
      </w:tr>
      <w:tr>
        <w:tc>
          <w:tcPr>
            <w:tcW w:type="dxa" w:w="4320"/>
          </w:tcPr>
          <w:p>
            <w:r>
              <w:rPr>
                <w:b/>
              </w:rPr>
              <w:t>• (익명) [익명] — 경쟁사 · 현재</w:t>
            </w:r>
          </w:p>
          <w:p>
            <w:r>
              <w:rPr>
                <w:color w:val="606060"/>
                <w:sz w:val="17"/>
              </w:rPr>
              <w:t xml:space="preserve">  근거: 제품력과 연구개발력이 뛰어난 외국계제약사들의 독자적인 사업강화로 국내</w:t>
            </w:r>
          </w:p>
        </w:tc>
        <w:tc>
          <w:tcPr>
            <w:tcW w:type="dxa" w:w="4320"/>
          </w:tcPr>
          <w:p>
            <w:r>
              <w:rPr>
                <w:i/>
              </w:rPr>
              <w:t>(관계 없음)</w:t>
            </w:r>
          </w:p>
        </w:tc>
      </w:tr>
    </w:tbl>
    <w:p>
      <w:r>
        <w:rPr>
          <w:b/>
        </w:rPr>
        <w:t xml:space="preserve">차이: </w:t>
      </w:r>
      <w:r>
        <w:rPr>
          <w:sz w:val="18"/>
        </w:rPr>
        <w:t>1회차만 [∅anon|competitor|active]  /  2회차만 [—]</w:t>
      </w:r>
    </w:p>
    <w:p>
      <w:r>
        <w:rPr>
          <w:b/>
        </w:rPr>
        <w:t xml:space="preserve">판정: </w:t>
      </w:r>
      <w:r>
        <w:t>□ 1회차   □ 2회차   □ 둘 다 아님 → ______________________________</w:t>
      </w:r>
    </w:p>
    <w:p>
      <w:r>
        <w:rPr>
          <w:color w:val="C0C0C0"/>
        </w:rPr>
        <w:t>______________________________________________________________________________</w:t>
      </w:r>
    </w:p>
    <w:p>
      <w:pPr>
        <w:pStyle w:val="Heading1"/>
      </w:pPr>
      <w:r>
        <w:rPr>
          <w:color w:val="1F4E79"/>
        </w:rPr>
        <w:t>8. 일진홀딩스</w:t>
      </w:r>
    </w:p>
    <w:p>
      <w:r>
        <w:rPr>
          <w:b/>
        </w:rPr>
        <w:t xml:space="preserve">섹터 </w:t>
      </w:r>
      <w:r>
        <w:t xml:space="preserve">fin  </w:t>
      </w:r>
      <w:r>
        <w:rPr>
          <w:b/>
        </w:rPr>
        <w:t xml:space="preserve">시장 </w:t>
      </w:r>
      <w:r>
        <w:t xml:space="preserve">KOSPI  </w:t>
      </w:r>
      <w:r>
        <w:rPr>
          <w:b/>
        </w:rPr>
        <w:t xml:space="preserve">공시 </w:t>
      </w:r>
      <w:r>
        <w:rPr>
          <w:sz w:val="18"/>
        </w:rPr>
        <w:t>20260311004252</w:t>
      </w:r>
    </w:p>
    <w:p>
      <w:r>
        <w:rPr>
          <w:b/>
        </w:rPr>
        <w:t>■ 원문 (근거 부분 발췌)</w:t>
      </w:r>
    </w:p>
    <w:p>
      <w:pPr>
        <w:ind w:left="280"/>
      </w:pPr>
      <w:r>
        <w:rPr>
          <w:sz w:val="19"/>
        </w:rPr>
        <w:t>2021년 한전 고덕-서안성 345kV 602억, 2021년 715억원 규모 전남도 임자권역 태양광발전소 154kV 송전선로 및 변전소 EPC 프로젝트, 2022년 한전 을왕분기 154kV 368억,  2022년에는 싱가폴 전력청 1,567억 규모 전력망 구축 프로젝트, 방글라데시 전력청 820억 규모 초고압케이블 공급 및 설치공사 프로젝트, 2023년 2월 노르웨이 전력청 340억 규모 초고압 전력선 구축 프로젝트, 9월에는 바레인 전력청 1,685억 규모 초고압케이블 공급 및 설치공사 프로젝트, 2024년 3월 쿠웨이트 전력청 MEW로부터 1,282억 규모 초고압케이블 공급계약 체결, 2024년 5월에는 싱가포르 전력청 SPGroup 으로부터 751억 규모 초고압케이블 공급계약,  2025년에는 미국 434억 규모 초고압케이블 공급계약을 체결하였습니다.또한 '전선사업' 내, 자체 SCR 사업운영을 통해 전력선의 원활한 원자재 공급 및 시너지 효과 창출을 기대 할 수 있습니다.(2) 중전기 부문① 산업의 특성국가별 전력망은 전력의 생산부터 최종 사용자에게 공급되기…</w:t>
      </w:r>
    </w:p>
    <w:p>
      <w:r>
        <w:rPr>
          <w:b/>
        </w:rPr>
        <w:t>■ 1회차 vs 2회차</w:t>
      </w:r>
    </w:p>
    <w:tbl>
      <w:tblPr>
        <w:tblStyle w:val="TableGrid"/>
        <w:tblW w:type="auto" w:w="0"/>
        <w:tblLook w:firstColumn="1" w:firstRow="1" w:lastColumn="0" w:lastRow="0" w:noHBand="0" w:noVBand="1" w:val="04A0"/>
      </w:tblPr>
      <w:tblGrid>
        <w:gridCol w:w="4320"/>
        <w:gridCol w:w="4320"/>
      </w:tblGrid>
      <w:tr>
        <w:tc>
          <w:tcPr>
            <w:tcW w:type="dxa" w:w="4320"/>
          </w:tcPr>
          <w:p>
            <w:r>
              <w:rPr>
                <w:b/>
              </w:rPr>
              <w:t>1회차 추출</w:t>
            </w:r>
          </w:p>
        </w:tc>
        <w:tc>
          <w:tcPr>
            <w:tcW w:type="dxa" w:w="4320"/>
          </w:tcPr>
          <w:p>
            <w:r>
              <w:rPr>
                <w:b/>
              </w:rPr>
              <w:t>2회차 추출</w:t>
            </w:r>
          </w:p>
        </w:tc>
      </w:tr>
      <w:tr>
        <w:tc>
          <w:tcPr>
            <w:tcW w:type="dxa" w:w="4320"/>
          </w:tcPr>
          <w:p>
            <w:r>
              <w:rPr>
                <w:b/>
              </w:rPr>
              <w:t>• 한전 — 고객사(앵커가 판매) · 현재</w:t>
            </w:r>
          </w:p>
          <w:p>
            <w:r>
              <w:rPr>
                <w:color w:val="606060"/>
                <w:sz w:val="17"/>
              </w:rPr>
              <w:t xml:space="preserve">  근거: 2021년 한전 고덕-서안성 345kV 602억</w:t>
            </w:r>
          </w:p>
          <w:p>
            <w:r>
              <w:rPr>
                <w:b/>
              </w:rPr>
              <w:t>• (익명) [익명] — 고객사(앵커가 판매) · 현재</w:t>
            </w:r>
          </w:p>
          <w:p>
            <w:r>
              <w:rPr>
                <w:color w:val="606060"/>
                <w:sz w:val="17"/>
              </w:rPr>
              <w:t xml:space="preserve">  근거: 2021년 715억원 규모 전남도 임자권역 태양광발전소 154kV 송전선로 및 변전소 EPC 프로젝트</w:t>
            </w:r>
          </w:p>
          <w:p>
            <w:r>
              <w:rPr>
                <w:b/>
              </w:rPr>
              <w:t>• 싱가폴 전력청 — 고객사(앵커가 판매) · 현재</w:t>
            </w:r>
          </w:p>
          <w:p>
            <w:r>
              <w:rPr>
                <w:color w:val="606060"/>
                <w:sz w:val="17"/>
              </w:rPr>
              <w:t xml:space="preserve">  근거: 2022년에는 싱가폴 전력청 1,567억 규모 전력망 구축 프로젝트</w:t>
            </w:r>
          </w:p>
          <w:p>
            <w:r>
              <w:rPr>
                <w:b/>
              </w:rPr>
              <w:t>• 방글라데시 전력청 — 고객사(앵커가 판매) · 현재</w:t>
            </w:r>
          </w:p>
          <w:p>
            <w:r>
              <w:rPr>
                <w:color w:val="606060"/>
                <w:sz w:val="17"/>
              </w:rPr>
              <w:t xml:space="preserve">  근거: 방글라데시 전력청 820억 규모 초고압케이블 공급 및 설치공사 프로젝트</w:t>
            </w:r>
          </w:p>
          <w:p>
            <w:r>
              <w:rPr>
                <w:b/>
              </w:rPr>
              <w:t>• 노르웨이 전력청 — 고객사(앵커가 판매) · 현재</w:t>
            </w:r>
          </w:p>
          <w:p>
            <w:r>
              <w:rPr>
                <w:color w:val="606060"/>
                <w:sz w:val="17"/>
              </w:rPr>
              <w:t xml:space="preserve">  근거: 2023년 2월 노르웨이 전력청 340억 규모 초고압 전력선 구축 프로젝트</w:t>
            </w:r>
          </w:p>
          <w:p>
            <w:r>
              <w:rPr>
                <w:b/>
              </w:rPr>
              <w:t>• 바레인 전력청 — 고객사(앵커가 판매) · 현재</w:t>
            </w:r>
          </w:p>
          <w:p>
            <w:r>
              <w:rPr>
                <w:color w:val="606060"/>
                <w:sz w:val="17"/>
              </w:rPr>
              <w:t xml:space="preserve">  근거: 9월에는 바레인 전력청 1,685억 규모 초고압케이블 공급 및 설치공사 프로젝트</w:t>
            </w:r>
          </w:p>
          <w:p>
            <w:r>
              <w:rPr>
                <w:b/>
              </w:rPr>
              <w:t>• 쿠웨이트 전력청 MEW — 고객사(앵커가 판매) · 현재</w:t>
            </w:r>
          </w:p>
          <w:p>
            <w:r>
              <w:rPr>
                <w:color w:val="606060"/>
                <w:sz w:val="17"/>
              </w:rPr>
              <w:t xml:space="preserve">  근거: 2024년 3월 쿠웨이트 전력청 MEW로부터 1,282억 규모 초고압케이블 공급계약 체결</w:t>
            </w:r>
          </w:p>
          <w:p>
            <w:r>
              <w:rPr>
                <w:b/>
              </w:rPr>
              <w:t>• 싱가포르 전력청 SPGroup — 고객사(앵커가 판매) · 현재</w:t>
            </w:r>
          </w:p>
          <w:p>
            <w:r>
              <w:rPr>
                <w:color w:val="606060"/>
                <w:sz w:val="17"/>
              </w:rPr>
              <w:t xml:space="preserve">  근거: 2024년 5월에는 싱가포르 전력청 SPGroup 으로부터 751억 규모 초고압케이블 공급계약</w:t>
            </w:r>
          </w:p>
          <w:p>
            <w:r>
              <w:rPr>
                <w:b/>
              </w:rPr>
              <w:t>• (익명) [익명] — 고객사(앵커가 판매) · 현재</w:t>
            </w:r>
          </w:p>
          <w:p>
            <w:r>
              <w:rPr>
                <w:color w:val="606060"/>
                <w:sz w:val="17"/>
              </w:rPr>
              <w:t xml:space="preserve">  근거: 2025년에는 미국 434억 규모 초고압케이블 공급계약을 체결하였습니다</w:t>
            </w:r>
          </w:p>
        </w:tc>
        <w:tc>
          <w:tcPr>
            <w:tcW w:type="dxa" w:w="4320"/>
          </w:tcPr>
          <w:p>
            <w:r>
              <w:rPr>
                <w:b/>
              </w:rPr>
              <w:t>• 한전 — 고객사(앵커가 판매) · 현재</w:t>
            </w:r>
          </w:p>
          <w:p>
            <w:r>
              <w:rPr>
                <w:color w:val="606060"/>
                <w:sz w:val="17"/>
              </w:rPr>
              <w:t xml:space="preserve">  근거: 2021년 한전 고덕-서안성 345kV 602억</w:t>
            </w:r>
          </w:p>
          <w:p>
            <w:r>
              <w:rPr>
                <w:b/>
              </w:rPr>
              <w:t>• 싱가폴 전력청 — 고객사(앵커가 판매) · 현재</w:t>
            </w:r>
          </w:p>
          <w:p>
            <w:r>
              <w:rPr>
                <w:color w:val="606060"/>
                <w:sz w:val="17"/>
              </w:rPr>
              <w:t xml:space="preserve">  근거: 2022년에는 싱가폴 전력청 1,567억 규모 전력망 구축 프로젝트</w:t>
            </w:r>
          </w:p>
          <w:p>
            <w:r>
              <w:rPr>
                <w:b/>
              </w:rPr>
              <w:t>• 방글라데시 전력청 — 고객사(앵커가 판매) · 현재</w:t>
            </w:r>
          </w:p>
          <w:p>
            <w:r>
              <w:rPr>
                <w:color w:val="606060"/>
                <w:sz w:val="17"/>
              </w:rPr>
              <w:t xml:space="preserve">  근거: 방글라데시 전력청 820억 규모 초고압케이블 공급 및 설치공사 프로젝트</w:t>
            </w:r>
          </w:p>
          <w:p>
            <w:r>
              <w:rPr>
                <w:b/>
              </w:rPr>
              <w:t>• 노르웨이 전력청 — 고객사(앵커가 판매) · 현재</w:t>
            </w:r>
          </w:p>
          <w:p>
            <w:r>
              <w:rPr>
                <w:color w:val="606060"/>
                <w:sz w:val="17"/>
              </w:rPr>
              <w:t xml:space="preserve">  근거: 2023년 2월 노르웨이 전력청 340억 규모 초고압 전력선 구축 프로젝트</w:t>
            </w:r>
          </w:p>
          <w:p>
            <w:r>
              <w:rPr>
                <w:b/>
              </w:rPr>
              <w:t>• 바레인 전력청 — 고객사(앵커가 판매) · 현재</w:t>
            </w:r>
          </w:p>
          <w:p>
            <w:r>
              <w:rPr>
                <w:color w:val="606060"/>
                <w:sz w:val="17"/>
              </w:rPr>
              <w:t xml:space="preserve">  근거: 9월에는 바레인 전력청 1,685억 규모 초고압케이블 공급 및 설치공사 프로젝트</w:t>
            </w:r>
          </w:p>
          <w:p>
            <w:r>
              <w:rPr>
                <w:b/>
              </w:rPr>
              <w:t>• 쿠웨이트 전력청 MEW — 고객사(앵커가 판매) · 현재</w:t>
            </w:r>
          </w:p>
          <w:p>
            <w:r>
              <w:rPr>
                <w:color w:val="606060"/>
                <w:sz w:val="17"/>
              </w:rPr>
              <w:t xml:space="preserve">  근거: 2024년 3월 쿠웨이트 전력청 MEW로부터 1,282억 규모 초고압케이블 공급계약 체결</w:t>
            </w:r>
          </w:p>
          <w:p>
            <w:r>
              <w:rPr>
                <w:b/>
              </w:rPr>
              <w:t>• 싱가포르 전력청 SPGroup — 고객사(앵커가 판매) · 현재</w:t>
            </w:r>
          </w:p>
          <w:p>
            <w:r>
              <w:rPr>
                <w:color w:val="606060"/>
                <w:sz w:val="17"/>
              </w:rPr>
              <w:t xml:space="preserve">  근거: 2024년 5월에는 싱가포르 전력청 SPGroup 으로부터 751억 규모 초고압케이블 공급계약</w:t>
            </w:r>
          </w:p>
        </w:tc>
      </w:tr>
    </w:tbl>
    <w:p>
      <w:r>
        <w:rPr>
          <w:b/>
        </w:rPr>
        <w:t xml:space="preserve">차이: </w:t>
      </w:r>
      <w:r>
        <w:rPr>
          <w:sz w:val="18"/>
        </w:rPr>
        <w:t>1회차만 [∅anon|customer|active]  /  2회차만 [—]</w:t>
      </w:r>
    </w:p>
    <w:p>
      <w:r>
        <w:rPr>
          <w:b/>
        </w:rPr>
        <w:t xml:space="preserve">판정: </w:t>
      </w:r>
      <w:r>
        <w:t>□ 1회차   □ 2회차   □ 둘 다 아님 → ______________________________</w:t>
      </w:r>
    </w:p>
    <w:p>
      <w:r>
        <w:rPr>
          <w:color w:val="C0C0C0"/>
        </w:rPr>
        <w:t>______________________________________________________________________________</w:t>
      </w:r>
    </w:p>
    <w:p>
      <w:pPr>
        <w:pStyle w:val="Heading1"/>
      </w:pPr>
      <w:r>
        <w:rPr>
          <w:color w:val="1F4E79"/>
        </w:rPr>
        <w:t>9. 텔코웨어</w:t>
      </w:r>
    </w:p>
    <w:p>
      <w:r>
        <w:rPr>
          <w:b/>
        </w:rPr>
        <w:t xml:space="preserve">섹터 </w:t>
      </w:r>
      <w:r>
        <w:t xml:space="preserve">it  </w:t>
      </w:r>
      <w:r>
        <w:rPr>
          <w:b/>
        </w:rPr>
        <w:t xml:space="preserve">시장 </w:t>
      </w:r>
      <w:r>
        <w:t xml:space="preserve">KOSPI  </w:t>
      </w:r>
      <w:r>
        <w:rPr>
          <w:b/>
        </w:rPr>
        <w:t xml:space="preserve">공시 </w:t>
      </w:r>
      <w:r>
        <w:rPr>
          <w:sz w:val="18"/>
        </w:rPr>
        <w:t>20230316001321</w:t>
      </w:r>
    </w:p>
    <w:p>
      <w:r>
        <w:rPr>
          <w:b/>
        </w:rPr>
        <w:t>■ 원문 (근거 부분 발췌)</w:t>
      </w:r>
    </w:p>
    <w:p>
      <w:pPr>
        <w:ind w:left="280"/>
      </w:pPr>
      <w:r>
        <w:rPr>
          <w:sz w:val="19"/>
        </w:rPr>
        <w:t>나. 주요 제품 등의 가격변동추이</w:t>
        <w:br/>
        <w:t>당사의 주요 제품은 이동통신 사업자별로 같은 제품인 경우라도 시스템의 성능, 기능, 제원이 모두 다릅니다. 또한 같은 통신 사업자에 납품되는 같은 제품이라 하더라도 시스템의 성능, 기능, 제원에 따라 공급가격이 모두 다릅니다. 따라서 제품별로 가격의 변동 추이를 산정하기에 어려움이 있습니다.</w:t>
        <w:br/>
        <w:t>가. 주요 원재료 등의 현황</w:t>
        <w:br/>
        <w:t>| (단위 : 원) |</w:t>
        <w:br/>
        <w:br/>
        <w:t>| 사업부문 | 매출유형 | 품 목 | 구체적용도 | 매입액 | 비율 | 주요 거래처 |</w:t>
        <w:br/>
        <w:t>| 기타 소프트웨어 자문, 개발 및 공급(단일사업부문) | 원부재료 | 시스템-서버 | 주1) | 667,627,220 | 4.8% | 포유이앤지 외 3 |</w:t>
        <w:br/>
        <w:t>| Network장비 | 주2) | 53,492,000 | 0.4% | 인프라큐브 외 1 |</w:t>
        <w:br/>
        <w:t>| S/W Package | 주3) | 2,933,459,944 | 21.2% | 그로윈 외 11 |</w:t>
        <w:br/>
        <w:t>| PC 및 주변기기 | 주4) | 48,694,000 | 0.4% | 신우테크 외 3 |</w:t>
        <w:br/>
        <w:t>| 외주용역 | 주5) | 3,032,580,928 | 22.0% | 롤스톤 외 11 |</w:t>
        <w:br/>
        <w:t>| 소 계 | - | 6,735,854,092 | 48.8% | - |</w:t>
        <w:br/>
        <w:t>| 유지보수 | 외주용역 | 주5) | 7,075,868,098 | 51.2% | 글로벌텔레콤 외 17 |</w:t>
        <w:br/>
        <w:t>| 소 계 | - | 7,075,868,098 | 51.2% | - |</w:t>
        <w:br/>
        <w:t>| 합 계 | - | 13,811,722,190 | 100.0% | - |</w:t>
        <w:br/>
        <w:br/>
        <w:t>*원재료의 공급시장은 독과점이 없이 안정적입니다.주) 2022년 …</w:t>
      </w:r>
    </w:p>
    <w:p>
      <w:r>
        <w:rPr>
          <w:b/>
        </w:rPr>
        <w:t>■ 1회차 vs 2회차</w:t>
      </w:r>
    </w:p>
    <w:tbl>
      <w:tblPr>
        <w:tblStyle w:val="TableGrid"/>
        <w:tblW w:type="auto" w:w="0"/>
        <w:tblLook w:firstColumn="1" w:firstRow="1" w:lastColumn="0" w:lastRow="0" w:noHBand="0" w:noVBand="1" w:val="04A0"/>
      </w:tblPr>
      <w:tblGrid>
        <w:gridCol w:w="4320"/>
        <w:gridCol w:w="4320"/>
      </w:tblGrid>
      <w:tr>
        <w:tc>
          <w:tcPr>
            <w:tcW w:type="dxa" w:w="4320"/>
          </w:tcPr>
          <w:p>
            <w:r>
              <w:rPr>
                <w:b/>
              </w:rPr>
              <w:t>1회차 추출</w:t>
            </w:r>
          </w:p>
        </w:tc>
        <w:tc>
          <w:tcPr>
            <w:tcW w:type="dxa" w:w="4320"/>
          </w:tcPr>
          <w:p>
            <w:r>
              <w:rPr>
                <w:b/>
              </w:rPr>
              <w:t>2회차 추출</w:t>
            </w:r>
          </w:p>
        </w:tc>
      </w:tr>
      <w:tr>
        <w:tc>
          <w:tcPr>
            <w:tcW w:type="dxa" w:w="4320"/>
          </w:tcPr>
          <w:p>
            <w:r>
              <w:rPr>
                <w:b/>
              </w:rPr>
              <w:t>• (익명) [익명] — 고객사(앵커가 판매) · 현재</w:t>
            </w:r>
          </w:p>
          <w:p>
            <w:r>
              <w:rPr>
                <w:color w:val="606060"/>
                <w:sz w:val="17"/>
              </w:rPr>
              <w:t xml:space="preserve">  근거: 같은 통신 사업자에 납품되는 같은 제품이라 하더라도 시스템의 성능, 기능, 제원에 따라 공급가격이 모두 다릅니다</w:t>
            </w:r>
          </w:p>
          <w:p>
            <w:r>
              <w:rPr>
                <w:b/>
              </w:rPr>
              <w:t>• 포유이앤지 — 원재료 공급 · 현재</w:t>
            </w:r>
          </w:p>
          <w:p>
            <w:r>
              <w:rPr>
                <w:color w:val="606060"/>
                <w:sz w:val="17"/>
              </w:rPr>
              <w:t xml:space="preserve">  근거: | 기타 소프트웨어 자문, 개발 및 공급(단일사업부문) | 원부재료 | 시스템-서버 | 주1) | 667,627,220 | 4.8% | 포유이앤지 외 3 |</w:t>
            </w:r>
          </w:p>
          <w:p>
            <w:r>
              <w:rPr>
                <w:b/>
              </w:rPr>
              <w:t>• 인프라큐브 — 원재료 공급 · 현재</w:t>
            </w:r>
          </w:p>
          <w:p>
            <w:r>
              <w:rPr>
                <w:color w:val="606060"/>
                <w:sz w:val="17"/>
              </w:rPr>
              <w:t xml:space="preserve">  근거: | Network장비 | 주2) | 53,492,000 | 0.4% | 인프라큐브 외 1 |</w:t>
            </w:r>
          </w:p>
          <w:p>
            <w:r>
              <w:rPr>
                <w:b/>
              </w:rPr>
              <w:t>• 그로윈 — 원재료 공급 · 현재</w:t>
            </w:r>
          </w:p>
          <w:p>
            <w:r>
              <w:rPr>
                <w:color w:val="606060"/>
                <w:sz w:val="17"/>
              </w:rPr>
              <w:t xml:space="preserve">  근거: | S/W Package | 주3) | 2,933,459,944 | 21.2% | 그로윈 외 11 |</w:t>
            </w:r>
          </w:p>
          <w:p>
            <w:r>
              <w:rPr>
                <w:b/>
              </w:rPr>
              <w:t>• 신우테크 — 원재료 공급 · 현재</w:t>
            </w:r>
          </w:p>
          <w:p>
            <w:r>
              <w:rPr>
                <w:color w:val="606060"/>
                <w:sz w:val="17"/>
              </w:rPr>
              <w:t xml:space="preserve">  근거: | PC 및 주변기기 | 주4) | 48,694,000 | 0.4% | 신우테크 외 3 |</w:t>
            </w:r>
          </w:p>
          <w:p>
            <w:r>
              <w:rPr>
                <w:b/>
              </w:rPr>
              <w:t>• 롤스톤 — 공급처(앵커가 구매) · 현재</w:t>
            </w:r>
          </w:p>
          <w:p>
            <w:r>
              <w:rPr>
                <w:color w:val="606060"/>
                <w:sz w:val="17"/>
              </w:rPr>
              <w:t xml:space="preserve">  근거: | 외주용역 | 주5) | 3,032,580,928 | 22.0% | 롤스톤 외 11 |</w:t>
            </w:r>
          </w:p>
          <w:p>
            <w:r>
              <w:rPr>
                <w:b/>
              </w:rPr>
              <w:t>• 글로벌텔레콤 — 공급처(앵커가 구매) · 현재</w:t>
            </w:r>
          </w:p>
          <w:p>
            <w:r>
              <w:rPr>
                <w:color w:val="606060"/>
                <w:sz w:val="17"/>
              </w:rPr>
              <w:t xml:space="preserve">  근거: | 유지보수 | 외주용역 | 주5) | 7,075,868,098 | 51.2% | 글로벌텔레콤 외 17 |</w:t>
            </w:r>
          </w:p>
        </w:tc>
        <w:tc>
          <w:tcPr>
            <w:tcW w:type="dxa" w:w="4320"/>
          </w:tcPr>
          <w:p>
            <w:r>
              <w:rPr>
                <w:b/>
              </w:rPr>
              <w:t>• 포유이앤지 — 원재료 공급 · 현재</w:t>
            </w:r>
          </w:p>
          <w:p>
            <w:r>
              <w:rPr>
                <w:color w:val="606060"/>
                <w:sz w:val="17"/>
              </w:rPr>
              <w:t xml:space="preserve">  근거: | 기타 소프트웨어 자문, 개발 및 공급(단일사업부문) | 원부재료 | 시스템-서버 | 주1) | 667,627,220 | 4.8% | 포유이앤지 외 3 |</w:t>
            </w:r>
          </w:p>
          <w:p>
            <w:r>
              <w:rPr>
                <w:b/>
              </w:rPr>
              <w:t>• 인프라큐브 — 원재료 공급 · 현재</w:t>
            </w:r>
          </w:p>
          <w:p>
            <w:r>
              <w:rPr>
                <w:color w:val="606060"/>
                <w:sz w:val="17"/>
              </w:rPr>
              <w:t xml:space="preserve">  근거: | Network장비 | 주2) | 53,492,000 | 0.4% | 인프라큐브 외 1 |</w:t>
            </w:r>
          </w:p>
          <w:p>
            <w:r>
              <w:rPr>
                <w:b/>
              </w:rPr>
              <w:t>• 그로윈 — 원재료 공급 · 현재</w:t>
            </w:r>
          </w:p>
          <w:p>
            <w:r>
              <w:rPr>
                <w:color w:val="606060"/>
                <w:sz w:val="17"/>
              </w:rPr>
              <w:t xml:space="preserve">  근거: | S/W Package | 주3) | 2,933,459,944 | 21.2% | 그로윈 외 11 |</w:t>
            </w:r>
          </w:p>
          <w:p>
            <w:r>
              <w:rPr>
                <w:b/>
              </w:rPr>
              <w:t>• 신우테크 — 원재료 공급 · 현재</w:t>
            </w:r>
          </w:p>
          <w:p>
            <w:r>
              <w:rPr>
                <w:color w:val="606060"/>
                <w:sz w:val="17"/>
              </w:rPr>
              <w:t xml:space="preserve">  근거: | PC 및 주변기기 | 주4) | 48,694,000 | 0.4% | 신우테크 외 3 |</w:t>
            </w:r>
          </w:p>
          <w:p>
            <w:r>
              <w:rPr>
                <w:b/>
              </w:rPr>
              <w:t>• 롤스톤 — 공급처(앵커가 구매) · 현재</w:t>
            </w:r>
          </w:p>
          <w:p>
            <w:r>
              <w:rPr>
                <w:color w:val="606060"/>
                <w:sz w:val="17"/>
              </w:rPr>
              <w:t xml:space="preserve">  근거: | 외주용역 | 주5) | 3,032,580,928 | 22.0% | 롤스톤 외 11 |</w:t>
            </w:r>
          </w:p>
          <w:p>
            <w:r>
              <w:rPr>
                <w:b/>
              </w:rPr>
              <w:t>• 글로벌텔레콤 — 공급처(앵커가 구매) · 현재</w:t>
            </w:r>
          </w:p>
          <w:p>
            <w:r>
              <w:rPr>
                <w:color w:val="606060"/>
                <w:sz w:val="17"/>
              </w:rPr>
              <w:t xml:space="preserve">  근거: | 유지보수 | 외주용역 | 주5) | 7,075,868,098 | 51.2% | 글로벌텔레콤 외 17 |</w:t>
            </w:r>
          </w:p>
        </w:tc>
      </w:tr>
    </w:tbl>
    <w:p>
      <w:r>
        <w:rPr>
          <w:b/>
        </w:rPr>
        <w:t xml:space="preserve">차이: </w:t>
      </w:r>
      <w:r>
        <w:rPr>
          <w:sz w:val="18"/>
        </w:rPr>
        <w:t>1회차만 [∅anon|customer|active]  /  2회차만 [—]</w:t>
      </w:r>
    </w:p>
    <w:p>
      <w:r>
        <w:rPr>
          <w:b/>
        </w:rPr>
        <w:t xml:space="preserve">판정: </w:t>
      </w:r>
      <w:r>
        <w:t>□ 1회차   □ 2회차   □ 둘 다 아님 → ______________________________</w:t>
      </w:r>
    </w:p>
    <w:p>
      <w:r>
        <w:rPr>
          <w:color w:val="C0C0C0"/>
        </w:rPr>
        <w:t>______________________________________________________________________________</w:t>
      </w:r>
    </w:p>
    <w:p>
      <w:pPr>
        <w:pStyle w:val="Heading1"/>
      </w:pPr>
      <w:r>
        <w:rPr>
          <w:color w:val="1F4E79"/>
        </w:rPr>
        <w:t>10. 삼영에스앤씨</w:t>
      </w:r>
    </w:p>
    <w:p>
      <w:r>
        <w:rPr>
          <w:b/>
        </w:rPr>
        <w:t xml:space="preserve">섹터 </w:t>
      </w:r>
      <w:r>
        <w:t xml:space="preserve">semi  </w:t>
      </w:r>
      <w:r>
        <w:rPr>
          <w:b/>
        </w:rPr>
        <w:t xml:space="preserve">시장 </w:t>
      </w:r>
      <w:r>
        <w:t xml:space="preserve">KOSDAQ  </w:t>
      </w:r>
      <w:r>
        <w:rPr>
          <w:b/>
        </w:rPr>
        <w:t xml:space="preserve">공시 </w:t>
      </w:r>
      <w:r>
        <w:rPr>
          <w:sz w:val="18"/>
        </w:rPr>
        <w:t>20260629000219</w:t>
      </w:r>
    </w:p>
    <w:p>
      <w:r>
        <w:rPr>
          <w:b/>
        </w:rPr>
        <w:t>■ 원문 (근거 부분 발췌)</w:t>
      </w:r>
    </w:p>
    <w:p>
      <w:pPr>
        <w:ind w:left="280"/>
      </w:pPr>
      <w:r>
        <w:rPr>
          <w:sz w:val="19"/>
        </w:rPr>
        <w:t>당사는 20년 이상 축적된 소재 기술, 교정 기술 및 양산 기술을 기반으로 고정밀 환경센서 시장에서 경쟁력을 확보하고 있습니다.2) 상대습도센서저항형 센서는 중국 저가 센서의 시장 진입으로 범용 가전 시장에서의 판매 물량은 감소하는 추세이나, 품질 신뢰도가 중요한 중고가 웨더스테이션 제품군 중심으로 매출이 유지되고 있습니다. 또한 에어컨, 냉장고 등 가전제품과 LG 오브제와 같은 프리미엄 가전 제품에 적용되는 센서의 경우 일본의 Shinyei Technology 등이 주요 경쟁사로, 비교적 안정적인 가격 수준을 유지하면서 판매가 지속되고 있습니다.용량형 센서의 경우 MAMAC Systems 및 Honeywell ODM 제품 등이 장기간 안정적인 가격 수준을 유지하며 공급되고 있으며, 일부 신규 고객 확보를 통해 판매 물량이 점진적으로 증가하고 있습니다.3) 차량용 압력센서당사의 차량용 압력센서는 산업용 차량 및 트럭 등의 내연기관 연료 계통에 적용되는 제품으로, 연료 필터 내부 압력을 측정하여 연료 효율 개선과 차량 내구성 향상에 기여합니다.최근 글로벌 자동차 산업에서는 전기차 시장 성장 둔화와 정책 변화 등으로 내연기관 차량의 수요가 일정 수준 회복될 것으로 전망되고 있습니다. 또한 자동차 산업 특성상 부품 공급이 장기간 지속되는 경우가 많아, 해당 제품의 매출 역시 안정적인 성장이 기대되고 있습니다.4) 초저습 환경 측정용 노점계당사의 노점계는 배터리 제조 공정과 같이 초저습 환경 관리가 필요한 산업 현장에서 사용되는 정밀 측정 장비로, 본격적인 시장 공급이 이루어지며 매출이 확대되고 있습니다. 해당 제품은 기존 계측 분야에서 사용되던 기술을 기반으로 장비의 소형화와 사용 편의성을 개선하였으며, 고객의 접근성을 고려한 합리적인 가격 정책을 적용하고 있습니다. 또한 장기간의 연구개발과 현장 검증을 통해 성능이 확인된 제품으로, 배터리 제조 공정 등 초저습 환경 관리가 필요한 산업 분야에서 지속적인 수요가 예상되고 있습니다.</w:t>
        <w:br/>
        <w:t>가. 원재료에 관한 사항</w:t>
        <w:br/>
        <w:t>1) 주요제품의 매입 현황</w:t>
        <w:br/>
        <w:t>|  | (단위: 천원) |</w:t>
        <w:br/>
        <w:br/>
        <w:t>| 품목 | 주요거래처 | 매입액(2025년) |</w:t>
        <w:br/>
        <w:t>| 원재료 | 수입 | 2,930,585 |</w:t>
        <w:br/>
        <w:t>| 외주가공비 | 에스*** 외 | 234,624 |</w:t>
        <w:br/>
        <w:t>| 상품 | ***코리아 외 | 4,691,189 |</w:t>
        <w:br/>
        <w:t>| 총 합 계 | 7,856,397 |</w:t>
        <w:br/>
        <w:br/>
        <w:t>품목</w:t>
        <w:br/>
        <w:t>매입액(2025년)</w:t>
        <w:br/>
        <w:t>총 합 계</w:t>
        <w:br/>
        <w:t>| ※ 당사와 특수한 관계를 갖는 원재료 매입처는 없습니다. 공급시장의 독과점 정도 및 공급의 안정성 등에 대해서는 우려할 만한 사항은 …</w:t>
      </w:r>
    </w:p>
    <w:p>
      <w:r>
        <w:rPr>
          <w:b/>
        </w:rPr>
        <w:t>■ 1회차 vs 2회차</w:t>
      </w:r>
    </w:p>
    <w:tbl>
      <w:tblPr>
        <w:tblStyle w:val="TableGrid"/>
        <w:tblW w:type="auto" w:w="0"/>
        <w:tblLook w:firstColumn="1" w:firstRow="1" w:lastColumn="0" w:lastRow="0" w:noHBand="0" w:noVBand="1" w:val="04A0"/>
      </w:tblPr>
      <w:tblGrid>
        <w:gridCol w:w="4320"/>
        <w:gridCol w:w="4320"/>
      </w:tblGrid>
      <w:tr>
        <w:tc>
          <w:tcPr>
            <w:tcW w:type="dxa" w:w="4320"/>
          </w:tcPr>
          <w:p>
            <w:r>
              <w:rPr>
                <w:b/>
              </w:rPr>
              <w:t>1회차 추출</w:t>
            </w:r>
          </w:p>
        </w:tc>
        <w:tc>
          <w:tcPr>
            <w:tcW w:type="dxa" w:w="4320"/>
          </w:tcPr>
          <w:p>
            <w:r>
              <w:rPr>
                <w:b/>
              </w:rPr>
              <w:t>2회차 추출</w:t>
            </w:r>
          </w:p>
        </w:tc>
      </w:tr>
      <w:tr>
        <w:tc>
          <w:tcPr>
            <w:tcW w:type="dxa" w:w="4320"/>
          </w:tcPr>
          <w:p>
            <w:r>
              <w:rPr>
                <w:b/>
              </w:rPr>
              <w:t>• (익명) [익명] — 경쟁사 · 현재</w:t>
            </w:r>
          </w:p>
          <w:p>
            <w:r>
              <w:rPr>
                <w:color w:val="606060"/>
                <w:sz w:val="17"/>
              </w:rPr>
              <w:t xml:space="preserve">  근거: 저항형 센서는 중국 저가 센서의 시장 진입으로 범용 가전 시장에서의 판매 물량은 감소하는 추세이나, 품질 신뢰도가 중요한 중고가 웨더스테이션 제품군 중심으로 매출이 유지되고 있습니다.</w:t>
            </w:r>
          </w:p>
          <w:p>
            <w:r>
              <w:rPr>
                <w:b/>
              </w:rPr>
              <w:t>• Shinyei Technology — 경쟁사 · 현재</w:t>
            </w:r>
          </w:p>
          <w:p>
            <w:r>
              <w:rPr>
                <w:color w:val="606060"/>
                <w:sz w:val="17"/>
              </w:rPr>
              <w:t xml:space="preserve">  근거: 에어컨, 냉장고 등 가전제품과 LG 오브제와 같은 프리미엄 가전 제품에 적용되는 센서의 경우 일본의 Shinyei Technology 등이 주요 경쟁사로, 비교적 안정적인 가격 수준을 유지하면서 판매가 지속되고 있습니다.</w:t>
            </w:r>
          </w:p>
          <w:p>
            <w:r>
              <w:rPr>
                <w:b/>
              </w:rPr>
              <w:t>• MAMAC Systems — 고객사(앵커가 판매) · 현재</w:t>
            </w:r>
          </w:p>
          <w:p>
            <w:r>
              <w:rPr>
                <w:color w:val="606060"/>
                <w:sz w:val="17"/>
              </w:rPr>
              <w:t xml:space="preserve">  근거: 용량형 센서의 경우 MAMAC Systems 및 Honeywell ODM 제품 등이 장기간 안정적인 가격 수준을 유지하며 공급되고 있으며, 일부 신규 고객 확보를 통해 판매 물량이 점진적으로 증가하고 있습니다.</w:t>
            </w:r>
          </w:p>
          <w:p>
            <w:r>
              <w:rPr>
                <w:b/>
              </w:rPr>
              <w:t>• Honeywell — 고객사(앵커가 판매) · 현재</w:t>
            </w:r>
          </w:p>
          <w:p>
            <w:r>
              <w:rPr>
                <w:color w:val="606060"/>
                <w:sz w:val="17"/>
              </w:rPr>
              <w:t xml:space="preserve">  근거: 용량형 센서의 경우 MAMAC Systems 및 Honeywell ODM 제품 등이 장기간 안정적인 가격 수준을 유지하며 공급되고 있으며, 일부 신규 고객 확보를 통해 판매 물량이 점진적으로 증가하고 있습니다.</w:t>
            </w:r>
          </w:p>
          <w:p>
            <w:r>
              <w:rPr>
                <w:b/>
              </w:rPr>
              <w:t>• (익명) [익명] — 공급처(앵커가 구매) · 현재</w:t>
            </w:r>
          </w:p>
          <w:p>
            <w:r>
              <w:rPr>
                <w:color w:val="606060"/>
                <w:sz w:val="17"/>
              </w:rPr>
              <w:t xml:space="preserve">  근거: | 외주가공비 | 에스*** 외 | 234,624 |</w:t>
            </w:r>
          </w:p>
          <w:p>
            <w:r>
              <w:rPr>
                <w:b/>
              </w:rPr>
              <w:t>• (익명) [익명] — 공급처(앵커가 구매) · 현재</w:t>
            </w:r>
          </w:p>
          <w:p>
            <w:r>
              <w:rPr>
                <w:color w:val="606060"/>
                <w:sz w:val="17"/>
              </w:rPr>
              <w:t xml:space="preserve">  근거: | 상품 | ***코리아 외 | 4,691,189 |</w:t>
            </w:r>
          </w:p>
        </w:tc>
        <w:tc>
          <w:tcPr>
            <w:tcW w:type="dxa" w:w="4320"/>
          </w:tcPr>
          <w:p>
            <w:r>
              <w:rPr>
                <w:b/>
              </w:rPr>
              <w:t>• Shinyei Technology — 경쟁사 · 현재</w:t>
            </w:r>
          </w:p>
          <w:p>
            <w:r>
              <w:rPr>
                <w:color w:val="606060"/>
                <w:sz w:val="17"/>
              </w:rPr>
              <w:t xml:space="preserve">  근거: 또한 에어컨, 냉장고 등 가전제품과 LG 오브제와 같은 프리미엄 가전 제품에 적용되는 센서의 경우 일본의 Shinyei Technology 등이 주요 경쟁사로, 비교적 안정적인 가격 수준을 유지하면서 판매가 지속되고 있습니다.</w:t>
            </w:r>
          </w:p>
          <w:p>
            <w:r>
              <w:rPr>
                <w:b/>
              </w:rPr>
              <w:t>• MAMAC Systems — 고객사(앵커가 판매) · 현재</w:t>
            </w:r>
          </w:p>
          <w:p>
            <w:r>
              <w:rPr>
                <w:color w:val="606060"/>
                <w:sz w:val="17"/>
              </w:rPr>
              <w:t xml:space="preserve">  근거: 용량형 센서의 경우 MAMAC Systems 및 Honeywell ODM 제품 등이 장기간 안정적인 가격 수준을 유지하며 공급되고 있으며, 일부 신규 고객 확보를 통해 판매 물량이 점진적으로 증가하고 있습니다.</w:t>
            </w:r>
          </w:p>
          <w:p>
            <w:r>
              <w:rPr>
                <w:b/>
              </w:rPr>
              <w:t>• Honeywell — 고객사(앵커가 판매) · 현재</w:t>
            </w:r>
          </w:p>
          <w:p>
            <w:r>
              <w:rPr>
                <w:color w:val="606060"/>
                <w:sz w:val="17"/>
              </w:rPr>
              <w:t xml:space="preserve">  근거: 용량형 센서의 경우 MAMAC Systems 및 Honeywell ODM 제품 등이 장기간 안정적인 가격 수준을 유지하며 공급되고 있으며, 일부 신규 고객 확보를 통해 판매 물량이 점진적으로 증가하고 있습니다.</w:t>
            </w:r>
          </w:p>
          <w:p>
            <w:r>
              <w:rPr>
                <w:b/>
              </w:rPr>
              <w:t>• (익명) [익명] — 공급처(앵커가 구매) · 현재</w:t>
            </w:r>
          </w:p>
          <w:p>
            <w:r>
              <w:rPr>
                <w:color w:val="606060"/>
                <w:sz w:val="17"/>
              </w:rPr>
              <w:t xml:space="preserve">  근거: | 외주가공비 | 에스*** 외 | 234,624 |</w:t>
            </w:r>
          </w:p>
          <w:p>
            <w:r>
              <w:rPr>
                <w:b/>
              </w:rPr>
              <w:t>• (익명) [익명] — 공급처(앵커가 구매) · 현재</w:t>
            </w:r>
          </w:p>
          <w:p>
            <w:r>
              <w:rPr>
                <w:color w:val="606060"/>
                <w:sz w:val="17"/>
              </w:rPr>
              <w:t xml:space="preserve">  근거: | 상품 | ***코리아 외 | 4,691,189 |</w:t>
            </w:r>
          </w:p>
        </w:tc>
      </w:tr>
    </w:tbl>
    <w:p>
      <w:r>
        <w:rPr>
          <w:b/>
        </w:rPr>
        <w:t xml:space="preserve">차이: </w:t>
      </w:r>
      <w:r>
        <w:rPr>
          <w:sz w:val="18"/>
        </w:rPr>
        <w:t>1회차만 [∅anon|competitor|active]  /  2회차만 [—]</w:t>
      </w:r>
    </w:p>
    <w:p>
      <w:r>
        <w:rPr>
          <w:b/>
        </w:rPr>
        <w:t xml:space="preserve">판정: </w:t>
      </w:r>
      <w:r>
        <w:t>□ 1회차   □ 2회차   □ 둘 다 아님 → ______________________________</w:t>
      </w:r>
    </w:p>
    <w:p>
      <w:r>
        <w:rPr>
          <w:color w:val="C0C0C0"/>
        </w:rPr>
        <w:t>______________________________________________________________________________</w:t>
      </w:r>
    </w:p>
    <w:p>
      <w:pPr>
        <w:pStyle w:val="Heading1"/>
      </w:pPr>
      <w:r>
        <w:rPr>
          <w:color w:val="1F4E79"/>
        </w:rPr>
        <w:t>11. 케이바이오랩스</w:t>
      </w:r>
    </w:p>
    <w:p>
      <w:r>
        <w:rPr>
          <w:b/>
        </w:rPr>
        <w:t xml:space="preserve">섹터 </w:t>
      </w:r>
      <w:r>
        <w:t xml:space="preserve">retail  </w:t>
      </w:r>
      <w:r>
        <w:rPr>
          <w:b/>
        </w:rPr>
        <w:t xml:space="preserve">시장 </w:t>
      </w:r>
      <w:r>
        <w:t xml:space="preserve">KOSDAQ  </w:t>
      </w:r>
      <w:r>
        <w:rPr>
          <w:b/>
        </w:rPr>
        <w:t xml:space="preserve">공시 </w:t>
      </w:r>
      <w:r>
        <w:rPr>
          <w:sz w:val="18"/>
        </w:rPr>
        <w:t>20240320001632</w:t>
      </w:r>
    </w:p>
    <w:p>
      <w:r>
        <w:rPr>
          <w:b/>
        </w:rPr>
        <w:t>■ 원문 (근거 부분 발췌)</w:t>
      </w:r>
    </w:p>
    <w:p>
      <w:pPr>
        <w:ind w:left="280"/>
      </w:pPr>
      <w:r>
        <w:rPr>
          <w:sz w:val="19"/>
        </w:rPr>
        <w:t>… ▣ AHD 3.0 StandAlone DVR 신규 개발 |</w:t>
        <w:br/>
        <w:t>| 연구과제 | NCore Base StandAlone DVR 개발. |</w:t>
        <w:br/>
        <w:t>| 연구결과 | 개발 완료 |</w:t>
        <w:br/>
        <w:t>| 기대효과 | 일본 DVR 시장 경쟁력 확보 |</w:t>
        <w:br/>
        <w:t>| 상품화내용 | 일본 TOA향 DVR 시스템 개발 |</w:t>
        <w:br/>
        <w:br/>
        <w:t>| ▣ 통합플랫폼 웹 솔루션 개발 |</w:t>
        <w:br/>
        <w:t>| 연구과제 | TTA 인증 받은 5대 연계 기반 통합플랫폼 웹 솔루션 개발 |</w:t>
        <w:br/>
        <w:t>| 연구결과 | 개발 완료, GS 인증 |</w:t>
        <w:br/>
        <w:t>| 기대효과 | 국내 지자체 통합관제 통합플랫폼의 시장대응성과 저변 확대 |</w:t>
        <w:br/>
        <w:t>| 상품화내용 | 통합 플랫폼 시스템 솔루션 |</w:t>
        <w:br/>
        <w:br/>
        <w:t>| ▣ 신규 미디어 저장 모듈 개발 (공용 FileSystem) |</w:t>
        <w:br/>
        <w:t>| 연구과제 | Windows / Linux OS 구분 없이 공용으로 사용하기 위한 저장 모듈 개발 |</w:t>
        <w:br/>
        <w:t>| 연구결과 | 개발 완료 |</w:t>
        <w:br/>
        <w:t>| 기대효과 | 공용 모듈 개발로 인해 다양한 제품에 적용 가능 |</w:t>
        <w:br/>
        <w:t>| 상품화내용 | 일본 TOA향 신규 DVR에 적용 |</w:t>
        <w:br/>
        <w:br/>
        <w:t>| ▣ VMS Display Cuda 연동 개발 |</w:t>
        <w:br/>
        <w:t>| 연구과제 | Display Cuda 연동 개발 |</w:t>
        <w:br/>
        <w:t>| 연구결과 | H.264영상 Display시 Video Decoding을 Cuda Process를 사용함. |</w:t>
        <w:br/>
        <w:t>| 기대효과 | Display 시 Cuda Process를 사용함으로써 CPU 효율성 및 클라이언트 Performance 성능 향상 기대 |</w:t>
        <w:br/>
        <w:t>| 상품화내용 | VMS 클라이언트 Display 성능에 활용. |</w:t>
        <w:br/>
        <w:br/>
        <w:t>| ▣ 통합플랫폼 웹 솔루션 |</w:t>
        <w:br/>
        <w:t>| 연구과제 | 통합플랫폼(Smart-I) GS 인증 |</w:t>
        <w:br/>
        <w:t>| 연구결과 | 1등급 인증 획득 |</w:t>
        <w:br/>
        <w:t>| 기대효과 | 국내 지자체 통합관제 통합플랫폼의 시장대응성과 저변 확대. |</w:t>
        <w:br/>
        <w:t>| 상품화내용 | 통합 플랫폼 시스템 솔루션 |</w:t>
        <w:br/>
        <w:br/>
        <w:t>| ▣ 카메라 패스워드 일괄 변경 솔루션 |</w:t>
        <w:br/>
        <w:t>| 연구과제 | CCTV 카메라의 패스워드를 주기적으로 일괄 변경할 수 있는 솔루션 개발 |</w:t>
        <w:br/>
        <w:t>| 연구결과 | 개발 완료, Trium-I VMS 에 적용 |</w:t>
        <w:br/>
        <w:t>| 기대효과 | 고객요청 사항 수용 및 시장대응성 확대 |</w:t>
        <w:br/>
        <w:t>| 상품화내용 | 공군 주기장 프로젝트에 활용 |</w:t>
      </w:r>
    </w:p>
    <w:p>
      <w:r>
        <w:rPr>
          <w:b/>
        </w:rPr>
        <w:t>■ 1회차 vs 2회차</w:t>
      </w:r>
    </w:p>
    <w:tbl>
      <w:tblPr>
        <w:tblStyle w:val="TableGrid"/>
        <w:tblW w:type="auto" w:w="0"/>
        <w:tblLook w:firstColumn="1" w:firstRow="1" w:lastColumn="0" w:lastRow="0" w:noHBand="0" w:noVBand="1" w:val="04A0"/>
      </w:tblPr>
      <w:tblGrid>
        <w:gridCol w:w="4320"/>
        <w:gridCol w:w="4320"/>
      </w:tblGrid>
      <w:tr>
        <w:tc>
          <w:tcPr>
            <w:tcW w:type="dxa" w:w="4320"/>
          </w:tcPr>
          <w:p>
            <w:r>
              <w:rPr>
                <w:b/>
              </w:rPr>
              <w:t>1회차 추출</w:t>
            </w:r>
          </w:p>
        </w:tc>
        <w:tc>
          <w:tcPr>
            <w:tcW w:type="dxa" w:w="4320"/>
          </w:tcPr>
          <w:p>
            <w:r>
              <w:rPr>
                <w:b/>
              </w:rPr>
              <w:t>2회차 추출</w:t>
            </w:r>
          </w:p>
        </w:tc>
      </w:tr>
      <w:tr>
        <w:tc>
          <w:tcPr>
            <w:tcW w:type="dxa" w:w="4320"/>
          </w:tcPr>
          <w:p>
            <w:r>
              <w:rPr>
                <w:b/>
              </w:rPr>
              <w:t>• TOA — 고객사(앵커가 판매) · 현재</w:t>
            </w:r>
          </w:p>
          <w:p>
            <w:r>
              <w:rPr>
                <w:color w:val="606060"/>
                <w:sz w:val="17"/>
              </w:rPr>
              <w:t xml:space="preserve">  근거: | 상품화내용 | 일본 TOA향 DVR 시스템 개발 |</w:t>
            </w:r>
          </w:p>
          <w:p>
            <w:r>
              <w:rPr>
                <w:b/>
              </w:rPr>
              <w:t>• 공군 — 고객사(앵커가 판매) · 현재</w:t>
            </w:r>
          </w:p>
          <w:p>
            <w:r>
              <w:rPr>
                <w:color w:val="606060"/>
                <w:sz w:val="17"/>
              </w:rPr>
              <w:t xml:space="preserve">  근거: | 상품화내용 | 공군 주기장 프로젝트에 활용 |</w:t>
            </w:r>
          </w:p>
        </w:tc>
        <w:tc>
          <w:tcPr>
            <w:tcW w:type="dxa" w:w="4320"/>
          </w:tcPr>
          <w:p>
            <w:r>
              <w:rPr>
                <w:b/>
              </w:rPr>
              <w:t>• TOA — 고객사(앵커가 판매) · 현재</w:t>
            </w:r>
          </w:p>
          <w:p>
            <w:r>
              <w:rPr>
                <w:color w:val="606060"/>
                <w:sz w:val="17"/>
              </w:rPr>
              <w:t xml:space="preserve">  근거: | 상품화내용 | 일본 TOA향 DVR 시스템 개발 |</w:t>
            </w:r>
          </w:p>
        </w:tc>
      </w:tr>
    </w:tbl>
    <w:p>
      <w:r>
        <w:rPr>
          <w:b/>
        </w:rPr>
        <w:t xml:space="preserve">차이: </w:t>
      </w:r>
      <w:r>
        <w:rPr>
          <w:sz w:val="18"/>
        </w:rPr>
        <w:t>1회차만 [공군|customer|active]  /  2회차만 [—]</w:t>
      </w:r>
    </w:p>
    <w:p>
      <w:r>
        <w:rPr>
          <w:b/>
        </w:rPr>
        <w:t xml:space="preserve">판정: </w:t>
      </w:r>
      <w:r>
        <w:t>□ 1회차   □ 2회차   □ 둘 다 아님 → ______________________________</w:t>
      </w:r>
    </w:p>
    <w:p>
      <w:r>
        <w:rPr>
          <w:color w:val="C0C0C0"/>
        </w:rPr>
        <w:t>______________________________________________________________________________</w:t>
      </w:r>
    </w:p>
    <w:p>
      <w:pPr>
        <w:pStyle w:val="Heading1"/>
      </w:pPr>
      <w:r>
        <w:rPr>
          <w:color w:val="1F4E79"/>
        </w:rPr>
        <w:t>12. 엔에이치스팩31호</w:t>
      </w:r>
    </w:p>
    <w:p>
      <w:r>
        <w:rPr>
          <w:b/>
        </w:rPr>
        <w:t xml:space="preserve">섹터 </w:t>
      </w:r>
      <w:r>
        <w:t xml:space="preserve">fin  </w:t>
      </w:r>
      <w:r>
        <w:rPr>
          <w:b/>
        </w:rPr>
        <w:t xml:space="preserve">시장 </w:t>
      </w:r>
      <w:r>
        <w:t xml:space="preserve">KOSDAQ  </w:t>
      </w:r>
      <w:r>
        <w:rPr>
          <w:b/>
        </w:rPr>
        <w:t xml:space="preserve">공시 </w:t>
      </w:r>
      <w:r>
        <w:rPr>
          <w:sz w:val="18"/>
        </w:rPr>
        <w:t>20250319001061</w:t>
      </w:r>
    </w:p>
    <w:p>
      <w:r>
        <w:rPr>
          <w:b/>
        </w:rPr>
        <w:t>■ 원문 (근거 부분 발췌)</w:t>
      </w:r>
    </w:p>
    <w:p>
      <w:pPr>
        <w:ind w:left="280"/>
      </w:pPr>
      <w:r>
        <w:rPr>
          <w:sz w:val="19"/>
        </w:rPr>
        <w:t>…장법에 따른 주권비상장법인과 합병하는 경우 당사가 소멸하는 방식으로 합병할 수 없으며, 주권의 최초 모집 이전에 협상이 진행되고 있거나 잠정적으로 정해진 합병대상법인이 존재하지 아니하는등의 제한이 있습니다.</w:t>
        <w:br/>
        <w:t>(4) 당사는 유가증권시장 상장시 엔에이치투자증권 주식회사와 맺은 주식총액인수 및 모집매출계약에 따라 공모금액의 3.0%를 엔에이치투자증권 주식회사에게 인수수수료로 지급하여야 하며,동 계약에 따라 당사가 당기 중 지급한 인수수수료 180,000,000원은 주식발행 직접비용으로 주식발행초과금과 상계하였습니다. 한편, 미인식한 인수수수료 180,000,000원은 당사가 다른 법인과의 합병시 합병…</w:t>
      </w:r>
    </w:p>
    <w:p>
      <w:r>
        <w:rPr>
          <w:b/>
        </w:rPr>
        <w:t>■ 1회차 vs 2회차</w:t>
      </w:r>
    </w:p>
    <w:tbl>
      <w:tblPr>
        <w:tblStyle w:val="TableGrid"/>
        <w:tblW w:type="auto" w:w="0"/>
        <w:tblLook w:firstColumn="1" w:firstRow="1" w:lastColumn="0" w:lastRow="0" w:noHBand="0" w:noVBand="1" w:val="04A0"/>
      </w:tblPr>
      <w:tblGrid>
        <w:gridCol w:w="4320"/>
        <w:gridCol w:w="4320"/>
      </w:tblGrid>
      <w:tr>
        <w:tc>
          <w:tcPr>
            <w:tcW w:type="dxa" w:w="4320"/>
          </w:tcPr>
          <w:p>
            <w:r>
              <w:rPr>
                <w:b/>
              </w:rPr>
              <w:t>1회차 추출</w:t>
            </w:r>
          </w:p>
        </w:tc>
        <w:tc>
          <w:tcPr>
            <w:tcW w:type="dxa" w:w="4320"/>
          </w:tcPr>
          <w:p>
            <w:r>
              <w:rPr>
                <w:b/>
              </w:rPr>
              <w:t>2회차 추출</w:t>
            </w:r>
          </w:p>
        </w:tc>
      </w:tr>
      <w:tr>
        <w:tc>
          <w:tcPr>
            <w:tcW w:type="dxa" w:w="4320"/>
          </w:tcPr>
          <w:p>
            <w:r>
              <w:rPr>
                <w:b/>
              </w:rPr>
              <w:t>• 엔에이치투자증권 주식회사 — 공급처(앵커가 구매) · 현재</w:t>
            </w:r>
          </w:p>
          <w:p>
            <w:r>
              <w:rPr>
                <w:color w:val="606060"/>
                <w:sz w:val="17"/>
              </w:rPr>
              <w:t xml:space="preserve">  근거: 당사는 유가증권시장 상장시 엔에이치투자증권 주식회사와 맺은 주식총액인수 및 모집매출계약에 따라 공모금액의 3.0%를 엔에이치투자증권 주식회사에게 인수수수료로 지급하여야 하며</w:t>
            </w:r>
          </w:p>
        </w:tc>
        <w:tc>
          <w:tcPr>
            <w:tcW w:type="dxa" w:w="4320"/>
          </w:tcPr>
          <w:p>
            <w:r>
              <w:rPr>
                <w:i/>
              </w:rPr>
              <w:t>(관계 없음)</w:t>
            </w:r>
          </w:p>
        </w:tc>
      </w:tr>
    </w:tbl>
    <w:p>
      <w:r>
        <w:rPr>
          <w:b/>
        </w:rPr>
        <w:t xml:space="preserve">차이: </w:t>
      </w:r>
      <w:r>
        <w:rPr>
          <w:sz w:val="18"/>
        </w:rPr>
        <w:t>1회차만 [엔에이치투자증권|supplier|active]  /  2회차만 [—]</w:t>
      </w:r>
    </w:p>
    <w:p>
      <w:r>
        <w:rPr>
          <w:b/>
        </w:rPr>
        <w:t xml:space="preserve">판정: </w:t>
      </w:r>
      <w:r>
        <w:t>□ 1회차   □ 2회차   □ 둘 다 아님 → ______________________________</w:t>
      </w:r>
    </w:p>
    <w:p>
      <w:r>
        <w:rPr>
          <w:color w:val="C0C0C0"/>
        </w:rPr>
        <w:t>______________________________________________________________________________</w:t>
      </w:r>
    </w:p>
    <w:p>
      <w:pPr>
        <w:pStyle w:val="Heading1"/>
      </w:pPr>
      <w:r>
        <w:rPr>
          <w:color w:val="1F4E79"/>
        </w:rPr>
        <w:t>13. NICE인프라</w:t>
      </w:r>
    </w:p>
    <w:p>
      <w:r>
        <w:rPr>
          <w:b/>
        </w:rPr>
        <w:t xml:space="preserve">섹터 </w:t>
      </w:r>
      <w:r>
        <w:t xml:space="preserve">leisure  </w:t>
      </w:r>
      <w:r>
        <w:rPr>
          <w:b/>
        </w:rPr>
        <w:t xml:space="preserve">시장 </w:t>
      </w:r>
      <w:r>
        <w:t xml:space="preserve">KOSDAQ  </w:t>
      </w:r>
      <w:r>
        <w:rPr>
          <w:b/>
        </w:rPr>
        <w:t xml:space="preserve">공시 </w:t>
      </w:r>
      <w:r>
        <w:rPr>
          <w:sz w:val="18"/>
        </w:rPr>
        <w:t>20250317000969</w:t>
      </w:r>
    </w:p>
    <w:p>
      <w:r>
        <w:rPr>
          <w:b/>
        </w:rPr>
        <w:t>■ 원문 (근거 부분 발췌)</w:t>
      </w:r>
    </w:p>
    <w:p>
      <w:pPr>
        <w:ind w:left="280"/>
      </w:pPr>
      <w:r>
        <w:rPr>
          <w:sz w:val="19"/>
        </w:rPr>
        <w:t>…융의 모빌리티사업본부, KIOSK 및 영상보안솔루션사업은한국전자금융의 무인솔루션사업본부에서 담당하고 있으며, 현금수송사업은 자회사인 NICE씨엠에스에서담당하고 있습니다.(2) 판매경로</w:t>
        <w:br/>
        <w:t>1) 무인자동화시스템 운영사업</w:t>
        <w:br/>
        <w:t>가) ATM 관리사업 부문국민은행, 우리은행, 신한은행, 하나은행 등 주요 시중은행 및 지방은행을 대상으로 영업활동을 수행하고 있습니다.</w:t>
      </w:r>
    </w:p>
    <w:p>
      <w:r>
        <w:rPr>
          <w:b/>
        </w:rPr>
        <w:t>■ 1회차 vs 2회차</w:t>
      </w:r>
    </w:p>
    <w:tbl>
      <w:tblPr>
        <w:tblStyle w:val="TableGrid"/>
        <w:tblW w:type="auto" w:w="0"/>
        <w:tblLook w:firstColumn="1" w:firstRow="1" w:lastColumn="0" w:lastRow="0" w:noHBand="0" w:noVBand="1" w:val="04A0"/>
      </w:tblPr>
      <w:tblGrid>
        <w:gridCol w:w="4320"/>
        <w:gridCol w:w="4320"/>
      </w:tblGrid>
      <w:tr>
        <w:tc>
          <w:tcPr>
            <w:tcW w:type="dxa" w:w="4320"/>
          </w:tcPr>
          <w:p>
            <w:r>
              <w:rPr>
                <w:b/>
              </w:rPr>
              <w:t>1회차 추출</w:t>
            </w:r>
          </w:p>
        </w:tc>
        <w:tc>
          <w:tcPr>
            <w:tcW w:type="dxa" w:w="4320"/>
          </w:tcPr>
          <w:p>
            <w:r>
              <w:rPr>
                <w:b/>
              </w:rPr>
              <w:t>2회차 추출</w:t>
            </w:r>
          </w:p>
        </w:tc>
      </w:tr>
      <w:tr>
        <w:tc>
          <w:tcPr>
            <w:tcW w:type="dxa" w:w="4320"/>
          </w:tcPr>
          <w:p>
            <w:r>
              <w:rPr>
                <w:b/>
              </w:rPr>
              <w:t>• 국민은행 — 고객사(앵커가 판매) · 현재</w:t>
            </w:r>
          </w:p>
          <w:p>
            <w:r>
              <w:rPr>
                <w:color w:val="606060"/>
                <w:sz w:val="17"/>
              </w:rPr>
              <w:t xml:space="preserve">  근거: 국민은행, 우리은행, 신한은행, 하나은행 등 주요 시중은행 및 지방은행을 대상으로 영업활동을 수행하고 있습니다.</w:t>
            </w:r>
          </w:p>
          <w:p>
            <w:r>
              <w:rPr>
                <w:b/>
              </w:rPr>
              <w:t>• 우리은행 — 고객사(앵커가 판매) · 현재</w:t>
            </w:r>
          </w:p>
          <w:p>
            <w:r>
              <w:rPr>
                <w:color w:val="606060"/>
                <w:sz w:val="17"/>
              </w:rPr>
              <w:t xml:space="preserve">  근거: 국민은행, 우리은행, 신한은행, 하나은행 등 주요 시중은행 및 지방은행을 대상으로 영업활동을 수행하고 있습니다.</w:t>
            </w:r>
          </w:p>
          <w:p>
            <w:r>
              <w:rPr>
                <w:b/>
              </w:rPr>
              <w:t>• 신한은행 — 고객사(앵커가 판매) · 현재</w:t>
            </w:r>
          </w:p>
          <w:p>
            <w:r>
              <w:rPr>
                <w:color w:val="606060"/>
                <w:sz w:val="17"/>
              </w:rPr>
              <w:t xml:space="preserve">  근거: 국민은행, 우리은행, 신한은행, 하나은행 등 주요 시중은행 및 지방은행을 대상으로 영업활동을 수행하고 있습니다.</w:t>
            </w:r>
          </w:p>
          <w:p>
            <w:r>
              <w:rPr>
                <w:b/>
              </w:rPr>
              <w:t>• 하나은행 — 고객사(앵커가 판매) · 현재</w:t>
            </w:r>
          </w:p>
          <w:p>
            <w:r>
              <w:rPr>
                <w:color w:val="606060"/>
                <w:sz w:val="17"/>
              </w:rPr>
              <w:t xml:space="preserve">  근거: 국민은행, 우리은행, 신한은행, 하나은행 등 주요 시중은행 및 지방은행을 대상으로 영업활동을 수행하고 있습니다.</w:t>
            </w:r>
          </w:p>
        </w:tc>
        <w:tc>
          <w:tcPr>
            <w:tcW w:type="dxa" w:w="4320"/>
          </w:tcPr>
          <w:p>
            <w:r>
              <w:rPr>
                <w:b/>
              </w:rPr>
              <w:t>• 국민은행 — 고객사(앵커가 판매) · 현재</w:t>
            </w:r>
          </w:p>
          <w:p>
            <w:r>
              <w:rPr>
                <w:color w:val="606060"/>
                <w:sz w:val="17"/>
              </w:rPr>
              <w:t xml:space="preserve">  근거: 가) ATM 관리사업 부문국민은행, 우리은행, 신한은행, 하나은행 등 주요 시중은행 및 지방은행을 대상으로 영업활동을 수행하고 있습니다.</w:t>
            </w:r>
          </w:p>
          <w:p>
            <w:r>
              <w:rPr>
                <w:b/>
              </w:rPr>
              <w:t>• 우리은행 — 고객사(앵커가 판매) · 현재</w:t>
            </w:r>
          </w:p>
          <w:p>
            <w:r>
              <w:rPr>
                <w:color w:val="606060"/>
                <w:sz w:val="17"/>
              </w:rPr>
              <w:t xml:space="preserve">  근거: 가) ATM 관리사업 부문국민은행, 우리은행, 신한은행, 하나은행 등 주요 시중은행 및 지방은행을 대상으로 영업활동을 수행하고 있습니다.</w:t>
            </w:r>
          </w:p>
          <w:p>
            <w:r>
              <w:rPr>
                <w:b/>
              </w:rPr>
              <w:t>• 신한은행 — 고객사(앵커가 판매) · 현재</w:t>
            </w:r>
          </w:p>
          <w:p>
            <w:r>
              <w:rPr>
                <w:color w:val="606060"/>
                <w:sz w:val="17"/>
              </w:rPr>
              <w:t xml:space="preserve">  근거: 가) ATM 관리사업 부문국민은행, 우리은행, 신한은행, 하나은행 등 주요 시중은행 및 지방은행을 대상으로 영업활동을 수행하고 있습니다.</w:t>
            </w:r>
          </w:p>
          <w:p>
            <w:r>
              <w:rPr>
                <w:b/>
              </w:rPr>
              <w:t>• 하나은행 — 고객사(앵커가 판매) · 현재</w:t>
            </w:r>
          </w:p>
          <w:p>
            <w:r>
              <w:rPr>
                <w:color w:val="606060"/>
                <w:sz w:val="17"/>
              </w:rPr>
              <w:t xml:space="preserve">  근거: 가) ATM 관리사업 부문국민은행, 우리은행, 신한은행, 하나은행 등 주요 시중은행 및 지방은행을 대상으로 영업활동을 수행하고 있습니다.</w:t>
            </w:r>
          </w:p>
          <w:p>
            <w:r>
              <w:rPr>
                <w:b/>
              </w:rPr>
              <w:t>• (익명) [익명] — 고객사(앵커가 판매) · 현재</w:t>
            </w:r>
          </w:p>
          <w:p>
            <w:r>
              <w:rPr>
                <w:color w:val="606060"/>
                <w:sz w:val="17"/>
              </w:rPr>
              <w:t xml:space="preserve">  근거: 가) ATM 관리사업 부문국민은행, 우리은행, 신한은행, 하나은행 등 주요 시중은행 및 지방은행을 대상으로 영업활동을 수행하고 있습니다.</w:t>
            </w:r>
          </w:p>
        </w:tc>
      </w:tr>
    </w:tbl>
    <w:p>
      <w:r>
        <w:rPr>
          <w:b/>
        </w:rPr>
        <w:t xml:space="preserve">차이: </w:t>
      </w:r>
      <w:r>
        <w:rPr>
          <w:sz w:val="18"/>
        </w:rPr>
        <w:t>1회차만 [—]  /  2회차만 [∅anon|customer|active]</w:t>
      </w:r>
    </w:p>
    <w:p>
      <w:r>
        <w:rPr>
          <w:b/>
        </w:rPr>
        <w:t xml:space="preserve">판정: </w:t>
      </w:r>
      <w:r>
        <w:t>□ 1회차   □ 2회차   □ 둘 다 아님 → ______________________________</w:t>
      </w:r>
    </w:p>
    <w:p>
      <w:r>
        <w:rPr>
          <w:color w:val="C0C0C0"/>
        </w:rPr>
        <w:t>______________________________________________________________________________</w:t>
      </w:r>
    </w:p>
    <w:p>
      <w:pPr>
        <w:pStyle w:val="Heading1"/>
      </w:pPr>
      <w:r>
        <w:rPr>
          <w:color w:val="1F4E79"/>
        </w:rPr>
        <w:t>14. 폴라리스우노</w:t>
      </w:r>
    </w:p>
    <w:p>
      <w:r>
        <w:rPr>
          <w:b/>
        </w:rPr>
        <w:t xml:space="preserve">섹터 </w:t>
      </w:r>
      <w:r>
        <w:t xml:space="preserve">chem  </w:t>
      </w:r>
      <w:r>
        <w:rPr>
          <w:b/>
        </w:rPr>
        <w:t xml:space="preserve">시장 </w:t>
      </w:r>
      <w:r>
        <w:t xml:space="preserve">KOSDAQ  </w:t>
      </w:r>
      <w:r>
        <w:rPr>
          <w:b/>
        </w:rPr>
        <w:t xml:space="preserve">공시 </w:t>
      </w:r>
      <w:r>
        <w:rPr>
          <w:sz w:val="18"/>
        </w:rPr>
        <w:t>20250317000850</w:t>
      </w:r>
    </w:p>
    <w:p>
      <w:r>
        <w:rPr>
          <w:b/>
        </w:rPr>
        <w:t>■ 원문 (근거 부분 발췌)</w:t>
      </w:r>
    </w:p>
    <w:p>
      <w:pPr>
        <w:ind w:left="280"/>
      </w:pPr>
      <w:r>
        <w:rPr>
          <w:sz w:val="19"/>
        </w:rPr>
        <w:t>…31 | 수시 | 24,987 | 216,065 | 24,987 | 216,065 | - | - |</w:t>
        <w:br/>
        <w:t>| 합 계 | 944,668 | 3,269,417 | 944,668 | 3,269,417 |  |  |</w:t>
        <w:br/>
        <w:br/>
        <w:t>| 주) 당사는 발주처를 기재할 경우 영업에 현저한 손실을 초래할 수 있어 발주처를 기재하지 아니하였습니다. |</w:t>
        <w:br/>
        <w:br/>
        <w:t>가. 위험관리(1) 금리위험금리가 변동함에 따라 당사가 보유하고 있는 이자부 금융 자산 및 부채의 공정가치가변동하므로 이에 따른 영향을 받습니다. 다만, 당사의 차입금의존도는 총자산에 비해 작은 편이므로 금리…</w:t>
      </w:r>
    </w:p>
    <w:p>
      <w:r>
        <w:rPr>
          <w:b/>
        </w:rPr>
        <w:t>■ 1회차 vs 2회차</w:t>
      </w:r>
    </w:p>
    <w:tbl>
      <w:tblPr>
        <w:tblStyle w:val="TableGrid"/>
        <w:tblW w:type="auto" w:w="0"/>
        <w:tblLook w:firstColumn="1" w:firstRow="1" w:lastColumn="0" w:lastRow="0" w:noHBand="0" w:noVBand="1" w:val="04A0"/>
      </w:tblPr>
      <w:tblGrid>
        <w:gridCol w:w="4320"/>
        <w:gridCol w:w="4320"/>
      </w:tblGrid>
      <w:tr>
        <w:tc>
          <w:tcPr>
            <w:tcW w:type="dxa" w:w="4320"/>
          </w:tcPr>
          <w:p>
            <w:r>
              <w:rPr>
                <w:b/>
              </w:rPr>
              <w:t>1회차 추출</w:t>
            </w:r>
          </w:p>
        </w:tc>
        <w:tc>
          <w:tcPr>
            <w:tcW w:type="dxa" w:w="4320"/>
          </w:tcPr>
          <w:p>
            <w:r>
              <w:rPr>
                <w:b/>
              </w:rPr>
              <w:t>2회차 추출</w:t>
            </w:r>
          </w:p>
        </w:tc>
      </w:tr>
      <w:tr>
        <w:tc>
          <w:tcPr>
            <w:tcW w:type="dxa" w:w="4320"/>
          </w:tcPr>
          <w:p>
            <w:r>
              <w:rPr>
                <w:b/>
              </w:rPr>
              <w:t>• (익명) [익명] — 고객사(앵커가 판매) · 현재</w:t>
            </w:r>
          </w:p>
          <w:p>
            <w:r>
              <w:rPr>
                <w:color w:val="606060"/>
                <w:sz w:val="17"/>
              </w:rPr>
              <w:t xml:space="preserve">  근거: 당사는 발주처를 기재할 경우 영업에 현저한 손실을 초래할 수 있어 발주처를 기재하지 아니하였습니다.</w:t>
            </w:r>
          </w:p>
        </w:tc>
        <w:tc>
          <w:tcPr>
            <w:tcW w:type="dxa" w:w="4320"/>
          </w:tcPr>
          <w:p>
            <w:r>
              <w:rPr>
                <w:i/>
              </w:rPr>
              <w:t>(관계 없음)</w:t>
            </w:r>
          </w:p>
        </w:tc>
      </w:tr>
    </w:tbl>
    <w:p>
      <w:r>
        <w:rPr>
          <w:b/>
        </w:rPr>
        <w:t xml:space="preserve">차이: </w:t>
      </w:r>
      <w:r>
        <w:rPr>
          <w:sz w:val="18"/>
        </w:rPr>
        <w:t>1회차만 [∅anon|customer|active]  /  2회차만 [—]</w:t>
      </w:r>
    </w:p>
    <w:p>
      <w:r>
        <w:rPr>
          <w:b/>
        </w:rPr>
        <w:t xml:space="preserve">판정: </w:t>
      </w:r>
      <w:r>
        <w:t>□ 1회차   □ 2회차   □ 둘 다 아님 → ______________________________</w:t>
      </w:r>
    </w:p>
    <w:p>
      <w:r>
        <w:rPr>
          <w:color w:val="C0C0C0"/>
        </w:rPr>
        <w:t>______________________________________________________________________________</w:t>
      </w:r>
    </w:p>
    <w:p>
      <w:pPr>
        <w:pStyle w:val="Heading1"/>
      </w:pPr>
      <w:r>
        <w:rPr>
          <w:color w:val="1F4E79"/>
        </w:rPr>
        <w:t>15. 삼양식품</w:t>
      </w:r>
    </w:p>
    <w:p>
      <w:r>
        <w:rPr>
          <w:b/>
        </w:rPr>
        <w:t xml:space="preserve">섹터 </w:t>
      </w:r>
      <w:r>
        <w:t xml:space="preserve">food  </w:t>
      </w:r>
      <w:r>
        <w:rPr>
          <w:b/>
        </w:rPr>
        <w:t xml:space="preserve">시장 </w:t>
      </w:r>
      <w:r>
        <w:t xml:space="preserve">KOSPI  </w:t>
      </w:r>
      <w:r>
        <w:rPr>
          <w:b/>
        </w:rPr>
        <w:t xml:space="preserve">공시 </w:t>
      </w:r>
      <w:r>
        <w:rPr>
          <w:sz w:val="18"/>
        </w:rPr>
        <w:t>20250318001186</w:t>
      </w:r>
    </w:p>
    <w:p>
      <w:r>
        <w:rPr>
          <w:b/>
        </w:rPr>
        <w:t>■ 원문 (근거 부분 발췌)</w:t>
      </w:r>
    </w:p>
    <w:p>
      <w:pPr>
        <w:ind w:left="280"/>
      </w:pPr>
      <w:r>
        <w:rPr>
          <w:sz w:val="19"/>
        </w:rPr>
        <w:t>…있어, 면류 제품의 경우 계절적으로도 여름과 겨울의 차이가 발생하는 등, 미국의 스프(Soup) 시장 전반과 유사한 특성을 보이고 있어, 전반적으로 경기변동에 다소 민감한 것으로 파악됩니다.(회사의 경쟁우위 요소) 당사의 제품 중 불닭브랜드의 라면류는 경쟁사의 비교대상 주력제품과 비교할 때, 상대적으로 시장에 형성되고 있는 소비자 판매가격이 높고, 지난 10여년간 글로벌 매출성장을 통해 브랜드 파워가 증명 되었으며, 특별히 관련제품이 인기있는 아시안, 히스패닉 등의 인구통계학적 구성비율이 높아지는 미국 소비시장 등을 감안할 때, 향후에도 당사의 '제품 차별…</w:t>
      </w:r>
    </w:p>
    <w:p>
      <w:r>
        <w:rPr>
          <w:b/>
        </w:rPr>
        <w:t>■ 1회차 vs 2회차</w:t>
      </w:r>
    </w:p>
    <w:tbl>
      <w:tblPr>
        <w:tblStyle w:val="TableGrid"/>
        <w:tblW w:type="auto" w:w="0"/>
        <w:tblLook w:firstColumn="1" w:firstRow="1" w:lastColumn="0" w:lastRow="0" w:noHBand="0" w:noVBand="1" w:val="04A0"/>
      </w:tblPr>
      <w:tblGrid>
        <w:gridCol w:w="4320"/>
        <w:gridCol w:w="4320"/>
      </w:tblGrid>
      <w:tr>
        <w:tc>
          <w:tcPr>
            <w:tcW w:type="dxa" w:w="4320"/>
          </w:tcPr>
          <w:p>
            <w:r>
              <w:rPr>
                <w:b/>
              </w:rPr>
              <w:t>1회차 추출</w:t>
            </w:r>
          </w:p>
        </w:tc>
        <w:tc>
          <w:tcPr>
            <w:tcW w:type="dxa" w:w="4320"/>
          </w:tcPr>
          <w:p>
            <w:r>
              <w:rPr>
                <w:b/>
              </w:rPr>
              <w:t>2회차 추출</w:t>
            </w:r>
          </w:p>
        </w:tc>
      </w:tr>
      <w:tr>
        <w:tc>
          <w:tcPr>
            <w:tcW w:type="dxa" w:w="4320"/>
          </w:tcPr>
          <w:p>
            <w:r>
              <w:rPr>
                <w:b/>
              </w:rPr>
              <w:t>• (익명) [익명] — 경쟁사 · 현재</w:t>
            </w:r>
          </w:p>
          <w:p>
            <w:r>
              <w:rPr>
                <w:color w:val="606060"/>
                <w:sz w:val="17"/>
              </w:rPr>
              <w:t xml:space="preserve">  근거: 당사의 제품 중 불닭브랜드의 라면류는 경쟁사의 비교대상 주력제품과 비교할 때, 상대적으로 시장에 형성되고 있는 소비자 판매가격이 높고</w:t>
            </w:r>
          </w:p>
        </w:tc>
        <w:tc>
          <w:tcPr>
            <w:tcW w:type="dxa" w:w="4320"/>
          </w:tcPr>
          <w:p>
            <w:r>
              <w:rPr>
                <w:i/>
              </w:rPr>
              <w:t>(관계 없음)</w:t>
            </w:r>
          </w:p>
        </w:tc>
      </w:tr>
    </w:tbl>
    <w:p>
      <w:r>
        <w:rPr>
          <w:b/>
        </w:rPr>
        <w:t xml:space="preserve">차이: </w:t>
      </w:r>
      <w:r>
        <w:rPr>
          <w:sz w:val="18"/>
        </w:rPr>
        <w:t>1회차만 [∅anon|competitor|active]  /  2회차만 [—]</w:t>
      </w:r>
    </w:p>
    <w:p>
      <w:r>
        <w:rPr>
          <w:b/>
        </w:rPr>
        <w:t xml:space="preserve">판정: </w:t>
      </w:r>
      <w:r>
        <w:t>□ 1회차   □ 2회차   □ 둘 다 아님 → ______________________________</w:t>
      </w:r>
    </w:p>
    <w:p>
      <w:r>
        <w:rPr>
          <w:color w:val="C0C0C0"/>
        </w:rPr>
        <w:t>______________________________________________________________________________</w:t>
      </w:r>
    </w:p>
    <w:p>
      <w:pPr>
        <w:pStyle w:val="Heading1"/>
      </w:pPr>
      <w:r>
        <w:rPr>
          <w:color w:val="1F4E79"/>
        </w:rPr>
        <w:t>16. 씨이랩</w:t>
      </w:r>
    </w:p>
    <w:p>
      <w:r>
        <w:rPr>
          <w:b/>
        </w:rPr>
        <w:t xml:space="preserve">섹터 </w:t>
      </w:r>
      <w:r>
        <w:t xml:space="preserve">it  </w:t>
      </w:r>
      <w:r>
        <w:rPr>
          <w:b/>
        </w:rPr>
        <w:t xml:space="preserve">시장 </w:t>
      </w:r>
      <w:r>
        <w:t xml:space="preserve">KOSDAQ  </w:t>
      </w:r>
      <w:r>
        <w:rPr>
          <w:b/>
        </w:rPr>
        <w:t xml:space="preserve">공시 </w:t>
      </w:r>
      <w:r>
        <w:rPr>
          <w:sz w:val="18"/>
        </w:rPr>
        <w:t>20260319000587</w:t>
      </w:r>
    </w:p>
    <w:p>
      <w:r>
        <w:rPr>
          <w:b/>
        </w:rPr>
        <w:t>■ 원문 (근거 부분 발췌)</w:t>
      </w:r>
    </w:p>
    <w:p>
      <w:pPr>
        <w:ind w:left="280"/>
      </w:pPr>
      <w:r>
        <w:rPr>
          <w:sz w:val="19"/>
        </w:rPr>
        <w:t>…자본총계 | 25,126,707 | 9,599,640 |</w:t>
        <w:br/>
        <w:t>| 부채비율 | 17% | 40% |</w:t>
        <w:br/>
        <w:br/>
        <w:t>당기말</w:t>
        <w:br/>
        <w:t>전기말</w:t>
        <w:br/>
        <w:t>1. 경영상의 주요 계약</w:t>
        <w:br/>
        <w:t>| 계약상대방 | 계약체결시기 | 계약기간 | 계약의 목적 | 계약의 내용 |</w:t>
        <w:br/>
        <w:t>| NVIDIA | 2025년 04월 | 12개월 | 제품판매권 | NVIDIA 제품판매권 |</w:t>
        <w:br/>
        <w:t>| 국방과학연구소 | 2023년 08월 | 36개월 | 기술이전 | 기술실시권(경상기술료) |</w:t>
      </w:r>
    </w:p>
    <w:p>
      <w:r>
        <w:rPr>
          <w:b/>
        </w:rPr>
        <w:t>■ 1회차 vs 2회차</w:t>
      </w:r>
    </w:p>
    <w:tbl>
      <w:tblPr>
        <w:tblStyle w:val="TableGrid"/>
        <w:tblW w:type="auto" w:w="0"/>
        <w:tblLook w:firstColumn="1" w:firstRow="1" w:lastColumn="0" w:lastRow="0" w:noHBand="0" w:noVBand="1" w:val="04A0"/>
      </w:tblPr>
      <w:tblGrid>
        <w:gridCol w:w="4320"/>
        <w:gridCol w:w="4320"/>
      </w:tblGrid>
      <w:tr>
        <w:tc>
          <w:tcPr>
            <w:tcW w:type="dxa" w:w="4320"/>
          </w:tcPr>
          <w:p>
            <w:r>
              <w:rPr>
                <w:b/>
              </w:rPr>
              <w:t>1회차 추출</w:t>
            </w:r>
          </w:p>
        </w:tc>
        <w:tc>
          <w:tcPr>
            <w:tcW w:type="dxa" w:w="4320"/>
          </w:tcPr>
          <w:p>
            <w:r>
              <w:rPr>
                <w:b/>
              </w:rPr>
              <w:t>2회차 추출</w:t>
            </w:r>
          </w:p>
        </w:tc>
      </w:tr>
      <w:tr>
        <w:tc>
          <w:tcPr>
            <w:tcW w:type="dxa" w:w="4320"/>
          </w:tcPr>
          <w:p>
            <w:r>
              <w:rPr>
                <w:b/>
              </w:rPr>
              <w:t>• NVIDIA — 공급처(앵커가 구매) · 현재</w:t>
            </w:r>
          </w:p>
          <w:p>
            <w:r>
              <w:rPr>
                <w:color w:val="606060"/>
                <w:sz w:val="17"/>
              </w:rPr>
              <w:t xml:space="preserve">  근거: | NVIDIA | 2025년 04월 | 12개월 | 제품판매권 | NVIDIA 제품판매권 |</w:t>
            </w:r>
          </w:p>
          <w:p>
            <w:r>
              <w:rPr>
                <w:b/>
              </w:rPr>
              <w:t>• 국방과학연구소 — 공급처(앵커가 구매) · 현재</w:t>
            </w:r>
          </w:p>
          <w:p>
            <w:r>
              <w:rPr>
                <w:color w:val="606060"/>
                <w:sz w:val="17"/>
              </w:rPr>
              <w:t xml:space="preserve">  근거: | 국방과학연구소 | 2023년 08월 | 36개월 | 기술이전 | 기술실시권(경상기술료) |</w:t>
            </w:r>
          </w:p>
        </w:tc>
        <w:tc>
          <w:tcPr>
            <w:tcW w:type="dxa" w:w="4320"/>
          </w:tcPr>
          <w:p>
            <w:r>
              <w:rPr>
                <w:b/>
              </w:rPr>
              <w:t>• NVIDIA — 공급처(앵커가 구매) · 현재</w:t>
            </w:r>
          </w:p>
          <w:p>
            <w:r>
              <w:rPr>
                <w:color w:val="606060"/>
                <w:sz w:val="17"/>
              </w:rPr>
              <w:t xml:space="preserve">  근거: | NVIDIA | 2025년 04월 | 12개월 | 제품판매권 | NVIDIA 제품판매권 |</w:t>
            </w:r>
          </w:p>
        </w:tc>
      </w:tr>
    </w:tbl>
    <w:p>
      <w:r>
        <w:rPr>
          <w:b/>
        </w:rPr>
        <w:t xml:space="preserve">차이: </w:t>
      </w:r>
      <w:r>
        <w:rPr>
          <w:sz w:val="18"/>
        </w:rPr>
        <w:t>1회차만 [국방과학연구소|supplier|active]  /  2회차만 [—]</w:t>
      </w:r>
    </w:p>
    <w:p>
      <w:r>
        <w:rPr>
          <w:b/>
        </w:rPr>
        <w:t xml:space="preserve">판정: </w:t>
      </w:r>
      <w:r>
        <w:t>□ 1회차   □ 2회차   □ 둘 다 아님 → ______________________________</w:t>
      </w:r>
    </w:p>
    <w:p>
      <w:r>
        <w:rPr>
          <w:color w:val="C0C0C0"/>
        </w:rPr>
        <w:t>______________________________________________________________________________</w:t>
      </w:r>
    </w:p>
    <w:p>
      <w:pPr>
        <w:pStyle w:val="Heading1"/>
      </w:pPr>
      <w:r>
        <w:rPr>
          <w:color w:val="1F4E79"/>
        </w:rPr>
        <w:t>17. 비아트론</w:t>
      </w:r>
    </w:p>
    <w:p>
      <w:r>
        <w:rPr>
          <w:b/>
        </w:rPr>
        <w:t xml:space="preserve">섹터 </w:t>
      </w:r>
      <w:r>
        <w:t xml:space="preserve">machinery  </w:t>
      </w:r>
      <w:r>
        <w:rPr>
          <w:b/>
        </w:rPr>
        <w:t xml:space="preserve">시장 </w:t>
      </w:r>
      <w:r>
        <w:t xml:space="preserve">KOSDAQ  </w:t>
      </w:r>
      <w:r>
        <w:rPr>
          <w:b/>
        </w:rPr>
        <w:t xml:space="preserve">공시 </w:t>
      </w:r>
      <w:r>
        <w:rPr>
          <w:sz w:val="18"/>
        </w:rPr>
        <w:t>20260612000582</w:t>
      </w:r>
    </w:p>
    <w:p>
      <w:r>
        <w:rPr>
          <w:b/>
        </w:rPr>
        <w:t>■ 원문 (근거 부분 발췌)</w:t>
      </w:r>
    </w:p>
    <w:p>
      <w:pPr>
        <w:ind w:left="280"/>
      </w:pPr>
      <w:r>
        <w:rPr>
          <w:sz w:val="19"/>
        </w:rPr>
        <w:t>가. 경영상의 주요계약보고서 작성기준일 현재 관련한 주요 계약은 없습니다.나. 연구개발 활동(1) 연구개발 담당조직당사는 기업부설 연구소를 중심으로 사업 분야별로 우수한 인재를 배치하여, 자체 연구개발 및 국내외 대학·연구기관, 고객사들과 함께 차세대 디스플레이, 반도체 전공정/어드밴스드 패키징 분야에서 혁신적인 장비 개발에 전념하고 있습니다.</w:t>
        <w:br/>
        <w:t>(2) 연구개발 비용</w:t>
        <w:br/>
        <w:t>| (단위 : 천원) |</w:t>
        <w:br/>
        <w:br/>
        <w:t>| 품목 | 2025년 당기(제25기) | 2024년 전기(제24기) | 2023년 전전기(제23기) |</w:t>
        <w:br/>
        <w:t>| 자산처리 | 개발비 | - | - | - |</w:t>
        <w:br/>
        <w:t>| 비용처…</w:t>
      </w:r>
    </w:p>
    <w:p>
      <w:r>
        <w:rPr>
          <w:b/>
        </w:rPr>
        <w:t>■ 1회차 vs 2회차</w:t>
      </w:r>
    </w:p>
    <w:tbl>
      <w:tblPr>
        <w:tblStyle w:val="TableGrid"/>
        <w:tblW w:type="auto" w:w="0"/>
        <w:tblLook w:firstColumn="1" w:firstRow="1" w:lastColumn="0" w:lastRow="0" w:noHBand="0" w:noVBand="1" w:val="04A0"/>
      </w:tblPr>
      <w:tblGrid>
        <w:gridCol w:w="4320"/>
        <w:gridCol w:w="4320"/>
      </w:tblGrid>
      <w:tr>
        <w:tc>
          <w:tcPr>
            <w:tcW w:type="dxa" w:w="4320"/>
          </w:tcPr>
          <w:p>
            <w:r>
              <w:rPr>
                <w:b/>
              </w:rPr>
              <w:t>1회차 추출</w:t>
            </w:r>
          </w:p>
        </w:tc>
        <w:tc>
          <w:tcPr>
            <w:tcW w:type="dxa" w:w="4320"/>
          </w:tcPr>
          <w:p>
            <w:r>
              <w:rPr>
                <w:b/>
              </w:rPr>
              <w:t>2회차 추출</w:t>
            </w:r>
          </w:p>
        </w:tc>
      </w:tr>
      <w:tr>
        <w:tc>
          <w:tcPr>
            <w:tcW w:type="dxa" w:w="4320"/>
          </w:tcPr>
          <w:p>
            <w:r>
              <w:rPr>
                <w:b/>
              </w:rPr>
              <w:t>• (익명) [익명] — 고객사(앵커가 판매) · 현재</w:t>
            </w:r>
          </w:p>
          <w:p>
            <w:r>
              <w:rPr>
                <w:color w:val="606060"/>
                <w:sz w:val="17"/>
              </w:rPr>
              <w:t xml:space="preserve">  근거: 국내외 대학·연구기관, 고객사들과 함께 차세대 디스플레이, 반도체 전공정/어드밴스드 패키징 분야에서 혁신적인 장비 개발에 전념하고 있습니다</w:t>
            </w:r>
          </w:p>
        </w:tc>
        <w:tc>
          <w:tcPr>
            <w:tcW w:type="dxa" w:w="4320"/>
          </w:tcPr>
          <w:p>
            <w:r>
              <w:rPr>
                <w:i/>
              </w:rPr>
              <w:t>(관계 없음)</w:t>
            </w:r>
          </w:p>
        </w:tc>
      </w:tr>
    </w:tbl>
    <w:p>
      <w:r>
        <w:rPr>
          <w:b/>
        </w:rPr>
        <w:t xml:space="preserve">차이: </w:t>
      </w:r>
      <w:r>
        <w:rPr>
          <w:sz w:val="18"/>
        </w:rPr>
        <w:t>1회차만 [∅anon|customer|active]  /  2회차만 [—]</w:t>
      </w:r>
    </w:p>
    <w:p>
      <w:r>
        <w:rPr>
          <w:b/>
        </w:rPr>
        <w:t xml:space="preserve">판정: </w:t>
      </w:r>
      <w:r>
        <w:t>□ 1회차   □ 2회차   □ 둘 다 아님 → ______________________________</w:t>
      </w:r>
    </w:p>
    <w:p>
      <w:r>
        <w:rPr>
          <w:color w:val="C0C0C0"/>
        </w:rPr>
        <w:t>______________________________________________________________________________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