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U5 비상장·개인 노드 — G-C 스팟체크 (CPA)</w:t>
      </w:r>
    </w:p>
    <w:p>
      <w:r>
        <w:t>검수 대상: 비상장·개인 노드 확대(U5)로 신규 생성된 엣지 중 무작위 30건 (seed=20260729 결정적). 각 항목에 대해 **두 가지**를 판정해 주세요 — ① 관계가 원문(DART 사업보고서/공시)과 맞는가 ② 유형(kind) 분류가 맞는가. 게이트: 정밀도 ≥ 0.85.</w:t>
      </w:r>
    </w:p>
    <w:p>
      <w:r>
        <w:t>유형 체계: 비상장법인 · 개인 · 조합·펀드 · 공공기관. 유형은 화면 표시(형태)를 가르므로 오분류 시 개인이 법인 모양으로 그려지는 식의 오류가 됩니다. 표기는 공시 원문 문자열 그대로이며, 다른 기업의 같은 이름과 병합하지 않습니다(앵커-로컬).</w:t>
      </w:r>
    </w:p>
    <w:p>
      <w:pPr>
        <w:pStyle w:val="Heading1"/>
      </w:pPr>
      <w:r>
        <w:t>1. 크래프톤 — Voracious Games Inc.</w:t>
      </w:r>
    </w:p>
    <w:p>
      <w:r>
        <w:t>관계 특수관계자(주석)  방향 크래프톤 → Voracious Games Inc.    연도 2024  원천 dart_filing</w:t>
      </w:r>
    </w:p>
    <w:p>
      <w:r>
        <w:rPr>
          <w:sz w:val="18"/>
        </w:rPr>
        <w:t>원문 표기(그대로): Voracious Games Inc.</w:t>
      </w:r>
    </w:p>
    <w:p>
      <w:r>
        <w:rPr>
          <w:sz w:val="16"/>
        </w:rPr>
        <w:t>detail: 사업보고서 주석: 관계기업 및 공동기업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2. 현대건설 — ㈜힐스테이트호매실뉴스테이위탁관리부동산투자회사</w:t>
      </w:r>
    </w:p>
    <w:p>
      <w:r>
        <w:t>관계 관계기업(20~50%)  방향 현대건설 → ㈜힐스테이트호매실뉴스테이위탁관리부동산투자회사  지분율 27.0%  연도 2023  원천 otrCprInvstmntSttus</w:t>
      </w:r>
    </w:p>
    <w:p>
      <w:r>
        <w:rPr>
          <w:sz w:val="18"/>
        </w:rPr>
        <w:t>원문 표기(그대로): ㈜힐스테이트호매실뉴스테이위탁관리부동산투자회사</w:t>
      </w:r>
    </w:p>
    <w:p>
      <w:r>
        <w:rPr>
          <w:sz w:val="16"/>
        </w:rPr>
        <w:t>detail: ㈜힐스테이트호매실뉴스테이위탁관리부동산투자회사 27.0%</w:t>
      </w:r>
    </w:p>
    <w:p>
      <w:r>
        <w:t>분류된 유형: 조합·펀드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3. 넥스틴 — Nextin Solutions LTD.</w:t>
      </w:r>
    </w:p>
    <w:p>
      <w:r>
        <w:t>관계 종속기업(&gt;50%)  방향 넥스틴 → Nextin Solutions LTD.  지분율 100.0%  연도 2020  원천 otrCprInvstmntSttus</w:t>
      </w:r>
    </w:p>
    <w:p>
      <w:r>
        <w:rPr>
          <w:sz w:val="18"/>
        </w:rPr>
        <w:t>원문 표기(그대로): Nextin Solutions LTD.</w:t>
      </w:r>
    </w:p>
    <w:p>
      <w:r>
        <w:rPr>
          <w:sz w:val="16"/>
        </w:rPr>
        <w:t>detail: Nextin Solutions LTD. 100.0%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4. NHN — ㈜엠엘디엔터테인먼트</w:t>
      </w:r>
    </w:p>
    <w:p>
      <w:r>
        <w:t>관계 관계기업(20~50%)  방향 NHN → ㈜엠엘디엔터테인먼트  지분율 41.66%  연도 2022  원천 otrCprInvstmntSttus</w:t>
      </w:r>
    </w:p>
    <w:p>
      <w:r>
        <w:rPr>
          <w:sz w:val="18"/>
        </w:rPr>
        <w:t>원문 표기(그대로): ㈜엠엘디엔터테인먼트</w:t>
      </w:r>
    </w:p>
    <w:p>
      <w:r>
        <w:rPr>
          <w:sz w:val="16"/>
        </w:rPr>
        <w:t>detail: ㈜엠엘디엔터테인먼트 41.66%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5. 테라사이언스 — (주)리켐</w:t>
      </w:r>
    </w:p>
    <w:p>
      <w:r>
        <w:t>관계 관계기업(20~50%)  방향 테라사이언스 → (주)리켐  지분율 39.0%  연도 2023  원천 otrCprInvstmntSttus</w:t>
      </w:r>
    </w:p>
    <w:p>
      <w:r>
        <w:rPr>
          <w:sz w:val="18"/>
        </w:rPr>
        <w:t>원문 표기(그대로): (주)리켐</w:t>
      </w:r>
    </w:p>
    <w:p>
      <w:r>
        <w:rPr>
          <w:sz w:val="16"/>
        </w:rPr>
        <w:t>detail: (주)리켐 39.0%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6. 케이엔제이 — (주)썸백</w:t>
      </w:r>
    </w:p>
    <w:p>
      <w:r>
        <w:t>관계 유의적 투자(5~20%)  방향 케이엔제이 → (주)썸백  지분율 16.67%  연도 2025  원천 otrCprInvstmntSttus</w:t>
      </w:r>
    </w:p>
    <w:p>
      <w:r>
        <w:rPr>
          <w:sz w:val="18"/>
        </w:rPr>
        <w:t>원문 표기(그대로): (주)썸백</w:t>
      </w:r>
    </w:p>
    <w:p>
      <w:r>
        <w:rPr>
          <w:sz w:val="16"/>
        </w:rPr>
        <w:t>detail: (주)썸백 16.67%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7. 동원시스템즈 — (주)동원티엘에스</w:t>
      </w:r>
    </w:p>
    <w:p>
      <w:r>
        <w:t>관계 특수관계자(주석)  방향 동원시스템즈 → (주)동원티엘에스    연도 2024  원천 dart_filing</w:t>
      </w:r>
    </w:p>
    <w:p>
      <w:r>
        <w:rPr>
          <w:sz w:val="18"/>
        </w:rPr>
        <w:t>원문 표기(그대로): (주)동원티엘에스</w:t>
      </w:r>
    </w:p>
    <w:p>
      <w:r>
        <w:rPr>
          <w:sz w:val="16"/>
        </w:rPr>
        <w:t>detail: 사업보고서 주석: 기타(*2)(*3)(*4)(*5)(*6)(*7)(*8)(*9)(*10)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8. 영림원소프트랩 — (주)비엘비에듀</w:t>
      </w:r>
    </w:p>
    <w:p>
      <w:r>
        <w:t>관계 유의적 투자(5~20%)  방향 영림원소프트랩 → (주)비엘비에듀  지분율 5.66%  연도 2024  원천 otrCprInvstmntSttus</w:t>
      </w:r>
    </w:p>
    <w:p>
      <w:r>
        <w:rPr>
          <w:sz w:val="18"/>
        </w:rPr>
        <w:t>원문 표기(그대로): (주)비엘비에듀</w:t>
      </w:r>
    </w:p>
    <w:p>
      <w:r>
        <w:rPr>
          <w:sz w:val="16"/>
        </w:rPr>
        <w:t>detail: (주)비엘비에듀 5.66%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9. 푸른저축은행 — KB와이즈스타사모부동산투자신탁제20호</w:t>
      </w:r>
    </w:p>
    <w:p>
      <w:r>
        <w:t>관계 유의적 투자(5~20%)  방향 푸른저축은행 → KB와이즈스타사모부동산투자신탁제20호  지분율 11.87%  연도 2024  원천 otrCprInvstmntSttus</w:t>
      </w:r>
    </w:p>
    <w:p>
      <w:r>
        <w:rPr>
          <w:sz w:val="18"/>
        </w:rPr>
        <w:t>원문 표기(그대로): KB와이즈스타사모부동산투자신탁제20호</w:t>
      </w:r>
    </w:p>
    <w:p>
      <w:r>
        <w:rPr>
          <w:sz w:val="16"/>
        </w:rPr>
        <w:t>detail: KB와이즈스타사모부동산투자신탁제20호 11.87%</w:t>
      </w:r>
    </w:p>
    <w:p>
      <w:r>
        <w:t>분류된 유형: 조합·펀드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10. 키움증권 — 에이치티와이핀테크</w:t>
        <w:br/>
        <w:t>신기술투자조합제1호</w:t>
      </w:r>
    </w:p>
    <w:p>
      <w:r>
        <w:t>관계 관계기업(20~50%)  방향 키움증권 → 에이치티와이핀테크</w:t>
        <w:br/>
        <w:t>신기술투자조합제1호  지분율 30.0%  연도 2024  원천 otrCprInvstmntSttus</w:t>
      </w:r>
    </w:p>
    <w:p>
      <w:r>
        <w:rPr>
          <w:sz w:val="18"/>
        </w:rPr>
        <w:t>원문 표기(그대로): 에이치티와이핀테크</w:t>
        <w:br/>
        <w:t>신기술투자조합제1호</w:t>
      </w:r>
    </w:p>
    <w:p>
      <w:r>
        <w:rPr>
          <w:sz w:val="16"/>
        </w:rPr>
        <w:t>detail: 에이치티와이핀테크</w:t>
        <w:br/>
        <w:t>신기술투자조합제1호 30.0%</w:t>
      </w:r>
    </w:p>
    <w:p>
      <w:r>
        <w:t>분류된 유형: 조합·펀드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11. 유라테크 — 엄병윤</w:t>
      </w:r>
    </w:p>
    <w:p>
      <w:r>
        <w:t>관계 관계기업(20~50%)  방향 엄병윤 → 유라테크  지분율 25.79%  연도 2025  원천 hyslrSttus</w:t>
      </w:r>
    </w:p>
    <w:p>
      <w:r>
        <w:rPr>
          <w:sz w:val="18"/>
        </w:rPr>
        <w:t>원문 표기(그대로): 엄병윤</w:t>
      </w:r>
    </w:p>
    <w:p>
      <w:r>
        <w:rPr>
          <w:sz w:val="16"/>
        </w:rPr>
        <w:t>detail: 엄병윤 25.79% (특수관계인)</w:t>
      </w:r>
    </w:p>
    <w:p>
      <w:r>
        <w:t>분류된 유형: 개인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12. BYC — 신한학원</w:t>
      </w:r>
    </w:p>
    <w:p>
      <w:r>
        <w:t>관계 유의적 투자(5~20%)  방향 신한학원 → BYC  지분율 5.0%  연도 2025  원천 hyslrSttus</w:t>
      </w:r>
    </w:p>
    <w:p>
      <w:r>
        <w:rPr>
          <w:sz w:val="18"/>
        </w:rPr>
        <w:t>원문 표기(그대로): 신한학원</w:t>
      </w:r>
    </w:p>
    <w:p>
      <w:r>
        <w:rPr>
          <w:sz w:val="16"/>
        </w:rPr>
        <w:t>detail: 신한학원 5.0% (계열사)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13. 현대로템 — Hyundai Rotem Brasil Industria E Comercio De Trens Ltda.</w:t>
      </w:r>
    </w:p>
    <w:p>
      <w:r>
        <w:t>관계 종속기업(&gt;50%)  방향 현대로템 → Hyundai Rotem Brasil Industria E Comercio De Trens Ltda.  지분율 100.0%  연도 2024  원천 otrCprInvstmntSttus</w:t>
      </w:r>
    </w:p>
    <w:p>
      <w:r>
        <w:rPr>
          <w:sz w:val="18"/>
        </w:rPr>
        <w:t>원문 표기(그대로): Hyundai Rotem Brasil Industria E Comercio De Trens Ltda.</w:t>
      </w:r>
    </w:p>
    <w:p>
      <w:r>
        <w:rPr>
          <w:sz w:val="16"/>
        </w:rPr>
        <w:t>detail: Hyundai Rotem Brasil Industria E Comercio De Trens Ltda. 100.0%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14. 한온시스템 — Hanon Slovakia</w:t>
      </w:r>
    </w:p>
    <w:p>
      <w:r>
        <w:t>관계 종속기업(&gt;50%)  방향 한온시스템 → Hanon Slovakia  지분율 100.0%  연도 2024  원천 otrCprInvstmntSttus</w:t>
      </w:r>
    </w:p>
    <w:p>
      <w:r>
        <w:rPr>
          <w:sz w:val="18"/>
        </w:rPr>
        <w:t>원문 표기(그대로): Hanon Slovakia</w:t>
      </w:r>
    </w:p>
    <w:p>
      <w:r>
        <w:rPr>
          <w:sz w:val="16"/>
        </w:rPr>
        <w:t>detail: Hanon Slovakia 100.0%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15. 고려아연 — ZINCOX VIETNAM LIMITED LIABILITY Co.</w:t>
      </w:r>
    </w:p>
    <w:p>
      <w:r>
        <w:t>관계 종속기업(&gt;50%)  방향 고려아연 → ZINCOX VIETNAM LIMITED LIABILITY Co.  지분율 100.0%  연도 2025  원천 otrCprInvstmntSttus</w:t>
      </w:r>
    </w:p>
    <w:p>
      <w:r>
        <w:rPr>
          <w:sz w:val="18"/>
        </w:rPr>
        <w:t>원문 표기(그대로): ZINCOX VIETNAM LIMITED LIABILITY Co.</w:t>
      </w:r>
    </w:p>
    <w:p>
      <w:r>
        <w:rPr>
          <w:sz w:val="16"/>
        </w:rPr>
        <w:t>detail: ZINCOX VIETNAM LIMITED LIABILITY Co. 100.0%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16. 선광 — (주)한국티비티</w:t>
      </w:r>
    </w:p>
    <w:p>
      <w:r>
        <w:t>관계 관계기업(20~50%)  방향 선광 → (주)한국티비티  지분율 33.3%  연도 2022  원천 otrCprInvstmntSttus</w:t>
      </w:r>
    </w:p>
    <w:p>
      <w:r>
        <w:rPr>
          <w:sz w:val="18"/>
        </w:rPr>
        <w:t>원문 표기(그대로): (주)한국티비티</w:t>
      </w:r>
    </w:p>
    <w:p>
      <w:r>
        <w:rPr>
          <w:sz w:val="16"/>
        </w:rPr>
        <w:t>detail: (주)한국티비티 33.3%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17. 해성산업 — 세하</w:t>
      </w:r>
    </w:p>
    <w:p>
      <w:r>
        <w:t>관계 종속기업(&gt;50%)  방향 해성산업 → 세하  지분율 50.73%  연도 2021  원천 otrCprInvstmntSttus</w:t>
      </w:r>
    </w:p>
    <w:p>
      <w:r>
        <w:rPr>
          <w:sz w:val="18"/>
        </w:rPr>
        <w:t>원문 표기(그대로): 세하</w:t>
      </w:r>
    </w:p>
    <w:p>
      <w:r>
        <w:rPr>
          <w:sz w:val="16"/>
        </w:rPr>
        <w:t>detail: 세하 50.73%</w:t>
      </w:r>
    </w:p>
    <w:p>
      <w:r>
        <w:t>분류된 유형: 개인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18. 화승코퍼레이션 — LTD.PT. CIPTA HARMONY JAYAPT. HWASEUNG CHEMICAL INDONESIAUNIPAX CO.</w:t>
      </w:r>
    </w:p>
    <w:p>
      <w:r>
        <w:t>관계 특수관계자(주석)  방향 화승코퍼레이션 → LTD.PT. CIPTA HARMONY JAYAPT. HWASEUNG CHEMICAL INDONESIAUNIPAX CO.    연도 2025  원천 dart_filing</w:t>
      </w:r>
    </w:p>
    <w:p>
      <w:r>
        <w:rPr>
          <w:sz w:val="18"/>
        </w:rPr>
        <w:t>원문 표기(그대로): LTD.PT. CIPTA HARMONY JAYAPT. HWASEUNG CHEMICAL INDONESIAUNIPAX CO.</w:t>
      </w:r>
    </w:p>
    <w:p>
      <w:r>
        <w:rPr>
          <w:sz w:val="16"/>
        </w:rPr>
        <w:t>detail: 사업보고서 주석: 기타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19. SK케미칼 — SK bioscience USA, Inc.</w:t>
      </w:r>
    </w:p>
    <w:p>
      <w:r>
        <w:t>관계 종속기업(&gt;50%)  방향 SK케미칼 → SK bioscience USA, Inc.  지분율 100.0%  연도 2022  원천 otrCprInvstmntSttus</w:t>
      </w:r>
    </w:p>
    <w:p>
      <w:r>
        <w:rPr>
          <w:sz w:val="18"/>
        </w:rPr>
        <w:t>원문 표기(그대로): SK bioscience USA, Inc.</w:t>
      </w:r>
    </w:p>
    <w:p>
      <w:r>
        <w:rPr>
          <w:sz w:val="16"/>
        </w:rPr>
        <w:t>detail: SK bioscience USA, Inc. 100.0%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20. 에이피알 — (주)에이피알팩토리</w:t>
      </w:r>
    </w:p>
    <w:p>
      <w:r>
        <w:t>관계 종속기업(&gt;50%)  방향 에이피알 → (주)에이피알팩토리  지분율 100.0%  연도 2023  원천 otrCprInvstmntSttus</w:t>
      </w:r>
    </w:p>
    <w:p>
      <w:r>
        <w:rPr>
          <w:sz w:val="18"/>
        </w:rPr>
        <w:t>원문 표기(그대로): (주)에이피알팩토리</w:t>
      </w:r>
    </w:p>
    <w:p>
      <w:r>
        <w:rPr>
          <w:sz w:val="16"/>
        </w:rPr>
        <w:t>detail: (주)에이피알팩토리 100.0%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21. 시스웍 — (주)동양기술</w:t>
      </w:r>
    </w:p>
    <w:p>
      <w:r>
        <w:t>관계 관계기업(20~50%)  방향 시스웍 → (주)동양기술  지분율 27.75%  연도 2021  원천 otrCprInvstmntSttus</w:t>
      </w:r>
    </w:p>
    <w:p>
      <w:r>
        <w:rPr>
          <w:sz w:val="18"/>
        </w:rPr>
        <w:t>원문 표기(그대로): (주)동양기술</w:t>
      </w:r>
    </w:p>
    <w:p>
      <w:r>
        <w:rPr>
          <w:sz w:val="16"/>
        </w:rPr>
        <w:t>detail: (주)동양기술 27.75%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22. LG에너지솔루션 — LG Energy Solution (Nanjing) Co., Ltd.</w:t>
      </w:r>
    </w:p>
    <w:p>
      <w:r>
        <w:t>관계 종속기업(&gt;50%)  방향 LG에너지솔루션 → LG Energy Solution (Nanjing) Co., Ltd.  지분율 100.0%  연도 2023  원천 otrCprInvstmntSttus</w:t>
      </w:r>
    </w:p>
    <w:p>
      <w:r>
        <w:rPr>
          <w:sz w:val="18"/>
        </w:rPr>
        <w:t>원문 표기(그대로): LG Energy Solution (Nanjing) Co., Ltd.</w:t>
      </w:r>
    </w:p>
    <w:p>
      <w:r>
        <w:rPr>
          <w:sz w:val="16"/>
        </w:rPr>
        <w:t>detail: LG Energy Solution (Nanjing) Co., Ltd. 100.0%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23. 한국콜마 — ㈜트렌드메이커</w:t>
      </w:r>
    </w:p>
    <w:p>
      <w:r>
        <w:t>관계 유의적 투자(5~20%)  방향 한국콜마 → ㈜트렌드메이커  지분율 5.07%  연도 2025  원천 otrCprInvstmntSttus</w:t>
      </w:r>
    </w:p>
    <w:p>
      <w:r>
        <w:rPr>
          <w:sz w:val="18"/>
        </w:rPr>
        <w:t>원문 표기(그대로): ㈜트렌드메이커</w:t>
      </w:r>
    </w:p>
    <w:p>
      <w:r>
        <w:rPr>
          <w:sz w:val="16"/>
        </w:rPr>
        <w:t>detail: ㈜트렌드메이커 5.07%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24. 아이디스 — Revo America Corporation</w:t>
      </w:r>
    </w:p>
    <w:p>
      <w:r>
        <w:t>관계 관계기업(20~50%)  방향 아이디스 → Revo America Corporation  지분율 33.54%  연도 2025  원천 otrCprInvstmntSttus</w:t>
      </w:r>
    </w:p>
    <w:p>
      <w:r>
        <w:rPr>
          <w:sz w:val="18"/>
        </w:rPr>
        <w:t>원문 표기(그대로): Revo America Corporation</w:t>
      </w:r>
    </w:p>
    <w:p>
      <w:r>
        <w:rPr>
          <w:sz w:val="16"/>
        </w:rPr>
        <w:t>detail: Revo America Corporation 33.54%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25. 멕아이씨에스 — (주)멕헬스케어</w:t>
      </w:r>
    </w:p>
    <w:p>
      <w:r>
        <w:t>관계 관계기업(20~50%)  방향 멕아이씨에스 → (주)멕헬스케어  지분율 50.0%  연도 2023  원천 otrCprInvstmntSttus</w:t>
      </w:r>
    </w:p>
    <w:p>
      <w:r>
        <w:rPr>
          <w:sz w:val="18"/>
        </w:rPr>
        <w:t>원문 표기(그대로): (주)멕헬스케어</w:t>
      </w:r>
    </w:p>
    <w:p>
      <w:r>
        <w:rPr>
          <w:sz w:val="16"/>
        </w:rPr>
        <w:t>detail: (주)멕헬스케어 50.0%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26. 효성티앤씨 — Hyosung Spandex(Ningxia) Co., Ltd.</w:t>
      </w:r>
    </w:p>
    <w:p>
      <w:r>
        <w:t>관계 종속기업(&gt;50%)  방향 효성티앤씨 → Hyosung Spandex(Ningxia) Co., Ltd.  지분율 75.0%  연도 2024  원천 otrCprInvstmntSttus</w:t>
      </w:r>
    </w:p>
    <w:p>
      <w:r>
        <w:rPr>
          <w:sz w:val="18"/>
        </w:rPr>
        <w:t>원문 표기(그대로): Hyosung Spandex(Ningxia) Co., Ltd.</w:t>
      </w:r>
    </w:p>
    <w:p>
      <w:r>
        <w:rPr>
          <w:sz w:val="16"/>
        </w:rPr>
        <w:t>detail: Hyosung Spandex (Ningxia) Co., Ltd. 75.0%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27. 엔젠바이오 — 피아트룩스 (주)</w:t>
      </w:r>
    </w:p>
    <w:p>
      <w:r>
        <w:t>관계 종속기업(&gt;50%)  방향 엔젠바이오 → 피아트룩스 (주)  지분율 83.3%  연도 2025  원천 otrCprInvstmntSttus</w:t>
      </w:r>
    </w:p>
    <w:p>
      <w:r>
        <w:rPr>
          <w:sz w:val="18"/>
        </w:rPr>
        <w:t>원문 표기(그대로): 피아트룩스 (주)</w:t>
      </w:r>
    </w:p>
    <w:p>
      <w:r>
        <w:rPr>
          <w:sz w:val="16"/>
        </w:rPr>
        <w:t>detail: 피아트룩스 (주) 83.3%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28. 양지사 — 이   진</w:t>
      </w:r>
    </w:p>
    <w:p>
      <w:r>
        <w:t>관계 유의적 투자(5~20%)  방향 이   진 → 양지사  지분율 13.3%  연도 2024  원천 hyslrSttus</w:t>
      </w:r>
    </w:p>
    <w:p>
      <w:r>
        <w:rPr>
          <w:sz w:val="18"/>
        </w:rPr>
        <w:t>원문 표기(그대로): 이   진</w:t>
      </w:r>
    </w:p>
    <w:p>
      <w:r>
        <w:rPr>
          <w:sz w:val="16"/>
        </w:rPr>
        <w:t>detail: 이   진 13.3% (子)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29. 대한조선 — ㈜해남화원산업단지개발</w:t>
      </w:r>
    </w:p>
    <w:p>
      <w:r>
        <w:t>관계 종속기업(&gt;50%)  방향 대한조선 → ㈜해남화원산업단지개발  지분율 100.0%  연도 2025  원천 otrCprInvstmntSttus</w:t>
      </w:r>
    </w:p>
    <w:p>
      <w:r>
        <w:rPr>
          <w:sz w:val="18"/>
        </w:rPr>
        <w:t>원문 표기(그대로): ㈜해남화원산업단지개발</w:t>
      </w:r>
    </w:p>
    <w:p>
      <w:r>
        <w:rPr>
          <w:sz w:val="16"/>
        </w:rPr>
        <w:t>detail: ㈜해남화원산업단지개발 100.0%</w:t>
      </w:r>
    </w:p>
    <w:p>
      <w:r>
        <w:t>분류된 유형: 비상장법인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p>
      <w:pPr>
        <w:pStyle w:val="Heading1"/>
      </w:pPr>
      <w:r>
        <w:t>30. 샘표 — 박용학</w:t>
      </w:r>
    </w:p>
    <w:p>
      <w:r>
        <w:t>관계 유의적 투자(5~20%)  방향 박용학 → 샘표  지분율 6.58%  연도 2024  원천 hyslrSttus</w:t>
      </w:r>
    </w:p>
    <w:p>
      <w:r>
        <w:rPr>
          <w:sz w:val="18"/>
        </w:rPr>
        <w:t>원문 표기(그대로): 박용학</w:t>
      </w:r>
    </w:p>
    <w:p>
      <w:r>
        <w:rPr>
          <w:sz w:val="16"/>
        </w:rPr>
        <w:t>detail: 박용학 6.58% (친인척)</w:t>
      </w:r>
    </w:p>
    <w:p>
      <w:r>
        <w:t>분류된 유형: 개인</w:t>
      </w:r>
    </w:p>
    <w:p>
      <w:r>
        <w:t>① 관계 판정: □ 정확   □ 오류 → 사유: ____________________</w:t>
      </w:r>
    </w:p>
    <w:p>
      <w:r>
        <w:t>② 유형 판정: □ 정확   □ 오류 → 올바른 유형: □ 비상장법인  □ 개인  □ 조합·펀드  □ 공공기관</w:t>
      </w:r>
    </w:p>
    <w:p>
      <w:r>
        <w:t>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