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Arquitectura técnica / Technical architecture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9, 2026</w:t>
      </w:r>
    </w:p>
    <w:bookmarkStart w:id="26" w:name="X5e9e91f6ad2ab432b3c1b8dd1a4cbd5cae5350e"/>
    <w:p>
      <w:pPr>
        <w:pStyle w:val="Heading1"/>
      </w:pPr>
      <w:r>
        <w:t xml:space="preserve">Finanzas SD – Arquitectura técnica / Technical architecture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Engineers, DevOps, SDMT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Technical architecture and deployment details for Finanzas SD</w:t>
      </w:r>
    </w:p>
    <w:p>
      <w:pPr>
        <w:pStyle w:val="BodyText"/>
      </w:pPr>
      <w:r>
        <w:t xml:space="preserve">Executive perspective: Finanzas SD runs as a secure, decoupled stack where Cognito, API Gateway, and domain Lambdas enforce access while DynamoDB and S3 keep evidence auditable. / Perspectiva ejecutiva: Finanzas SD opera como una pila desacoplada y segura donde Cognito, API Gateway y Lambdas por dominio aplican controles de acceso mientras DynamoDB y S3 mantienen evidencia auditable.</w:t>
      </w:r>
    </w:p>
    <w:bookmarkStart w:id="20" w:name="component-map"/>
    <w:p>
      <w:pPr>
        <w:pStyle w:val="Heading2"/>
      </w:pPr>
      <w:r>
        <w:t xml:space="preserve">Component map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(Finanzas UI)</w:t>
      </w:r>
      <w:r>
        <w:t xml:space="preserve">: rutas</w:t>
      </w:r>
      <w:r>
        <w:t xml:space="preserve"> </w:t>
      </w:r>
      <w:r>
        <w:rPr>
          <w:rStyle w:val="VerbatimChar"/>
        </w:rPr>
        <w:t xml:space="preserve">/finanzas/**</w:t>
      </w:r>
      <w:r>
        <w:t xml:space="preserve">, React + Cognito Hosted UI, despliegue en S3 + CloudFront.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Gateway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finanzas-sd-api</w:t>
      </w:r>
      <w:r>
        <w:t xml:space="preserve">: proxy único con rutas por dominio (projects, rubros, allocations, invoices, uploads, health).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Lambdas por dominio</w:t>
      </w:r>
      <w:r>
        <w:t xml:space="preserve"> </w:t>
      </w:r>
      <w:r>
        <w:t xml:space="preserve">(carpeta</w:t>
      </w:r>
      <w:r>
        <w:t xml:space="preserve"> </w:t>
      </w:r>
      <w:r>
        <w:rPr>
          <w:rStyle w:val="VerbatimChar"/>
        </w:rPr>
        <w:t xml:space="preserve">services/finanzas-api/src/handlers</w:t>
      </w:r>
      <w:r>
        <w:t xml:space="preserve">): validan JWT Cognito y aplican lógica de negocio.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Almacenamiento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DynamoDB</w:t>
      </w:r>
      <w:r>
        <w:t xml:space="preserve">: tables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finz_rubros_taxonomia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finz_payroll_actuals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finz_adjustments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finz_prefacturas</w:t>
      </w:r>
      <w:r>
        <w:t xml:space="preserve">. All use</w:t>
      </w:r>
      <w:r>
        <w:t xml:space="preserve"> </w:t>
      </w:r>
      <w:r>
        <w:rPr>
          <w:rStyle w:val="VerbatimChar"/>
        </w:rPr>
        <w:t xml:space="preserve">pk</w:t>
      </w:r>
      <w:r>
        <w:t xml:space="preserve">/</w:t>
      </w:r>
      <w:r>
        <w:rPr>
          <w:rStyle w:val="VerbatimChar"/>
        </w:rPr>
        <w:t xml:space="preserve">sk</w:t>
      </w:r>
      <w:r>
        <w:t xml:space="preserve"> </w:t>
      </w:r>
      <w:r>
        <w:t xml:space="preserve">composite keys with PAY_PER_REQUEST billing mode (verified in template.yaml).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S3</w:t>
      </w:r>
      <w:r>
        <w:t xml:space="preserve">: bucket estático para UI (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via CloudFront</w:t>
      </w:r>
      <w:r>
        <w:t xml:space="preserve"> </w:t>
      </w:r>
      <w:r>
        <w:rPr>
          <w:rStyle w:val="VerbatimChar"/>
        </w:rPr>
        <w:t xml:space="preserve">d7t9x3j66yd8k.cloudfront.net</w:t>
      </w:r>
      <w:r>
        <w:t xml:space="preserve">) y bucket de evidencias para</w:t>
      </w:r>
      <w:r>
        <w:t xml:space="preserve"> </w:t>
      </w:r>
      <w:r>
        <w:rPr>
          <w:rStyle w:val="VerbatimChar"/>
        </w:rPr>
        <w:t xml:space="preserve">uploads/docs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Infrastructure values shown are for dev environment as defined in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Observabilidad</w:t>
      </w:r>
      <w:r>
        <w:t xml:space="preserve">: logs estructurados en CloudWatch; endpoints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Seguridad</w:t>
      </w:r>
      <w:r>
        <w:t xml:space="preserve">: Cognito groups (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) aplicados en UI y API authorizer.</w:t>
      </w:r>
    </w:p>
    <w:bookmarkEnd w:id="20"/>
    <w:bookmarkStart w:id="22" w:name="X25db01b53e684a5d829a14a2a59093b2a01646e"/>
    <w:p>
      <w:pPr>
        <w:pStyle w:val="Heading2"/>
      </w:pPr>
      <w:r>
        <w:t xml:space="preserve">Architecture Diagrams / Diagramas de arquitectura</w:t>
      </w:r>
    </w:p>
    <w:p>
      <w:pPr>
        <w:pStyle w:val="FirstParagraph"/>
      </w:pPr>
      <w:r>
        <w:t xml:space="preserve">Three architectural views are available: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Executive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diagrams/finanzas-architecture-executive.svg</w:t>
      </w:r>
      <w:r>
        <w:t xml:space="preserve">) - Business-friendly high-level diagram for stakeholders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Technical AWS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diagrams/finanzas-architecture-technical.svg</w:t>
      </w:r>
      <w:r>
        <w:t xml:space="preserve">) - Detailed AWS services with all components and integrations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Original System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diagrams/finanzas-architecture.svg</w:t>
      </w:r>
      <w:r>
        <w:t xml:space="preserve">) - Compact component-level architecture</w:t>
      </w:r>
    </w:p>
    <w:p>
      <w:pPr>
        <w:pStyle w:val="FirstParagraph"/>
      </w:pPr>
      <w:r>
        <w:t xml:space="preserve">For creating branded Lucid versions, see</w:t>
      </w:r>
      <w:r>
        <w:t xml:space="preserve"> </w:t>
      </w:r>
      <w:hyperlink r:id="rId21">
        <w:r>
          <w:rPr>
            <w:rStyle w:val="Hyperlink"/>
          </w:rPr>
          <w:t xml:space="preserve">LUCID_GUIDELINES.md</w:t>
        </w:r>
      </w:hyperlink>
      <w:r>
        <w:t xml:space="preserve">.</w:t>
      </w:r>
    </w:p>
    <w:p>
      <w:pPr>
        <w:pStyle w:val="BodyText"/>
      </w:pPr>
      <w:r>
        <w:t xml:space="preserve">Ver diagrama</w:t>
      </w:r>
      <w:r>
        <w:t xml:space="preserve"> </w:t>
      </w:r>
      <w:r>
        <w:rPr>
          <w:rStyle w:val="VerbatimChar"/>
        </w:rPr>
        <w:t xml:space="preserve">diagrams/finanzas-architecture.svg</w:t>
      </w:r>
      <w:r>
        <w:t xml:space="preserve"> </w:t>
      </w:r>
      <w:r>
        <w:t xml:space="preserve">para flujos de solicitud y almacenamiento.</w:t>
      </w:r>
    </w:p>
    <w:bookmarkEnd w:id="22"/>
    <w:bookmarkStart w:id="23" w:name="request-flow-end-to-end"/>
    <w:p>
      <w:pPr>
        <w:pStyle w:val="Heading2"/>
      </w:pPr>
      <w:r>
        <w:t xml:space="preserve">Request flow (end-to-end)</w:t>
      </w:r>
    </w:p>
    <w:p>
      <w:pPr>
        <w:numPr>
          <w:ilvl w:val="0"/>
          <w:numId w:val="1004"/>
        </w:numPr>
        <w:pStyle w:val="Compact"/>
      </w:pPr>
      <w:r>
        <w:t xml:space="preserve">Usuario ingresa vía Hosted UI Cognito y obtiene JWT con grupos.</w:t>
      </w:r>
    </w:p>
    <w:p>
      <w:pPr>
        <w:numPr>
          <w:ilvl w:val="0"/>
          <w:numId w:val="1004"/>
        </w:numPr>
        <w:pStyle w:val="Compact"/>
      </w:pPr>
      <w:r>
        <w:t xml:space="preserve">Finanzas UI envía llamadas firmadas con JWT hacia API Gateway.</w:t>
      </w:r>
    </w:p>
    <w:p>
      <w:pPr>
        <w:numPr>
          <w:ilvl w:val="0"/>
          <w:numId w:val="1004"/>
        </w:numPr>
        <w:pStyle w:val="Compact"/>
      </w:pPr>
      <w:r>
        <w:t xml:space="preserve">Authorizer valida grupos y enruta a la Lambda correspondiente.</w:t>
      </w:r>
    </w:p>
    <w:p>
      <w:pPr>
        <w:numPr>
          <w:ilvl w:val="0"/>
          <w:numId w:val="1004"/>
        </w:numPr>
        <w:pStyle w:val="Compact"/>
      </w:pPr>
      <w:r>
        <w:t xml:space="preserve">Lambda opera sobre DynamoDB (lectura/escritura), puede publicar alertas y retorna respuesta JSON.</w:t>
      </w:r>
    </w:p>
    <w:p>
      <w:pPr>
        <w:numPr>
          <w:ilvl w:val="0"/>
          <w:numId w:val="1004"/>
        </w:numPr>
        <w:pStyle w:val="Compact"/>
      </w:pPr>
      <w:r>
        <w:t xml:space="preserve">Para cargas de evidencia, la Lambda genera la clave S3 y registra metadatos vinculados a proyecto/line item/invoice.</w:t>
      </w:r>
    </w:p>
    <w:bookmarkEnd w:id="23"/>
    <w:bookmarkStart w:id="24" w:name="deploymentruntime"/>
    <w:p>
      <w:pPr>
        <w:pStyle w:val="Heading2"/>
      </w:pPr>
      <w:r>
        <w:t xml:space="preserve">Deployment/runtime</w:t>
      </w:r>
    </w:p>
    <w:p>
      <w:pPr>
        <w:numPr>
          <w:ilvl w:val="0"/>
          <w:numId w:val="1005"/>
        </w:numPr>
        <w:pStyle w:val="Compact"/>
      </w:pPr>
      <w:r>
        <w:t xml:space="preserve">Región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; infraestructura descrita en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(SAM).</w:t>
      </w:r>
    </w:p>
    <w:p>
      <w:pPr>
        <w:numPr>
          <w:ilvl w:val="0"/>
          <w:numId w:val="1005"/>
        </w:numPr>
        <w:pStyle w:val="Compact"/>
      </w:pPr>
      <w:r>
        <w:t xml:space="preserve">Promoción por etapas (dev/stg/prod) sin mezclar Acta/Prefactura artefactos.</w:t>
      </w:r>
    </w:p>
    <w:p>
      <w:pPr>
        <w:numPr>
          <w:ilvl w:val="0"/>
          <w:numId w:val="1005"/>
        </w:numPr>
        <w:pStyle w:val="Compact"/>
      </w:pPr>
      <w:r>
        <w:t xml:space="preserve">Pipelines existentes reutilizan diagnósticos (</w:t>
      </w:r>
      <w:r>
        <w:rPr>
          <w:rStyle w:val="VerbatimChar"/>
        </w:rPr>
        <w:t xml:space="preserve">finanzas-aws-diagnostic</w:t>
      </w:r>
      <w:r>
        <w:t xml:space="preserve">) y health checks profundos.</w:t>
      </w:r>
    </w:p>
    <w:bookmarkEnd w:id="24"/>
    <w:bookmarkStart w:id="25" w:name="data-protection-controls-resumen"/>
    <w:p>
      <w:pPr>
        <w:pStyle w:val="Heading2"/>
      </w:pPr>
      <w:r>
        <w:t xml:space="preserve">Data protection controls (resumen)</w:t>
      </w:r>
    </w:p>
    <w:p>
      <w:pPr>
        <w:numPr>
          <w:ilvl w:val="0"/>
          <w:numId w:val="1006"/>
        </w:numPr>
        <w:pStyle w:val="Compact"/>
      </w:pPr>
      <w:r>
        <w:t xml:space="preserve">JWT verificado en API Gateway; Lambdas niegan acceso si falta grupo requerido.</w:t>
      </w:r>
    </w:p>
    <w:p>
      <w:pPr>
        <w:numPr>
          <w:ilvl w:val="0"/>
          <w:numId w:val="1006"/>
        </w:numPr>
        <w:pStyle w:val="Compact"/>
      </w:pPr>
      <w:r>
        <w:t xml:space="preserve">Evidencia en S3 con claves segregadas por proyecto y sin llaves estáticas.</w:t>
      </w:r>
    </w:p>
    <w:p>
      <w:pPr>
        <w:numPr>
          <w:ilvl w:val="0"/>
          <w:numId w:val="1006"/>
        </w:numPr>
        <w:pStyle w:val="Compact"/>
      </w:pPr>
      <w:r>
        <w:t xml:space="preserve">Registros de auditoría para cambios de baseline, handoff y facturas.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iagrams/LUCID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/LUCID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Arquitectura técnica / Technical architecture</dc:title>
  <dc:creator>Ikusi</dc:creator>
  <cp:keywords/>
  <dcterms:created xsi:type="dcterms:W3CDTF">2026-01-09T23:35:55Z</dcterms:created>
  <dcterms:modified xsi:type="dcterms:W3CDTF">2026-01-09T23:35:55Z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9, 2026</vt:lpwstr>
  </property>
</Properties>
</file>