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21" w:name="finanzas-api-deployment-notes"/>
    <w:p>
      <w:pPr>
        <w:pStyle w:val="Heading1"/>
      </w:pPr>
      <w:r>
        <w:t xml:space="preserve">Finanzas API Deployment Notes</w:t>
      </w:r>
    </w:p>
    <w:bookmarkStart w:id="20" w:name="cors-policy-finanzas-sd"/>
    <w:p>
      <w:pPr>
        <w:pStyle w:val="Heading2"/>
      </w:pPr>
      <w:r>
        <w:t xml:space="preserve">CORS Policy – Finanzas SD</w:t>
      </w:r>
    </w:p>
    <w:p>
      <w:pPr>
        <w:pStyle w:val="FirstParagraph"/>
      </w:pPr>
      <w:r>
        <w:t xml:space="preserve">The Finanzas SD UI is served from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, and every Finanzas HTTP API endpoint must answer browser preflight requests with matching headers. The SAM template now configures the HttpApi with: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origins: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methods:</w:t>
      </w:r>
      <w:r>
        <w:t xml:space="preserve"> </w:t>
      </w:r>
      <w:r>
        <w:rPr>
          <w:rStyle w:val="VerbatimChar"/>
        </w:rPr>
        <w:t xml:space="preserve">GET, POST, PUT, PATCH, DELETE, OPTIONS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headers:</w:t>
      </w:r>
      <w:r>
        <w:t xml:space="preserve"> </w:t>
      </w:r>
      <w:r>
        <w:rPr>
          <w:rStyle w:val="VerbatimChar"/>
        </w:rPr>
        <w:t xml:space="preserve">Authorization, Content-Type, X-Amz-Date, X-Amz-Security-Token, X-Requested-With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MaxAge: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 </w:t>
      </w:r>
      <w:r>
        <w:t xml:space="preserve">seconds (24 hours)</w:t>
      </w:r>
    </w:p>
    <w:p>
      <w:pPr>
        <w:pStyle w:val="FirstParagraph"/>
      </w:pPr>
      <w:r>
        <w:t xml:space="preserve">Custom Lambda responses reuse the helper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, ensuring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mirrors the CloudFront domain and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stays whitelisted during preflights. When extending the API, keep these lists synchronized and rerun the documented curl-based preflight to confirm</w:t>
      </w:r>
      <w:r>
        <w:t xml:space="preserve"> </w:t>
      </w:r>
      <w:r>
        <w:rPr>
          <w:rStyle w:val="VerbatimChar"/>
        </w:rPr>
        <w:t xml:space="preserve">Access-Control-Allow-*</w:t>
      </w:r>
      <w:r>
        <w:t xml:space="preserve"> </w:t>
      </w:r>
      <w:r>
        <w:t xml:space="preserve">headers match expectations.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Notes</dc:title>
  <dc:creator>Ikusi</dc:creator>
  <cp:keywords/>
  <dcterms:created xsi:type="dcterms:W3CDTF">2025-12-08T05:33:47Z</dcterms:created>
  <dcterms:modified xsi:type="dcterms:W3CDTF">2025-12-08T05:33:47Z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