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SDMT cost UI surfaces and data-lineage impact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0" w:name="Xfa9d2e479f223c79e94ec8c4b3845ffa5bf96a7"/>
    <w:p>
      <w:pPr>
        <w:pStyle w:val="Heading1"/>
      </w:pPr>
      <w:r>
        <w:t xml:space="preserve">SDMT cost UI surfaces and data-lineage impact</w:t>
      </w:r>
    </w:p>
    <w:p>
      <w:pPr>
        <w:pStyle w:val="FirstParagraph"/>
      </w:pPr>
      <w:r>
        <w:t xml:space="preserve">This note answers whether recent SDMT cost UI files impact data lineage/streaming of cost data.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src/features/sdmt/cost/Catalog/SDMTCatalog.tsx</w:t>
      </w:r>
      <w:r>
        <w:t xml:space="preserve">: Initiates writes by calling the Finanzas API (e.g.,</w:t>
      </w:r>
      <w:r>
        <w:t xml:space="preserve"> </w:t>
      </w:r>
      <w:r>
        <w:rPr>
          <w:rStyle w:val="VerbatimChar"/>
        </w:rPr>
        <w:t xml:space="preserve">addProjectRubro</w:t>
      </w:r>
      <w:r>
        <w:t xml:space="preserve">) and reads project line items via</w:t>
      </w:r>
      <w:r>
        <w:t xml:space="preserve"> </w:t>
      </w:r>
      <w:r>
        <w:rPr>
          <w:rStyle w:val="VerbatimChar"/>
        </w:rPr>
        <w:t xml:space="preserve">useProjectLineItems</w:t>
      </w:r>
      <w:r>
        <w:t xml:space="preserve">. It is the only listed file that mutates cost data by posting catalog changes to the backend.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src/features/sdmt/cost/Changes/SDMTChanges.tsx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src/features/sdmt/cost/Reconciliation/SDMTReconciliation.tsx</w:t>
      </w:r>
      <w:r>
        <w:t xml:space="preserve">: Read-only for cost data. They consume</w:t>
      </w:r>
      <w:r>
        <w:t xml:space="preserve"> </w:t>
      </w:r>
      <w:r>
        <w:rPr>
          <w:rStyle w:val="VerbatimChar"/>
        </w:rPr>
        <w:t xml:space="preserve">useProjectLineItems</w:t>
      </w:r>
      <w:r>
        <w:t xml:space="preserve"> </w:t>
      </w:r>
      <w:r>
        <w:t xml:space="preserve">to populate selectors; they do not push cost amounts upstream.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src/features/sdmt/cost/Forecast/SDMTForecast.tsx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src/features/sdmt/cost/Cashflow/SDMTCashflow.tsx</w:t>
      </w:r>
      <w:r>
        <w:t xml:space="preserve">: Read-only visualizations. They request forecast/cashflow data from the backend and render charts/tables without mutating cost records.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src/features/sdmt/cost/Reconciliation/SDMTRecon.tsx</w:t>
      </w:r>
      <w:r>
        <w:t xml:space="preserve"> </w:t>
      </w:r>
      <w:r>
        <w:t xml:space="preserve">(Spark-generated screen): Pure UI shell; it does not participate in cost persistence.</w:t>
      </w:r>
    </w:p>
    <w:p>
      <w:pPr>
        <w:pStyle w:val="FirstParagraph"/>
      </w:pPr>
      <w:r>
        <w:rPr>
          <w:bCs/>
          <w:b/>
        </w:rPr>
        <w:t xml:space="preserve">Implication:</w:t>
      </w:r>
      <w:r>
        <w:t xml:space="preserve"> </w:t>
      </w:r>
      <w:r>
        <w:t xml:space="preserve">For cost data lineage/stream integrity, Catalog actions are the only UI surface in this list that writes cost information; the others read from backend endpoints and do not alter cost data. Backend handlers and Dynamo tables remain the sources of truth for cost persistence and aggregation.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SDMT cost UI surfaces and data-lineage impact</dc:title>
  <dc:creator>Ikusi</dc:creator>
  <cp:keywords/>
  <dcterms:created xsi:type="dcterms:W3CDTF">2026-01-18T00:14:02Z</dcterms:created>
  <dcterms:modified xsi:type="dcterms:W3CDTF">2026-01-18T00:14:02Z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