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c014aa5118ede0de8144bbcec0c06b34385e24"/>
      <w:r>
        <w:t xml:space="preserve">Project Operating Instructions (Finanzas SD – API &amp; UI)</w:t>
      </w:r>
      <w:bookmarkEnd w:id="20"/>
    </w:p>
    <w:p>
      <w:pPr>
        <w:pStyle w:val="Heading2"/>
      </w:pPr>
      <w:bookmarkStart w:id="21" w:name="roles"/>
      <w:r>
        <w:t xml:space="preserve">Roles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Backend Lead</w:t>
      </w:r>
      <w:r>
        <w:t xml:space="preserve">: owns</w:t>
      </w:r>
      <w:r>
        <w:t xml:space="preserve"> </w:t>
      </w:r>
      <w:r>
        <w:rPr>
          <w:rStyle w:val="VerbatimChar"/>
        </w:rPr>
        <w:t xml:space="preserve">/services/finanzas-api</w:t>
      </w:r>
      <w:r>
        <w:t xml:space="preserve"> </w:t>
      </w:r>
      <w:r>
        <w:t xml:space="preserve">(SAM, handlers, DDB, API Gateway).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FE Lead</w:t>
      </w:r>
      <w:r>
        <w:t xml:space="preserve">: owns</w:t>
      </w:r>
      <w:r>
        <w:t xml:space="preserve"> </w:t>
      </w:r>
      <w:r>
        <w:rPr>
          <w:rStyle w:val="VerbatimChar"/>
        </w:rPr>
        <w:t xml:space="preserve">/src</w:t>
      </w:r>
      <w:r>
        <w:t xml:space="preserve"> </w:t>
      </w:r>
      <w:r>
        <w:t xml:space="preserve">(UI). No backend logic in FE.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SRE</w:t>
      </w:r>
      <w:r>
        <w:t xml:space="preserve">: owns workflows, alarms, canaries, OIDC integrity.</w:t>
      </w:r>
    </w:p>
    <w:p>
      <w:pPr>
        <w:pStyle w:val="Heading2"/>
      </w:pPr>
      <w:bookmarkStart w:id="22" w:name="guardrails-non-negotiable"/>
      <w:r>
        <w:t xml:space="preserve">Guardrails (non-negotiable)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OIDC-only</w:t>
      </w:r>
      <w:r>
        <w:t xml:space="preserve"> </w:t>
      </w:r>
      <w:r>
        <w:t xml:space="preserve">AWS auth. No static AWS keys in workflows.</w:t>
      </w:r>
    </w:p>
    <w:p>
      <w:pPr>
        <w:numPr>
          <w:ilvl w:val="0"/>
          <w:numId w:val="1002"/>
        </w:numPr>
        <w:pStyle w:val="Compact"/>
      </w:pPr>
      <w:r>
        <w:t xml:space="preserve">Region</w:t>
      </w:r>
      <w:r>
        <w:t xml:space="preserve"> </w:t>
      </w:r>
      <w:r>
        <w:rPr>
          <w:b/>
        </w:rPr>
        <w:t xml:space="preserve">us-east-2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Do NOT change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CloudFront behavior or any acta-ui resources.</w:t>
      </w:r>
    </w:p>
    <w:p>
      <w:pPr>
        <w:numPr>
          <w:ilvl w:val="0"/>
          <w:numId w:val="1002"/>
        </w:numPr>
        <w:pStyle w:val="Compact"/>
      </w:pPr>
      <w:r>
        <w:t xml:space="preserve">Every new route returns</w:t>
      </w:r>
      <w:r>
        <w:t xml:space="preserve"> </w:t>
      </w:r>
      <w:r>
        <w:rPr>
          <w:b/>
        </w:rPr>
        <w:t xml:space="preserve">501</w:t>
      </w:r>
      <w:r>
        <w:t xml:space="preserve"> </w:t>
      </w:r>
      <w:r>
        <w:t xml:space="preserve">until implemented and is covered by tests.</w:t>
      </w:r>
    </w:p>
    <w:p>
      <w:pPr>
        <w:numPr>
          <w:ilvl w:val="0"/>
          <w:numId w:val="1002"/>
        </w:numPr>
        <w:pStyle w:val="Compact"/>
      </w:pPr>
      <w:r>
        <w:t xml:space="preserve">Single Node pkg per service (</w:t>
      </w:r>
      <w:r>
        <w:rPr>
          <w:rStyle w:val="VerbatimChar"/>
        </w:rPr>
        <w:t xml:space="preserve">services/finanzas-api/package.json</w:t>
      </w:r>
      <w:r>
        <w:t xml:space="preserve">).</w:t>
      </w:r>
    </w:p>
    <w:p>
      <w:pPr>
        <w:pStyle w:val="Heading2"/>
      </w:pPr>
      <w:bookmarkStart w:id="23" w:name="X61b41f9f51c5a29e25590cc14494f45fc680e24"/>
      <w:r>
        <w:t xml:space="preserve">Required repository settings (Actions → Variables / Secrets)</w:t>
      </w:r>
      <w:bookmarkEnd w:id="23"/>
    </w:p>
    <w:p>
      <w:pPr>
        <w:pStyle w:val="FirstParagraph"/>
      </w:pPr>
      <w:r>
        <w:rPr>
          <w:b/>
        </w:rPr>
        <w:t xml:space="preserve">Variables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AWS_REGION=us-east-2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FINZ_API_STACK=finanzas-sd-api-dev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FINZ_API_STAGE=dev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COGNITO_USER_POOL_ID=&lt;your user pool id&gt;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COGNITO_USER_POOL_ARN=&lt;your user pool arn&gt;</w:t>
      </w:r>
    </w:p>
    <w:p>
      <w:pPr>
        <w:pStyle w:val="FirstParagraph"/>
      </w:pPr>
      <w:r>
        <w:rPr>
          <w:b/>
        </w:rPr>
        <w:t xml:space="preserve">Secret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OIDC_AWS_ROLE_ARN=&lt;arn:aws:iam::703...:role/ProjectplaceLambdaRole&gt;</w:t>
      </w:r>
    </w:p>
    <w:p>
      <w:pPr>
        <w:pStyle w:val="Heading2"/>
      </w:pPr>
      <w:bookmarkStart w:id="24" w:name="qa-gates-must-pass-before-merge"/>
      <w:r>
        <w:t xml:space="preserve">QA Gates (must pass before merge)</w:t>
      </w:r>
      <w:bookmarkEnd w:id="24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Unit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/services/finanzas-api</w:t>
      </w:r>
      <w:r>
        <w:t xml:space="preserve"> </w:t>
      </w:r>
      <w:r>
        <w:t xml:space="preserve">(pro-rata, coverage math).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SAM local smoke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 200.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Deploy OIDC</w:t>
      </w:r>
      <w:r>
        <w:t xml:space="preserve">:</w:t>
      </w:r>
      <w:r>
        <w:t xml:space="preserve"> </w:t>
      </w:r>
      <w:r>
        <w:rPr>
          <w:rStyle w:val="VerbatimChar"/>
        </w:rPr>
        <w:t xml:space="preserve">aws sts get-caller-identity</w:t>
      </w:r>
      <w:r>
        <w:t xml:space="preserve"> </w:t>
      </w:r>
      <w:r>
        <w:t xml:space="preserve">must succeed; no static fallback.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Deployment summary</w:t>
      </w:r>
      <w:r>
        <w:t xml:space="preserve">: API URL + working curl commands written 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.</w:t>
      </w:r>
    </w:p>
    <w:p>
      <w:pPr>
        <w:pStyle w:val="Heading2"/>
      </w:pPr>
      <w:bookmarkStart w:id="25" w:name="failure-policy"/>
      <w:r>
        <w:t xml:space="preserve">Failure policy</w:t>
      </w:r>
      <w:bookmarkEnd w:id="25"/>
    </w:p>
    <w:p>
      <w:pPr>
        <w:numPr>
          <w:ilvl w:val="0"/>
          <w:numId w:val="1006"/>
        </w:numPr>
        <w:pStyle w:val="Compact"/>
      </w:pPr>
      <w:r>
        <w:t xml:space="preserve">If OIDC fails,</w:t>
      </w:r>
      <w:r>
        <w:t xml:space="preserve"> </w:t>
      </w:r>
      <w:r>
        <w:rPr>
          <w:b/>
        </w:rPr>
        <w:t xml:space="preserve">stop</w:t>
      </w:r>
      <w:r>
        <w:t xml:space="preserve"> </w:t>
      </w:r>
      <w:r>
        <w:t xml:space="preserve">the job with a helpful error. Never fall back to static creds.</w:t>
      </w:r>
    </w:p>
    <w:p>
      <w:pPr>
        <w:numPr>
          <w:ilvl w:val="0"/>
          <w:numId w:val="1006"/>
        </w:numPr>
        <w:pStyle w:val="Compact"/>
      </w:pPr>
      <w:r>
        <w:t xml:space="preserve">If any required variable is empty,</w:t>
      </w:r>
      <w:r>
        <w:t xml:space="preserve"> </w:t>
      </w:r>
      <w:r>
        <w:rPr>
          <w:b/>
        </w:rPr>
        <w:t xml:space="preserve">stop</w:t>
      </w:r>
      <w:r>
        <w:t xml:space="preserve"> </w:t>
      </w:r>
      <w:r>
        <w:t xml:space="preserve">with a clear message.</w:t>
      </w:r>
    </w:p>
    <w:p>
      <w:pPr>
        <w:pStyle w:val="Heading2"/>
      </w:pPr>
      <w:bookmarkStart w:id="26" w:name="best-practices"/>
      <w:r>
        <w:t xml:space="preserve">Best practices</w:t>
      </w:r>
      <w:bookmarkEnd w:id="26"/>
    </w:p>
    <w:p>
      <w:pPr>
        <w:numPr>
          <w:ilvl w:val="0"/>
          <w:numId w:val="1007"/>
        </w:numPr>
        <w:pStyle w:val="Compact"/>
      </w:pPr>
      <w:r>
        <w:t xml:space="preserve">Keep SAM authorizer issuer param from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Add handlers incrementally; stubs return</w:t>
      </w:r>
      <w:r>
        <w:t xml:space="preserve"> </w:t>
      </w:r>
      <w:r>
        <w:rPr>
          <w:b/>
        </w:rPr>
        <w:t xml:space="preserve">501</w:t>
      </w:r>
      <w:r>
        <w:t xml:space="preserve"> </w:t>
      </w:r>
      <w:r>
        <w:t xml:space="preserve">and are asserted in tests.</w:t>
      </w:r>
    </w:p>
    <w:p>
      <w:pPr>
        <w:numPr>
          <w:ilvl w:val="0"/>
          <w:numId w:val="1007"/>
        </w:numPr>
        <w:pStyle w:val="Compact"/>
      </w:pPr>
      <w:r>
        <w:t xml:space="preserve">One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per service; no nested Node projects.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21">
    <w:nsid w:val="71315dca"/>
    <w:multiLevelType w:val="multilevel"/>
    <w:lvl w:ilvl="0">
      <w:start w:val="1"/>
      <w:numFmt w:val="decimal"/>
      <w:lvlText w:val="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)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2025-11-10T23:47:23Z</dcterms:created>
  <dcterms:modified xsi:type="dcterms:W3CDTF">2025-11-10T23:47:23Z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