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Data models / Modelos de datos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3" w:name="finanzas-sd-data-models-modelos-de-datos"/>
    <w:p>
      <w:pPr>
        <w:pStyle w:val="Heading1"/>
      </w:pPr>
      <w:r>
        <w:t xml:space="preserve">Finanzas SD – Data models / Modelos de datos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SDMT, Data Analysts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Data schemas and table structures for Finanzas SD</w:t>
      </w:r>
    </w:p>
    <w:p>
      <w:pPr>
        <w:pStyle w:val="BodyText"/>
      </w:pPr>
      <w:r>
        <w:t xml:space="preserve">Executive perspective: these schemas keep each project, rubro, and evidence traceable from intake to reconciliation, balancing agility with auditable guardrails. / Perspectiva ejecutiva: estos esquemas mantienen cada proyecto, rubro y evidencia trazable desde el intake hasta la reconciliación, equilibrando agilidad con controles auditables.</w:t>
      </w:r>
    </w:p>
    <w:bookmarkStart w:id="20" w:name="dynamodb-tables-resumen"/>
    <w:p>
      <w:pPr>
        <w:pStyle w:val="Heading2"/>
      </w:pPr>
      <w:r>
        <w:t xml:space="preserve">DynamoDB tables (resumen)</w:t>
      </w:r>
    </w:p>
    <w:p>
      <w:pPr>
        <w:pStyle w:val="FirstParagraph"/>
      </w:pPr>
      <w:r>
        <w:t xml:space="preserve">All tables use composite keys (</w:t>
      </w:r>
      <w:r>
        <w:rPr>
          <w:rStyle w:val="VerbatimChar"/>
        </w:rPr>
        <w:t xml:space="preserve">pk</w:t>
      </w:r>
      <w:r>
        <w:t xml:space="preserve"> </w:t>
      </w:r>
      <w:r>
        <w:t xml:space="preserve">as HASH,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as RANGE) with PAY_PER_REQUEST billing mode as defined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finz_projects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sk=METADATA</w:t>
      </w:r>
      <w:r>
        <w:t xml:space="preserve">; campos clave: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finz_rubros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pk=RUBRO#{rubroId}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sk=CATALOGO</w:t>
      </w:r>
      <w:r>
        <w:t xml:space="preserve">; atributos</w:t>
      </w:r>
      <w:r>
        <w:t xml:space="preserve"> </w:t>
      </w:r>
      <w:r>
        <w:rPr>
          <w:rStyle w:val="VerbatimChar"/>
        </w:rPr>
        <w:t xml:space="preserve">categoria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linea_codigo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tipo_costo</w:t>
      </w:r>
      <w:r>
        <w:t xml:space="preserve">,</w:t>
      </w:r>
      <w:r>
        <w:t xml:space="preserve"> </w:t>
      </w:r>
      <w:r>
        <w:rPr>
          <w:rStyle w:val="VerbatimChar"/>
        </w:rPr>
        <w:t xml:space="preserve">unidad</w:t>
      </w:r>
      <w:r>
        <w:t xml:space="preserve">,</w:t>
      </w:r>
      <w:r>
        <w:t xml:space="preserve"> </w:t>
      </w:r>
      <w:r>
        <w:rPr>
          <w:rStyle w:val="VerbatimChar"/>
        </w:rPr>
        <w:t xml:space="preserve">moneda_base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finz_rubros_taxonomia</w:t>
      </w:r>
      <w:r>
        <w:t xml:space="preserve">:</w:t>
      </w:r>
      <w:r>
        <w:t xml:space="preserve"> </w:t>
      </w:r>
      <w:r>
        <w:rPr>
          <w:rStyle w:val="VerbatimChar"/>
        </w:rPr>
        <w:t xml:space="preserve">pk=TAX#{category}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sk=RUBRO#{rubroId}</w:t>
      </w:r>
      <w:r>
        <w:t xml:space="preserve">; relaciones de taxonomía y clasificación.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finz_allocations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sk=ALLOCATION_RULE#{id}</w:t>
      </w:r>
      <w:r>
        <w:t xml:space="preserve">; parámetros de distribución mensual.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finz_payroll_actuals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sk=PAYROLL#{period}</w:t>
      </w:r>
      <w:r>
        <w:t xml:space="preserve">; datos reales de nómina por periodo.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finz_adjustments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sk=ADJUSTMENT#{adjustmentId}</w:t>
      </w:r>
      <w:r>
        <w:t xml:space="preserve">; excesos, reducciones y reasignaciones.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sk=CHANGE#{changeId}</w:t>
      </w:r>
      <w:r>
        <w:t xml:space="preserve">; historial de cambios y aprobaciones.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sk=ALERT#{alertId}</w:t>
      </w:r>
      <w:r>
        <w:t xml:space="preserve">; alertas de desviaciones y auditoría.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finz_providers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pk=PROVIDER#{providerId}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sk=METADATA</w:t>
      </w:r>
      <w:r>
        <w:t xml:space="preserve">; proveedores y vendors registrados.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finz_audit_log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sk=AUDIT#{timestamp}</w:t>
      </w:r>
      <w:r>
        <w:t xml:space="preserve">; registros de auditoría completos.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sk=DOC#{docId}</w:t>
      </w:r>
      <w:r>
        <w:t xml:space="preserve">;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s3_key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linkedInvoiceId</w:t>
      </w:r>
      <w:r>
        <w:t xml:space="preserve">/</w:t>
      </w:r>
      <w:r>
        <w:rPr>
          <w:rStyle w:val="VerbatimChar"/>
        </w:rPr>
        <w:t xml:space="preserve">lineItemId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finz_prefacturas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sk=PREFACTURA#{prefacturaId}</w:t>
      </w:r>
      <w:r>
        <w:t xml:space="preserve">; prefacturas y datos relacionados.</w:t>
      </w:r>
    </w:p>
    <w:bookmarkEnd w:id="20"/>
    <w:bookmarkStart w:id="21" w:name="relationships-relaciones"/>
    <w:p>
      <w:pPr>
        <w:pStyle w:val="Heading2"/>
      </w:pPr>
      <w:r>
        <w:t xml:space="preserve">Relationships / Relaciones</w:t>
      </w:r>
    </w:p>
    <w:p>
      <w:pPr>
        <w:numPr>
          <w:ilvl w:val="0"/>
          <w:numId w:val="1002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puede tener múltiples</w:t>
      </w:r>
      <w:r>
        <w:t xml:space="preserve"> </w:t>
      </w:r>
      <w:r>
        <w:rPr>
          <w:bCs/>
          <w:b/>
        </w:rPr>
        <w:t xml:space="preserve">baselines</w:t>
      </w:r>
      <w:r>
        <w:t xml:space="preserve"> </w:t>
      </w:r>
      <w:r>
        <w:t xml:space="preserve">y versiones de</w:t>
      </w:r>
      <w:r>
        <w:t xml:space="preserve"> </w:t>
      </w:r>
      <w:r>
        <w:rPr>
          <w:bCs/>
          <w:b/>
        </w:rPr>
        <w:t xml:space="preserve">handoff</w:t>
      </w:r>
      <w:r>
        <w:t xml:space="preserve"> </w:t>
      </w:r>
      <w:r>
        <w:t xml:space="preserve">hacia SDMT.</w:t>
      </w:r>
    </w:p>
    <w:p>
      <w:pPr>
        <w:numPr>
          <w:ilvl w:val="0"/>
          <w:numId w:val="1002"/>
        </w:numPr>
        <w:pStyle w:val="Compact"/>
      </w:pPr>
      <w:r>
        <w:t xml:space="preserve">Los</w:t>
      </w:r>
      <w:r>
        <w:t xml:space="preserve"> </w:t>
      </w:r>
      <w:r>
        <w:rPr>
          <w:bCs/>
          <w:b/>
        </w:rPr>
        <w:t xml:space="preserve">rubros</w:t>
      </w:r>
      <w:r>
        <w:t xml:space="preserve"> </w:t>
      </w:r>
      <w:r>
        <w:t xml:space="preserve">del catálogo se asocian a un proyecto, generan</w:t>
      </w:r>
      <w:r>
        <w:t xml:space="preserve"> </w:t>
      </w:r>
      <w:r>
        <w:rPr>
          <w:bCs/>
          <w:b/>
        </w:rPr>
        <w:t xml:space="preserve">line items</w:t>
      </w:r>
      <w:r>
        <w:t xml:space="preserve"> </w:t>
      </w:r>
      <w:r>
        <w:t xml:space="preserve">y alimentan el</w:t>
      </w:r>
      <w:r>
        <w:t xml:space="preserve"> </w:t>
      </w:r>
      <w:r>
        <w:rPr>
          <w:bCs/>
          <w:b/>
        </w:rPr>
        <w:t xml:space="preserve">forecast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Cada</w:t>
      </w:r>
      <w:r>
        <w:t xml:space="preserve"> </w:t>
      </w:r>
      <w:r>
        <w:rPr>
          <w:bCs/>
          <w:b/>
        </w:rPr>
        <w:t xml:space="preserve">invoice</w:t>
      </w:r>
      <w:r>
        <w:t xml:space="preserve"> </w:t>
      </w:r>
      <w:r>
        <w:t xml:space="preserve">referencia uno o más</w:t>
      </w:r>
      <w:r>
        <w:t xml:space="preserve"> </w:t>
      </w:r>
      <w:r>
        <w:rPr>
          <w:bCs/>
          <w:b/>
        </w:rPr>
        <w:t xml:space="preserve">line items</w:t>
      </w:r>
      <w:r>
        <w:t xml:space="preserve"> </w:t>
      </w:r>
      <w:r>
        <w:t xml:space="preserve">y guarda evidencia en S3.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Allocation rules</w:t>
      </w:r>
      <w:r>
        <w:t xml:space="preserve"> </w:t>
      </w:r>
      <w:r>
        <w:t xml:space="preserve">definen cómo se distribuyen montos de rubro/line item por periodo para el plan y el cierre mensual.</w:t>
      </w:r>
    </w:p>
    <w:bookmarkEnd w:id="21"/>
    <w:bookmarkStart w:id="22" w:name="data-quality-guardrails-controles"/>
    <w:p>
      <w:pPr>
        <w:pStyle w:val="Heading2"/>
      </w:pPr>
      <w:r>
        <w:t xml:space="preserve">Data quality guardrails / Controles</w:t>
      </w:r>
    </w:p>
    <w:p>
      <w:pPr>
        <w:numPr>
          <w:ilvl w:val="0"/>
          <w:numId w:val="1003"/>
        </w:numPr>
        <w:pStyle w:val="Compact"/>
      </w:pPr>
      <w:r>
        <w:t xml:space="preserve">Campos monetarios almacenan moneda explícita; no se mezclan divisas sin tasa definida.</w:t>
      </w:r>
    </w:p>
    <w:p>
      <w:pPr>
        <w:numPr>
          <w:ilvl w:val="0"/>
          <w:numId w:val="1003"/>
        </w:numPr>
        <w:pStyle w:val="Compact"/>
      </w:pPr>
      <w:r>
        <w:t xml:space="preserve">Cambios de baseline y approvals se auditan con</w:t>
      </w:r>
      <w:r>
        <w:t xml:space="preserve"> 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Uploads rechazan archivos sin metadatos de proyecto/line item/invoice.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Data models / Modelos de datos</dc:title>
  <dc:creator>Ikusi</dc:creator>
  <cp:keywords/>
  <dcterms:created xsi:type="dcterms:W3CDTF">2025-12-11T02:47:34Z</dcterms:created>
  <dcterms:modified xsi:type="dcterms:W3CDTF">2025-12-11T02:47:34Z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