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Sequence diagrams / Diagramas de secuencia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17, 2026</w:t>
      </w:r>
    </w:p>
    <w:bookmarkStart w:id="29" w:name="X56b2a1b5a937eaac173b2dd9eb4f9765b4e738d"/>
    <w:p>
      <w:pPr>
        <w:pStyle w:val="Heading1"/>
      </w:pPr>
      <w:r>
        <w:t xml:space="preserve">Finanzas SD – Sequence diagrams / Diagramas de secuencia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Engineers, SDMT, PMO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Visual flows for key processes and interactions</w:t>
      </w:r>
    </w:p>
    <w:p>
      <w:pPr>
        <w:pStyle w:val="BodyText"/>
      </w:pPr>
      <w:r>
        <w:t xml:space="preserve">Executive perspective: these flows show how PMO, Finanzas, and SDMT coordinate handoffs and reconciliations with evidence and access controls at every step. / Perspectiva ejecutiva: estos flujos muestran cómo PMO, Finanzas y SDMT coordinan handoffs y conciliaciones con evidencia y controles de acceso en cada paso.</w:t>
      </w:r>
    </w:p>
    <w:bookmarkStart w:id="24" w:name="X25db01b53e684a5d829a14a2a59093b2a01646e"/>
    <w:p>
      <w:pPr>
        <w:pStyle w:val="Heading2"/>
      </w:pPr>
      <w:r>
        <w:t xml:space="preserve">Architecture Diagrams / Diagramas de arquitectura</w:t>
      </w:r>
    </w:p>
    <w:bookmarkStart w:id="20" w:name="executive-view"/>
    <w:p>
      <w:pPr>
        <w:pStyle w:val="Heading3"/>
      </w:pPr>
      <w:r>
        <w:t xml:space="preserve">Executive 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Executive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diagrams/finanzas-architecture-executive.svg</w:t>
      </w:r>
      <w:r>
        <w:t xml:space="preserve">) - High-level business view showing users, application modules, AWS cloud, and external systems. Ideal for stakeholder presentations.</w:t>
      </w:r>
    </w:p>
    <w:bookmarkEnd w:id="20"/>
    <w:bookmarkStart w:id="21" w:name="technical-view"/>
    <w:p>
      <w:pPr>
        <w:pStyle w:val="Heading3"/>
      </w:pPr>
      <w:r>
        <w:t xml:space="preserve">Technical 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Technical AWS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diagrams/finanzas-architecture-technical.svg</w:t>
      </w:r>
      <w:r>
        <w:t xml:space="preserve">) - Detailed AWS services diagram showing CloudFront, S3, Cognito, API Gateway, Lambda functions, DynamoDB tables, and CloudWatch. For engineering and DevOps teams.</w:t>
      </w:r>
    </w:p>
    <w:bookmarkEnd w:id="21"/>
    <w:bookmarkStart w:id="23" w:name="original-architecture"/>
    <w:p>
      <w:pPr>
        <w:pStyle w:val="Heading3"/>
      </w:pPr>
      <w:r>
        <w:t xml:space="preserve">Original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diagrams/finanzas-architecture.svg</w:t>
      </w:r>
      <w:r>
        <w:t xml:space="preserve">) - Original compact architecture showing component relationships.</w:t>
      </w:r>
    </w:p>
    <w:p>
      <w:pPr>
        <w:pStyle w:val="FirstParagraph"/>
      </w:pPr>
      <w:r>
        <w:t xml:space="preserve">For creating professional Lucid versions, see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LUCID_GUIDELINES.md</w:t>
        </w:r>
      </w:hyperlink>
      <w:r>
        <w:t xml:space="preserve">.</w:t>
      </w:r>
    </w:p>
    <w:bookmarkEnd w:id="23"/>
    <w:bookmarkEnd w:id="24"/>
    <w:bookmarkStart w:id="25" w:name="sequence-flows-flujos-de-secuencia"/>
    <w:p>
      <w:pPr>
        <w:pStyle w:val="Heading2"/>
      </w:pPr>
      <w:r>
        <w:t xml:space="preserve">Sequence Flows / Flujos de secuencia</w:t>
      </w:r>
    </w:p>
    <w:bookmarkEnd w:id="25"/>
    <w:bookmarkStart w:id="26" w:name="project-intake-to-sdmt-handoff"/>
    <w:p>
      <w:pPr>
        <w:pStyle w:val="Heading2"/>
      </w:pPr>
      <w:r>
        <w:t xml:space="preserve">Project intake to SDMT handoff</w:t>
      </w:r>
    </w:p>
    <w:p>
      <w:pPr>
        <w:numPr>
          <w:ilvl w:val="0"/>
          <w:numId w:val="1004"/>
        </w:numPr>
        <w:pStyle w:val="Compact"/>
      </w:pPr>
      <w:r>
        <w:t xml:space="preserve">Flujo: PMO crea proyecto → define baseline → asocia rubros → genera handoff para SDMT.</w:t>
      </w:r>
    </w:p>
    <w:p>
      <w:pPr>
        <w:numPr>
          <w:ilvl w:val="0"/>
          <w:numId w:val="1004"/>
        </w:numPr>
        <w:pStyle w:val="Compact"/>
      </w:pPr>
      <w:r>
        <w:t xml:space="preserve">Ver</w:t>
      </w:r>
      <w:r>
        <w:t xml:space="preserve"> </w:t>
      </w:r>
      <w:r>
        <w:rPr>
          <w:rStyle w:val="VerbatimChar"/>
        </w:rPr>
        <w:t xml:space="preserve">diagrams/finanzas-sequence-handoff.svg</w:t>
      </w:r>
      <w:r>
        <w:t xml:space="preserve"> </w:t>
      </w:r>
      <w:r>
        <w:t xml:space="preserve">para pasos y validaciones.</w:t>
      </w:r>
    </w:p>
    <w:bookmarkEnd w:id="26"/>
    <w:bookmarkStart w:id="27" w:name="invoice-reconciliation-with-evidence"/>
    <w:p>
      <w:pPr>
        <w:pStyle w:val="Heading2"/>
      </w:pPr>
      <w:r>
        <w:t xml:space="preserve">Invoice reconciliation with evidence</w:t>
      </w:r>
    </w:p>
    <w:p>
      <w:pPr>
        <w:numPr>
          <w:ilvl w:val="0"/>
          <w:numId w:val="1005"/>
        </w:numPr>
        <w:pStyle w:val="Compact"/>
      </w:pPr>
      <w:r>
        <w:t xml:space="preserve">Flujo: Finanzas registra factura → adjunta evidencia → reconcilia contra forecast → actualiza estado.</w:t>
      </w:r>
    </w:p>
    <w:p>
      <w:pPr>
        <w:numPr>
          <w:ilvl w:val="0"/>
          <w:numId w:val="1005"/>
        </w:numPr>
        <w:pStyle w:val="Compact"/>
      </w:pPr>
      <w:r>
        <w:t xml:space="preserve">Ver</w:t>
      </w:r>
      <w:r>
        <w:t xml:space="preserve"> </w:t>
      </w:r>
      <w:r>
        <w:rPr>
          <w:rStyle w:val="VerbatimChar"/>
        </w:rPr>
        <w:t xml:space="preserve">diagrams/finanzas-sequence-recon.svg</w:t>
      </w:r>
      <w:r>
        <w:t xml:space="preserve"> </w:t>
      </w:r>
      <w:r>
        <w:t xml:space="preserve">para detalles de llamadas y accesos a DynamoDB/S3.</w:t>
      </w:r>
    </w:p>
    <w:bookmarkEnd w:id="27"/>
    <w:bookmarkStart w:id="28" w:name="notes-notas"/>
    <w:p>
      <w:pPr>
        <w:pStyle w:val="Heading2"/>
      </w:pPr>
      <w:r>
        <w:t xml:space="preserve">Notes / Notas</w:t>
      </w:r>
    </w:p>
    <w:p>
      <w:pPr>
        <w:numPr>
          <w:ilvl w:val="0"/>
          <w:numId w:val="1006"/>
        </w:numPr>
        <w:pStyle w:val="Compact"/>
      </w:pPr>
      <w:r>
        <w:t xml:space="preserve">Todos los pasos requieren JWT con grupo habilitado; fallas de auth responden 401/403.</w:t>
      </w:r>
    </w:p>
    <w:p>
      <w:pPr>
        <w:numPr>
          <w:ilvl w:val="0"/>
          <w:numId w:val="1006"/>
        </w:numPr>
        <w:pStyle w:val="Compact"/>
      </w:pPr>
      <w:r>
        <w:t xml:space="preserve">La UI usa loaders optimistas, pero la confirmación depende de la respuesta de API.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iagrams/LUCID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agrams/LUCID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Sequence diagrams / Diagramas de secuencia</dc:title>
  <dc:creator>Ikusi</dc:creator>
  <cp:keywords/>
  <dcterms:created xsi:type="dcterms:W3CDTF">2026-01-17T23:07:32Z</dcterms:created>
  <dcterms:modified xsi:type="dcterms:W3CDTF">2026-01-17T23:07:32Z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17, 2026</vt:lpwstr>
  </property>
</Properties>
</file>