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Governance &amp; RACI Matrix / Gobernanza y Matriz RACI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42" w:name="X8746b804701a9be5730759ce1b3834d8a1879fc"/>
    <w:p>
      <w:pPr>
        <w:pStyle w:val="Heading1"/>
      </w:pPr>
      <w:r>
        <w:t xml:space="preserve">Governance &amp; RACI Matrix / Gobernanza y Matriz RACI</w:t>
      </w:r>
    </w:p>
    <w:bookmarkStart w:id="36" w:name="en-governance-structure"/>
    <w:p>
      <w:pPr>
        <w:pStyle w:val="Heading2"/>
      </w:pPr>
      <w:r>
        <w:t xml:space="preserve">EN: Governance Structure</w:t>
      </w:r>
    </w:p>
    <w:bookmarkStart w:id="24" w:name="raci-matrix-for-finanzas-sd"/>
    <w:p>
      <w:pPr>
        <w:pStyle w:val="Heading3"/>
      </w:pPr>
      <w:r>
        <w:t xml:space="preserve">RACI Matrix for Finanzas SD</w:t>
      </w:r>
    </w:p>
    <w:p>
      <w:pPr>
        <w:pStyle w:val="FirstParagraph"/>
      </w:pPr>
      <w:r>
        <w:t xml:space="preserve">The RACI matrix defines roles and responsibilities for key activities in the Finanzas SD system.</w:t>
      </w:r>
    </w:p>
    <w:p>
      <w:pPr>
        <w:pStyle w:val="BodyText"/>
      </w:pPr>
      <w:r>
        <w:rPr>
          <w:bCs/>
          <w:b/>
        </w:rPr>
        <w:t xml:space="preserve">Legend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Responsible (does the 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Accountable (final approval)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Consulted (provides input)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Informed (kept updated)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to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bookmarkStart w:id="20" w:name="budget-management"/>
    <w:p>
      <w:pPr>
        <w:pStyle w:val="Heading4"/>
      </w:pPr>
      <w:r>
        <w:t xml:space="preserve">Budget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Month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0"/>
    <w:bookmarkStart w:id="21" w:name="system-administration"/>
    <w:p>
      <w:pPr>
        <w:pStyle w:val="Heading4"/>
      </w:pPr>
      <w:r>
        <w:t xml:space="preserve">System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</w:tbl>
    <w:bookmarkEnd w:id="21"/>
    <w:bookmarkStart w:id="22" w:name="reporting-analytics"/>
    <w:p>
      <w:pPr>
        <w:pStyle w:val="Heading4"/>
      </w:pPr>
      <w:r>
        <w:t xml:space="preserve">Reporting &amp;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Month-End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2"/>
    <w:bookmarkStart w:id="23" w:name="compliance-audit"/>
    <w:p>
      <w:pPr>
        <w:pStyle w:val="Heading4"/>
      </w:pPr>
      <w:r>
        <w:t xml:space="preserve">Compliance &amp;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bookmarkEnd w:id="23"/>
    <w:bookmarkEnd w:id="24"/>
    <w:bookmarkStart w:id="30" w:name="governance-policies"/>
    <w:p>
      <w:pPr>
        <w:pStyle w:val="Heading3"/>
      </w:pPr>
      <w:r>
        <w:t xml:space="preserve">Governance Policies</w:t>
      </w:r>
    </w:p>
    <w:bookmarkStart w:id="25" w:name="access-control-policy"/>
    <w:p>
      <w:pPr>
        <w:pStyle w:val="Heading4"/>
      </w:pPr>
      <w:r>
        <w:t xml:space="preserve">1. Access Control Policy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</w:t>
      </w:r>
      <w:r>
        <w:t xml:space="preserve">: Least privilege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</w:t>
      </w:r>
      <w:r>
        <w:t xml:space="preserve">: AVP Cedar policies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 Frequency</w:t>
      </w:r>
      <w:r>
        <w:t xml:space="preserve">: Quarterly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Owner</w:t>
      </w:r>
      <w:r>
        <w:t xml:space="preserve">: IT with FIN approval</w:t>
      </w:r>
    </w:p>
    <w:bookmarkEnd w:id="25"/>
    <w:bookmarkStart w:id="26" w:name="data-retention-policy"/>
    <w:p>
      <w:pPr>
        <w:pStyle w:val="Heading4"/>
      </w:pPr>
      <w:r>
        <w:t xml:space="preserve">2. Data Retention Policy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Budgets</w:t>
      </w:r>
      <w:r>
        <w:t xml:space="preserve">: 7 years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Logs</w:t>
      </w:r>
      <w:r>
        <w:t xml:space="preserve">: 10 years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Documents</w:t>
      </w:r>
      <w:r>
        <w:t xml:space="preserve">: 7 years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Notifications</w:t>
      </w:r>
      <w:r>
        <w:t xml:space="preserve">: 1 year</w:t>
      </w:r>
    </w:p>
    <w:bookmarkEnd w:id="26"/>
    <w:bookmarkStart w:id="27" w:name="approval-workflow-policy"/>
    <w:p>
      <w:pPr>
        <w:pStyle w:val="Heading4"/>
      </w:pPr>
      <w:r>
        <w:t xml:space="preserve">3. Approval Workflow Policy</w:t>
      </w:r>
    </w:p>
    <w:p>
      <w:pPr>
        <w:numPr>
          <w:ilvl w:val="0"/>
          <w:numId w:val="1003"/>
        </w:numPr>
        <w:pStyle w:val="Compact"/>
      </w:pPr>
      <w:r>
        <w:t xml:space="preserve">Budgets over $50K require SDM approval</w:t>
      </w:r>
    </w:p>
    <w:p>
      <w:pPr>
        <w:numPr>
          <w:ilvl w:val="0"/>
          <w:numId w:val="1003"/>
        </w:numPr>
        <w:pStyle w:val="Compact"/>
      </w:pPr>
      <w:r>
        <w:t xml:space="preserve">Budget adjustments require justification</w:t>
      </w:r>
    </w:p>
    <w:p>
      <w:pPr>
        <w:numPr>
          <w:ilvl w:val="0"/>
          <w:numId w:val="1003"/>
        </w:numPr>
        <w:pStyle w:val="Compact"/>
      </w:pPr>
      <w:r>
        <w:t xml:space="preserve">Rejected items require documented reason</w:t>
      </w:r>
    </w:p>
    <w:bookmarkEnd w:id="27"/>
    <w:bookmarkStart w:id="28" w:name="change-management-policy"/>
    <w:p>
      <w:pPr>
        <w:pStyle w:val="Heading4"/>
      </w:pPr>
      <w:r>
        <w:t xml:space="preserve">4. Change Management Policy</w:t>
      </w:r>
    </w:p>
    <w:p>
      <w:pPr>
        <w:numPr>
          <w:ilvl w:val="0"/>
          <w:numId w:val="1004"/>
        </w:numPr>
        <w:pStyle w:val="Compact"/>
      </w:pPr>
      <w:r>
        <w:t xml:space="preserve">All system changes require change request</w:t>
      </w:r>
    </w:p>
    <w:p>
      <w:pPr>
        <w:numPr>
          <w:ilvl w:val="0"/>
          <w:numId w:val="1004"/>
        </w:numPr>
        <w:pStyle w:val="Compact"/>
      </w:pPr>
      <w:r>
        <w:t xml:space="preserve">Production deployments require approval</w:t>
      </w:r>
    </w:p>
    <w:p>
      <w:pPr>
        <w:numPr>
          <w:ilvl w:val="0"/>
          <w:numId w:val="1004"/>
        </w:numPr>
        <w:pStyle w:val="Compact"/>
      </w:pPr>
      <w:r>
        <w:t xml:space="preserve">Rollback plan required for all changes</w:t>
      </w:r>
    </w:p>
    <w:p>
      <w:pPr>
        <w:numPr>
          <w:ilvl w:val="0"/>
          <w:numId w:val="1004"/>
        </w:numPr>
        <w:pStyle w:val="Compact"/>
      </w:pPr>
      <w:r>
        <w:t xml:space="preserve">Post-deployment validation mandatory</w:t>
      </w:r>
    </w:p>
    <w:bookmarkEnd w:id="28"/>
    <w:bookmarkStart w:id="29" w:name="incident-response-policy"/>
    <w:p>
      <w:pPr>
        <w:pStyle w:val="Heading4"/>
      </w:pPr>
      <w:r>
        <w:t xml:space="preserve">5. Incident Response Policy</w:t>
      </w:r>
    </w:p>
    <w:p>
      <w:pPr>
        <w:numPr>
          <w:ilvl w:val="0"/>
          <w:numId w:val="1005"/>
        </w:numPr>
        <w:pStyle w:val="Compact"/>
      </w:pPr>
      <w:r>
        <w:t xml:space="preserve">Severity levels: Critical, High, Medium, Low</w:t>
      </w:r>
    </w:p>
    <w:p>
      <w:pPr>
        <w:numPr>
          <w:ilvl w:val="0"/>
          <w:numId w:val="1005"/>
        </w:numPr>
        <w:pStyle w:val="Compact"/>
      </w:pPr>
      <w:r>
        <w:t xml:space="preserve">Response times: 1h, 4h, 24h, 48h</w:t>
      </w:r>
    </w:p>
    <w:p>
      <w:pPr>
        <w:numPr>
          <w:ilvl w:val="0"/>
          <w:numId w:val="1005"/>
        </w:numPr>
        <w:pStyle w:val="Compact"/>
      </w:pPr>
      <w:r>
        <w:t xml:space="preserve">Escalation paths defined</w:t>
      </w:r>
    </w:p>
    <w:p>
      <w:pPr>
        <w:numPr>
          <w:ilvl w:val="0"/>
          <w:numId w:val="1005"/>
        </w:numPr>
        <w:pStyle w:val="Compact"/>
      </w:pPr>
      <w:r>
        <w:t xml:space="preserve">Post-mortem required for Critical/High</w:t>
      </w:r>
    </w:p>
    <w:bookmarkEnd w:id="29"/>
    <w:bookmarkEnd w:id="30"/>
    <w:bookmarkStart w:id="35" w:name="decision-rights"/>
    <w:p>
      <w:pPr>
        <w:pStyle w:val="Heading3"/>
      </w:pPr>
      <w:r>
        <w:t xml:space="preserve">Decision Rights</w:t>
      </w:r>
    </w:p>
    <w:bookmarkStart w:id="31" w:name="strategic-decisions-sdm"/>
    <w:p>
      <w:pPr>
        <w:pStyle w:val="Heading4"/>
      </w:pPr>
      <w:r>
        <w:t xml:space="preserve">Strategic Decisions (SDM)</w:t>
      </w:r>
    </w:p>
    <w:p>
      <w:pPr>
        <w:numPr>
          <w:ilvl w:val="0"/>
          <w:numId w:val="1006"/>
        </w:numPr>
        <w:pStyle w:val="Compact"/>
      </w:pPr>
      <w:r>
        <w:t xml:space="preserve">Budget allocation across projects</w:t>
      </w:r>
    </w:p>
    <w:p>
      <w:pPr>
        <w:numPr>
          <w:ilvl w:val="0"/>
          <w:numId w:val="1006"/>
        </w:numPr>
        <w:pStyle w:val="Compact"/>
      </w:pPr>
      <w:r>
        <w:t xml:space="preserve">Policy changes affecting all users</w:t>
      </w:r>
    </w:p>
    <w:p>
      <w:pPr>
        <w:numPr>
          <w:ilvl w:val="0"/>
          <w:numId w:val="1006"/>
        </w:numPr>
        <w:pStyle w:val="Compact"/>
      </w:pPr>
      <w:r>
        <w:t xml:space="preserve">System enhancement priorities</w:t>
      </w:r>
    </w:p>
    <w:p>
      <w:pPr>
        <w:numPr>
          <w:ilvl w:val="0"/>
          <w:numId w:val="1006"/>
        </w:numPr>
        <w:pStyle w:val="Compact"/>
      </w:pPr>
      <w:r>
        <w:t xml:space="preserve">Vendor selection</w:t>
      </w:r>
    </w:p>
    <w:bookmarkEnd w:id="31"/>
    <w:bookmarkStart w:id="32" w:name="operational-decisions-fin"/>
    <w:p>
      <w:pPr>
        <w:pStyle w:val="Heading4"/>
      </w:pPr>
      <w:r>
        <w:t xml:space="preserve">Operational Decisions (FIN)</w:t>
      </w:r>
    </w:p>
    <w:p>
      <w:pPr>
        <w:numPr>
          <w:ilvl w:val="0"/>
          <w:numId w:val="1007"/>
        </w:numPr>
        <w:pStyle w:val="Compact"/>
      </w:pPr>
      <w:r>
        <w:t xml:space="preserve">Month-end close procedures</w:t>
      </w:r>
    </w:p>
    <w:p>
      <w:pPr>
        <w:numPr>
          <w:ilvl w:val="0"/>
          <w:numId w:val="1007"/>
        </w:numPr>
        <w:pStyle w:val="Compact"/>
      </w:pPr>
      <w:r>
        <w:t xml:space="preserve">Report distribution</w:t>
      </w:r>
    </w:p>
    <w:p>
      <w:pPr>
        <w:numPr>
          <w:ilvl w:val="0"/>
          <w:numId w:val="1007"/>
        </w:numPr>
        <w:pStyle w:val="Compact"/>
      </w:pPr>
      <w:r>
        <w:t xml:space="preserve">Budget variance explanations</w:t>
      </w:r>
    </w:p>
    <w:bookmarkEnd w:id="32"/>
    <w:bookmarkStart w:id="33" w:name="technical-decisions-it"/>
    <w:p>
      <w:pPr>
        <w:pStyle w:val="Heading4"/>
      </w:pPr>
      <w:r>
        <w:t xml:space="preserve">Technical Decisions (IT)</w:t>
      </w:r>
    </w:p>
    <w:p>
      <w:pPr>
        <w:numPr>
          <w:ilvl w:val="0"/>
          <w:numId w:val="1008"/>
        </w:numPr>
        <w:pStyle w:val="Compact"/>
      </w:pPr>
      <w:r>
        <w:t xml:space="preserve">Infrastructure changes</w:t>
      </w:r>
    </w:p>
    <w:p>
      <w:pPr>
        <w:numPr>
          <w:ilvl w:val="0"/>
          <w:numId w:val="1008"/>
        </w:numPr>
        <w:pStyle w:val="Compact"/>
      </w:pPr>
      <w:r>
        <w:t xml:space="preserve">Security configurations</w:t>
      </w:r>
    </w:p>
    <w:p>
      <w:pPr>
        <w:numPr>
          <w:ilvl w:val="0"/>
          <w:numId w:val="1008"/>
        </w:numPr>
        <w:pStyle w:val="Compact"/>
      </w:pPr>
      <w:r>
        <w:t xml:space="preserve">Integration approaches</w:t>
      </w:r>
    </w:p>
    <w:p>
      <w:pPr>
        <w:numPr>
          <w:ilvl w:val="0"/>
          <w:numId w:val="1008"/>
        </w:numPr>
        <w:pStyle w:val="Compact"/>
      </w:pPr>
      <w:r>
        <w:t xml:space="preserve">Performance optimizations</w:t>
      </w:r>
    </w:p>
    <w:bookmarkEnd w:id="33"/>
    <w:bookmarkStart w:id="34" w:name="compliance-decisions-aud"/>
    <w:p>
      <w:pPr>
        <w:pStyle w:val="Heading4"/>
      </w:pPr>
      <w:r>
        <w:t xml:space="preserve">Compliance Decisions (AUD)</w:t>
      </w:r>
    </w:p>
    <w:p>
      <w:pPr>
        <w:numPr>
          <w:ilvl w:val="0"/>
          <w:numId w:val="1009"/>
        </w:numPr>
        <w:pStyle w:val="Compact"/>
      </w:pPr>
      <w:r>
        <w:t xml:space="preserve">Audit scope and frequency</w:t>
      </w:r>
    </w:p>
    <w:p>
      <w:pPr>
        <w:numPr>
          <w:ilvl w:val="0"/>
          <w:numId w:val="1009"/>
        </w:numPr>
        <w:pStyle w:val="Compact"/>
      </w:pPr>
      <w:r>
        <w:t xml:space="preserve">Evidence requirements</w:t>
      </w:r>
    </w:p>
    <w:p>
      <w:pPr>
        <w:numPr>
          <w:ilvl w:val="0"/>
          <w:numId w:val="1009"/>
        </w:numPr>
        <w:pStyle w:val="Compact"/>
      </w:pPr>
      <w:r>
        <w:t xml:space="preserve">Finding severity</w:t>
      </w:r>
    </w:p>
    <w:p>
      <w:pPr>
        <w:numPr>
          <w:ilvl w:val="0"/>
          <w:numId w:val="1009"/>
        </w:numPr>
        <w:pStyle w:val="Compact"/>
      </w:pPr>
      <w:r>
        <w:t xml:space="preserve">Remediation priorities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es-estructura-de-gobernanza"/>
    <w:p>
      <w:pPr>
        <w:pStyle w:val="Heading2"/>
      </w:pPr>
      <w:r>
        <w:t xml:space="preserve">ES: Estructura de Gobernanza</w:t>
      </w:r>
    </w:p>
    <w:bookmarkStart w:id="37" w:name="matriz-raci-para-finanzas-sd"/>
    <w:p>
      <w:pPr>
        <w:pStyle w:val="Heading3"/>
      </w:pPr>
      <w:r>
        <w:t xml:space="preserve">Matriz RACI para Finanzas SD</w:t>
      </w:r>
    </w:p>
    <w:p>
      <w:pPr>
        <w:pStyle w:val="FirstParagraph"/>
      </w:pPr>
      <w:r>
        <w:t xml:space="preserve">La matriz RACI define roles y responsabilidades para actividades clave en el sistema Finanzas SD.</w:t>
      </w:r>
    </w:p>
    <w:p>
      <w:pPr>
        <w:pStyle w:val="BodyText"/>
      </w:pPr>
      <w:r>
        <w:rPr>
          <w:bCs/>
          <w:b/>
        </w:rPr>
        <w:t xml:space="preserve">Leyenda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Responsable (hace el trabajo)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Aprobador (aprobación final)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Consultado (proporciona información)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Informado (mantenido actualizado)</w:t>
      </w:r>
    </w:p>
    <w:p>
      <w:pPr>
        <w:pStyle w:val="BodyText"/>
      </w:pPr>
      <w:r>
        <w:t xml:space="preserve">[Traducción de todas las tablas RACI y políticas de gobernanza]</w:t>
      </w:r>
    </w:p>
    <w:bookmarkEnd w:id="37"/>
    <w:bookmarkStart w:id="40" w:name="políticas-de-gobernanza"/>
    <w:p>
      <w:pPr>
        <w:pStyle w:val="Heading3"/>
      </w:pPr>
      <w:r>
        <w:t xml:space="preserve">Políticas de Gobernanza</w:t>
      </w:r>
    </w:p>
    <w:bookmarkStart w:id="38" w:name="política-de-control-de-acceso"/>
    <w:p>
      <w:pPr>
        <w:pStyle w:val="Heading4"/>
      </w:pPr>
      <w:r>
        <w:t xml:space="preserve">1. Política de Control de Acceso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Principio</w:t>
      </w:r>
      <w:r>
        <w:t xml:space="preserve">: Acceso de mínimo privilegio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Implementación</w:t>
      </w:r>
      <w:r>
        <w:t xml:space="preserve">: Políticas Cedar de AVP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Frecuencia de Revisión</w:t>
      </w:r>
      <w:r>
        <w:t xml:space="preserve">: Trimestral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Propietario</w:t>
      </w:r>
      <w:r>
        <w:t xml:space="preserve">: TI con aprobación de FIN</w:t>
      </w:r>
    </w:p>
    <w:bookmarkEnd w:id="38"/>
    <w:bookmarkStart w:id="39" w:name="política-de-retención-de-datos"/>
    <w:p>
      <w:pPr>
        <w:pStyle w:val="Heading4"/>
      </w:pPr>
      <w:r>
        <w:t xml:space="preserve">2. Política de Retención de Datos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Presupuestos</w:t>
      </w:r>
      <w:r>
        <w:t xml:space="preserve">: 7 años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Registros de Auditoría</w:t>
      </w:r>
      <w:r>
        <w:t xml:space="preserve">: 10 años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Documentos</w:t>
      </w:r>
      <w:r>
        <w:t xml:space="preserve">: 7 años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Notificaciones</w:t>
      </w:r>
      <w:r>
        <w:t xml:space="preserve">: 1 año</w:t>
      </w:r>
    </w:p>
    <w:p>
      <w:pPr>
        <w:pStyle w:val="FirstParagraph"/>
      </w:pPr>
      <w:r>
        <w:t xml:space="preserve">[Traducción de las políticas restantes]</w:t>
      </w:r>
    </w:p>
    <w:bookmarkEnd w:id="39"/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&amp; RACI Matrix / Gobernanza y Matriz RACI</dc:title>
  <dc:creator>Ikusi</dc:creator>
  <cp:keywords/>
  <dcterms:created xsi:type="dcterms:W3CDTF">2025-11-11T01:37:05Z</dcterms:created>
  <dcterms:modified xsi:type="dcterms:W3CDTF">2025-11-11T01:37:05Z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