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9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PMO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flows for key processes and interactions</w:t>
      </w:r>
    </w:p>
    <w:p>
      <w:pPr>
        <w:pStyle w:val="BodyText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4" w:name="X25db01b53e684a5d829a14a2a59093b2a01646e"/>
    <w:p>
      <w:pPr>
        <w:pStyle w:val="Heading2"/>
      </w:pPr>
      <w:r>
        <w:t xml:space="preserve">Architecture Diagrams / Diagramas de arquitectura</w:t>
      </w:r>
    </w:p>
    <w:bookmarkStart w:id="20" w:name="executive-view"/>
    <w:p>
      <w:pPr>
        <w:pStyle w:val="Heading3"/>
      </w:pPr>
      <w:r>
        <w:t xml:space="preserve">Executive 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Executive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High-level business view showing users, application modules, AWS cloud, and external systems. Ideal for stakeholder presentations.</w:t>
      </w:r>
    </w:p>
    <w:bookmarkEnd w:id="20"/>
    <w:bookmarkStart w:id="21" w:name="technical-view"/>
    <w:p>
      <w:pPr>
        <w:pStyle w:val="Heading3"/>
      </w:pPr>
      <w:r>
        <w:t xml:space="preserve">Technical 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Technical AWS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diagram showing CloudFront, S3, Cognito, API Gateway, Lambda functions, DynamoDB tables, and CloudWatch. For engineering and DevOps teams.</w:t>
      </w:r>
    </w:p>
    <w:bookmarkEnd w:id="21"/>
    <w:bookmarkStart w:id="23" w:name="original-architecture"/>
    <w:p>
      <w:pPr>
        <w:pStyle w:val="Heading3"/>
      </w:pPr>
      <w:r>
        <w:t xml:space="preserve">Original Architecture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System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Original compact architecture showing component relationships.</w:t>
      </w:r>
    </w:p>
    <w:p>
      <w:pPr>
        <w:pStyle w:val="FirstParagraph"/>
      </w:pPr>
      <w:r>
        <w:t xml:space="preserve">For creating professional Lucid versions, see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LUCID_GUIDELINES.md</w:t>
        </w:r>
      </w:hyperlink>
      <w:r>
        <w:t xml:space="preserve">.</w:t>
      </w:r>
    </w:p>
    <w:bookmarkEnd w:id="23"/>
    <w:bookmarkEnd w:id="24"/>
    <w:bookmarkStart w:id="25" w:name="sequence-flows-flujos-de-secuencia"/>
    <w:p>
      <w:pPr>
        <w:pStyle w:val="Heading2"/>
      </w:pPr>
      <w:r>
        <w:t xml:space="preserve">Sequence Flows / Flujos de secuencia</w:t>
      </w:r>
    </w:p>
    <w:bookmarkEnd w:id="25"/>
    <w:bookmarkStart w:id="26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4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4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6"/>
    <w:bookmarkStart w:id="27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5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5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7"/>
    <w:bookmarkStart w:id="28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6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6"/>
        </w:numPr>
        <w:pStyle w:val="Compact"/>
      </w:pPr>
      <w:r>
        <w:t xml:space="preserve">La UI usa loaders optimistas, pero la confirmación depende de la respuesta de API.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2025-12-11T19:53:25Z</dcterms:created>
  <dcterms:modified xsi:type="dcterms:W3CDTF">2025-12-11T19:53:25Z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