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4" w:name="X5e9e91f6ad2ab432b3c1b8dd1a4cbd5cae5350e"/>
    <w:p>
      <w:pPr>
        <w:pStyle w:val="Heading1"/>
      </w:pPr>
      <w:r>
        <w:t xml:space="preserve">Finanzas SD – Arquitectura técnica / Technical architecture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tablas de proyectos, baselines, rubros, line items, allocation rules, invoices y alerts/changes.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ukusi-ui-finanzas-*</w:t>
      </w:r>
      <w:r>
        <w:t xml:space="preserve">) y prefix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p>
      <w:pPr>
        <w:pStyle w:val="FirstParagraph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0"/>
    <w:bookmarkStart w:id="21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3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3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3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3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3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1"/>
    <w:bookmarkStart w:id="22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4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4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4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2"/>
    <w:bookmarkStart w:id="23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5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5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5"/>
        </w:numPr>
        <w:pStyle w:val="Compact"/>
      </w:pPr>
      <w:r>
        <w:t xml:space="preserve">Registros de auditoría para cambios de baseline, handoff y facturas.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2025-12-05T20:59:56Z</dcterms:created>
  <dcterms:modified xsi:type="dcterms:W3CDTF">2025-12-05T20:59:56Z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