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6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DevOps,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Technical architecture and deployment details for Finanzas SD</w:t>
      </w:r>
    </w:p>
    <w:p>
      <w:pPr>
        <w:pStyle w:val="BodyText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tables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 All use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with PAY_PER_REQUEST billing mode (verified in template.yaml).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via CloudFront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) y bucket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Infrastructure values shown are for dev environment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bookmarkEnd w:id="20"/>
    <w:bookmarkStart w:id="22" w:name="X25db01b53e684a5d829a14a2a59093b2a01646e"/>
    <w:p>
      <w:pPr>
        <w:pStyle w:val="Heading2"/>
      </w:pPr>
      <w:r>
        <w:t xml:space="preserve">Architecture Diagrams / Diagramas de arquitectura</w:t>
      </w:r>
    </w:p>
    <w:p>
      <w:pPr>
        <w:pStyle w:val="FirstParagraph"/>
      </w:pPr>
      <w:r>
        <w:t xml:space="preserve">Three architectural views are available: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Executive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Business-friendly high-level diagram for stakeholders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Technical AWS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with all components and integrations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Original System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Compact component-level architecture</w:t>
      </w:r>
    </w:p>
    <w:p>
      <w:pPr>
        <w:pStyle w:val="FirstParagraph"/>
      </w:pPr>
      <w:r>
        <w:t xml:space="preserve">For creating branded Lucid versions, see</w:t>
      </w:r>
      <w:r>
        <w:t xml:space="preserve"> </w:t>
      </w:r>
      <w:hyperlink r:id="rId21">
        <w:r>
          <w:rPr>
            <w:rStyle w:val="Hyperlink"/>
          </w:rPr>
          <w:t xml:space="preserve">LUCID_GUIDELINES.md</w:t>
        </w:r>
      </w:hyperlink>
      <w:r>
        <w:t xml:space="preserve">.</w:t>
      </w:r>
    </w:p>
    <w:p>
      <w:pPr>
        <w:pStyle w:val="BodyText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2"/>
    <w:bookmarkStart w:id="23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4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4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4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4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4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3"/>
    <w:bookmarkStart w:id="24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5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5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5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4"/>
    <w:bookmarkStart w:id="25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6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6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6"/>
        </w:numPr>
        <w:pStyle w:val="Compact"/>
      </w:pPr>
      <w:r>
        <w:t xml:space="preserve">Registros de auditoría para cambios de baseline, handoff y facturas.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2026-01-25T19:23:17Z</dcterms:created>
  <dcterms:modified xsi:type="dcterms:W3CDTF">2026-01-25T19:23:17Z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