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aac4d002edfc1e821855ad78a7ba976bc49c71"/>
    <w:p>
      <w:pPr>
        <w:pStyle w:val="Heading1"/>
      </w:pPr>
      <w:r>
        <w:t xml:space="preserve">Controls and Audit / Controles y Auditoría</w:t>
      </w:r>
    </w:p>
    <w:bookmarkStart w:id="35" w:name="en-audit-and-control-framework"/>
    <w:p>
      <w:pPr>
        <w:pStyle w:val="Heading2"/>
      </w:pPr>
      <w:r>
        <w:t xml:space="preserve">EN: Audit and Control Framework</w:t>
      </w:r>
    </w:p>
    <w:bookmarkStart w:id="25" w:name="evidence-pack-components"/>
    <w:p>
      <w:pPr>
        <w:pStyle w:val="Heading3"/>
      </w:pPr>
      <w:r>
        <w:t xml:space="preserve">Evidence Pack Components</w:t>
      </w:r>
    </w:p>
    <w:p>
      <w:pPr>
        <w:pStyle w:val="FirstParagraph"/>
      </w:pPr>
      <w:r>
        <w:t xml:space="preserve">The Finanzas SD system maintains comprehensive audit trails and evidence packs for compliance and forensic analysis.</w:t>
      </w:r>
    </w:p>
    <w:bookmarkStart w:id="20" w:name="X9bdf70b45994fb4c9c49a6518ffd4131841e283"/>
    <w:p>
      <w:pPr>
        <w:pStyle w:val="Heading4"/>
      </w:pPr>
      <w:r>
        <w:t xml:space="preserve">1. Application Logs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Amazon CloudWatch Logs</w:t>
      </w:r>
      <w:r>
        <w:t xml:space="preserve"> </w:t>
      </w:r>
      <w:r>
        <w:rPr>
          <w:bCs/>
          <w:b/>
        </w:rPr>
        <w:t xml:space="preserve">Retention</w:t>
      </w:r>
      <w:r>
        <w:t xml:space="preserve">: 10 years</w:t>
      </w:r>
      <w:r>
        <w:t xml:space="preserve"> </w:t>
      </w:r>
      <w:r>
        <w:rPr>
          <w:bCs/>
          <w:b/>
        </w:rPr>
        <w:t xml:space="preserve">Contents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API request/response logs</w:t>
      </w:r>
    </w:p>
    <w:p>
      <w:pPr>
        <w:numPr>
          <w:ilvl w:val="0"/>
          <w:numId w:val="1001"/>
        </w:numPr>
        <w:pStyle w:val="Compact"/>
      </w:pPr>
      <w:r>
        <w:t xml:space="preserve">Lambda function execution logs</w:t>
      </w:r>
    </w:p>
    <w:p>
      <w:pPr>
        <w:numPr>
          <w:ilvl w:val="0"/>
          <w:numId w:val="1001"/>
        </w:numPr>
        <w:pStyle w:val="Compact"/>
      </w:pPr>
      <w:r>
        <w:t xml:space="preserve">Authentication events</w:t>
      </w:r>
    </w:p>
    <w:p>
      <w:pPr>
        <w:numPr>
          <w:ilvl w:val="0"/>
          <w:numId w:val="1001"/>
        </w:numPr>
        <w:pStyle w:val="Compact"/>
      </w:pPr>
      <w:r>
        <w:t xml:space="preserve">Authorization decisions</w:t>
      </w:r>
    </w:p>
    <w:p>
      <w:pPr>
        <w:numPr>
          <w:ilvl w:val="0"/>
          <w:numId w:val="1001"/>
        </w:numPr>
        <w:pStyle w:val="Compact"/>
      </w:pPr>
      <w:r>
        <w:t xml:space="preserve">Error logs and stack traces</w:t>
      </w:r>
    </w:p>
    <w:p>
      <w:pPr>
        <w:numPr>
          <w:ilvl w:val="0"/>
          <w:numId w:val="1001"/>
        </w:numPr>
        <w:pStyle w:val="Compact"/>
      </w:pPr>
      <w:r>
        <w:t xml:space="preserve">Performance metrics</w:t>
      </w:r>
    </w:p>
    <w:p>
      <w:pPr>
        <w:pStyle w:val="FirstParagraph"/>
      </w:pPr>
      <w:r>
        <w:rPr>
          <w:bCs/>
          <w:b/>
        </w:rPr>
        <w:t xml:space="preserve">Log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"CREATE_PREFACTURA"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"pf-2024-001"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e5e1628b6539c458de6f3882608a81550348788"/>
    <w:p>
      <w:pPr>
        <w:pStyle w:val="Heading4"/>
      </w:pPr>
      <w:r>
        <w:t xml:space="preserve">2. Audit Trail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DynamoDB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</w:t>
      </w:r>
      <w:r>
        <w:t xml:space="preserve"> </w:t>
      </w:r>
      <w:r>
        <w:rPr>
          <w:bCs/>
          <w:b/>
        </w:rPr>
        <w:t xml:space="preserve">Retention</w:t>
      </w:r>
      <w:r>
        <w:t xml:space="preserve">: 10 years</w:t>
      </w:r>
      <w:r>
        <w:t xml:space="preserve"> </w:t>
      </w:r>
      <w:r>
        <w:rPr>
          <w:bCs/>
          <w:b/>
        </w:rPr>
        <w:t xml:space="preserve">Contents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User actions (create, update, delete, approve, reject)</w:t>
      </w:r>
    </w:p>
    <w:p>
      <w:pPr>
        <w:numPr>
          <w:ilvl w:val="0"/>
          <w:numId w:val="1002"/>
        </w:numPr>
        <w:pStyle w:val="Compact"/>
      </w:pPr>
      <w:r>
        <w:t xml:space="preserve">Data changes (before/after snapshots)</w:t>
      </w:r>
    </w:p>
    <w:p>
      <w:pPr>
        <w:numPr>
          <w:ilvl w:val="0"/>
          <w:numId w:val="1002"/>
        </w:numPr>
        <w:pStyle w:val="Compact"/>
      </w:pPr>
      <w:r>
        <w:t xml:space="preserve">Access attempts (successful and failed)</w:t>
      </w:r>
    </w:p>
    <w:p>
      <w:pPr>
        <w:numPr>
          <w:ilvl w:val="0"/>
          <w:numId w:val="1002"/>
        </w:numPr>
        <w:pStyle w:val="Compact"/>
      </w:pPr>
      <w:r>
        <w:t xml:space="preserve">Policy evaluations</w:t>
      </w:r>
    </w:p>
    <w:p>
      <w:pPr>
        <w:numPr>
          <w:ilvl w:val="0"/>
          <w:numId w:val="1002"/>
        </w:numPr>
        <w:pStyle w:val="Compact"/>
      </w:pPr>
      <w:r>
        <w:t xml:space="preserve">Document generation events</w:t>
      </w:r>
    </w:p>
    <w:p>
      <w:pPr>
        <w:numPr>
          <w:ilvl w:val="0"/>
          <w:numId w:val="1002"/>
        </w:numPr>
        <w:pStyle w:val="Compact"/>
      </w:pPr>
      <w:r>
        <w:t xml:space="preserve">SharePoint operations</w:t>
      </w:r>
    </w:p>
    <w:p>
      <w:pPr>
        <w:pStyle w:val="FirstParagraph"/>
      </w:pPr>
      <w:r>
        <w:rPr>
          <w:bCs/>
          <w:b/>
        </w:rPr>
        <w:t xml:space="preserve">Audit Record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"log-2024-11-10-12345"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"APPROVE_PREFACTURA"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"prefactura"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"pf-2024-001"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"fin@example.com"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58c938b1cc126fd5aece0713ddf7324d8edebf3"/>
    <w:p>
      <w:pPr>
        <w:pStyle w:val="Heading4"/>
      </w:pPr>
      <w:r>
        <w:t xml:space="preserve">3. CloudWatch Alarms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Real-time monitoring and alerting</w:t>
      </w:r>
      <w:r>
        <w:t xml:space="preserve"> </w:t>
      </w:r>
      <w:r>
        <w:rPr>
          <w:bCs/>
          <w:b/>
        </w:rPr>
        <w:t xml:space="preserve">Metrics Monitored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API error rate &gt; 5%</w:t>
      </w:r>
    </w:p>
    <w:p>
      <w:pPr>
        <w:numPr>
          <w:ilvl w:val="0"/>
          <w:numId w:val="1003"/>
        </w:numPr>
        <w:pStyle w:val="Compact"/>
      </w:pPr>
      <w:r>
        <w:t xml:space="preserve">Lambda execution errors</w:t>
      </w:r>
    </w:p>
    <w:p>
      <w:pPr>
        <w:numPr>
          <w:ilvl w:val="0"/>
          <w:numId w:val="1003"/>
        </w:numPr>
        <w:pStyle w:val="Compact"/>
      </w:pPr>
      <w:r>
        <w:t xml:space="preserve">DynamoDB throttling events</w:t>
      </w:r>
    </w:p>
    <w:p>
      <w:pPr>
        <w:numPr>
          <w:ilvl w:val="0"/>
          <w:numId w:val="1003"/>
        </w:numPr>
        <w:pStyle w:val="Compact"/>
      </w:pPr>
      <w:r>
        <w:t xml:space="preserve">Authentication failures &gt; 10/hour</w:t>
      </w:r>
    </w:p>
    <w:p>
      <w:pPr>
        <w:numPr>
          <w:ilvl w:val="0"/>
          <w:numId w:val="1003"/>
        </w:numPr>
        <w:pStyle w:val="Compact"/>
      </w:pPr>
      <w:r>
        <w:t xml:space="preserve">Unauthorized access attempts</w:t>
      </w:r>
    </w:p>
    <w:p>
      <w:pPr>
        <w:numPr>
          <w:ilvl w:val="0"/>
          <w:numId w:val="1003"/>
        </w:numPr>
        <w:pStyle w:val="Compact"/>
      </w:pPr>
      <w:r>
        <w:t xml:space="preserve">Budget threshold violations</w:t>
      </w:r>
    </w:p>
    <w:p>
      <w:pPr>
        <w:pStyle w:val="FirstParagraph"/>
      </w:pPr>
      <w:r>
        <w:rPr>
          <w:bCs/>
          <w:b/>
        </w:rPr>
        <w:t xml:space="preserve">Alarm Actions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SNS notifications to operations team</w:t>
      </w:r>
    </w:p>
    <w:p>
      <w:pPr>
        <w:numPr>
          <w:ilvl w:val="0"/>
          <w:numId w:val="1004"/>
        </w:numPr>
        <w:pStyle w:val="Compact"/>
      </w:pPr>
      <w:r>
        <w:t xml:space="preserve">Automatic incident ticket creation</w:t>
      </w:r>
    </w:p>
    <w:p>
      <w:pPr>
        <w:numPr>
          <w:ilvl w:val="0"/>
          <w:numId w:val="1004"/>
        </w:numPr>
        <w:pStyle w:val="Compact"/>
      </w:pPr>
      <w:r>
        <w:t xml:space="preserve">PagerDuty escalation (for critical alarms)</w:t>
      </w:r>
    </w:p>
    <w:bookmarkEnd w:id="22"/>
    <w:bookmarkStart w:id="23" w:name="X9a546870fc7c45a8942199e9083627b10e9d43b"/>
    <w:p>
      <w:pPr>
        <w:pStyle w:val="Heading4"/>
      </w:pPr>
      <w:r>
        <w:t xml:space="preserve">4. AWS CloudTrail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AWS service audit trail</w:t>
      </w:r>
      <w:r>
        <w:t xml:space="preserve"> </w:t>
      </w:r>
      <w:r>
        <w:rPr>
          <w:bCs/>
          <w:b/>
        </w:rPr>
        <w:t xml:space="preserve">Retention</w:t>
      </w:r>
      <w:r>
        <w:t xml:space="preserve">: 10 years</w:t>
      </w:r>
      <w:r>
        <w:t xml:space="preserve"> </w:t>
      </w:r>
      <w:r>
        <w:rPr>
          <w:bCs/>
          <w:b/>
        </w:rPr>
        <w:t xml:space="preserve">Contents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IAM role assumptions</w:t>
      </w:r>
    </w:p>
    <w:p>
      <w:pPr>
        <w:numPr>
          <w:ilvl w:val="0"/>
          <w:numId w:val="1005"/>
        </w:numPr>
        <w:pStyle w:val="Compact"/>
      </w:pPr>
      <w:r>
        <w:t xml:space="preserve">S3 bucket operations</w:t>
      </w:r>
    </w:p>
    <w:p>
      <w:pPr>
        <w:numPr>
          <w:ilvl w:val="0"/>
          <w:numId w:val="1005"/>
        </w:numPr>
        <w:pStyle w:val="Compact"/>
      </w:pPr>
      <w:r>
        <w:t xml:space="preserve">DynamoDB table operations</w:t>
      </w:r>
    </w:p>
    <w:p>
      <w:pPr>
        <w:numPr>
          <w:ilvl w:val="0"/>
          <w:numId w:val="1005"/>
        </w:numPr>
        <w:pStyle w:val="Compact"/>
      </w:pPr>
      <w:r>
        <w:t xml:space="preserve">Lambda function invocations</w:t>
      </w:r>
    </w:p>
    <w:p>
      <w:pPr>
        <w:numPr>
          <w:ilvl w:val="0"/>
          <w:numId w:val="1005"/>
        </w:numPr>
        <w:pStyle w:val="Compact"/>
      </w:pPr>
      <w:r>
        <w:t xml:space="preserve">Cognito authentication events</w:t>
      </w:r>
    </w:p>
    <w:p>
      <w:pPr>
        <w:numPr>
          <w:ilvl w:val="0"/>
          <w:numId w:val="1005"/>
        </w:numPr>
        <w:pStyle w:val="Compact"/>
      </w:pPr>
      <w:r>
        <w:t xml:space="preserve">AVP policy evaluations</w:t>
      </w:r>
    </w:p>
    <w:bookmarkEnd w:id="23"/>
    <w:bookmarkStart w:id="24" w:name="Xc3a0b06b9fb244cc3e613d15d743aa1d611a11c"/>
    <w:p>
      <w:pPr>
        <w:pStyle w:val="Heading4"/>
      </w:pPr>
      <w:r>
        <w:t xml:space="preserve">5. Canary Tests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Continuous availability monitoring</w:t>
      </w:r>
      <w:r>
        <w:t xml:space="preserve"> </w:t>
      </w:r>
      <w:r>
        <w:rPr>
          <w:bCs/>
          <w:b/>
        </w:rPr>
        <w:t xml:space="preserve">Frequency</w:t>
      </w:r>
      <w:r>
        <w:t xml:space="preserve">: Every 5 minutes</w:t>
      </w:r>
      <w:r>
        <w:t xml:space="preserve"> </w:t>
      </w:r>
      <w:r>
        <w:rPr>
          <w:bCs/>
          <w:b/>
        </w:rPr>
        <w:t xml:space="preserve">Test Cases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User authentication flow</w:t>
      </w:r>
    </w:p>
    <w:p>
      <w:pPr>
        <w:numPr>
          <w:ilvl w:val="0"/>
          <w:numId w:val="1006"/>
        </w:numPr>
        <w:pStyle w:val="Compact"/>
      </w:pPr>
      <w:r>
        <w:t xml:space="preserve">Pre-factura creation API</w:t>
      </w:r>
    </w:p>
    <w:p>
      <w:pPr>
        <w:numPr>
          <w:ilvl w:val="0"/>
          <w:numId w:val="1006"/>
        </w:numPr>
        <w:pStyle w:val="Compact"/>
      </w:pPr>
      <w:r>
        <w:t xml:space="preserve">Budget query API</w:t>
      </w:r>
    </w:p>
    <w:p>
      <w:pPr>
        <w:numPr>
          <w:ilvl w:val="0"/>
          <w:numId w:val="1006"/>
        </w:numPr>
        <w:pStyle w:val="Compact"/>
      </w:pPr>
      <w:r>
        <w:t xml:space="preserve">PDF generation function</w:t>
      </w:r>
    </w:p>
    <w:p>
      <w:pPr>
        <w:numPr>
          <w:ilvl w:val="0"/>
          <w:numId w:val="1006"/>
        </w:numPr>
        <w:pStyle w:val="Compact"/>
      </w:pPr>
      <w:r>
        <w:t xml:space="preserve">SharePoint connectivity</w:t>
      </w:r>
    </w:p>
    <w:p>
      <w:pPr>
        <w:numPr>
          <w:ilvl w:val="0"/>
          <w:numId w:val="1006"/>
        </w:numPr>
        <w:pStyle w:val="Compact"/>
      </w:pPr>
      <w:r>
        <w:t xml:space="preserve">Database read/write operations</w:t>
      </w:r>
    </w:p>
    <w:p>
      <w:pPr>
        <w:pStyle w:val="FirstParagraph"/>
      </w:pPr>
      <w:r>
        <w:rPr>
          <w:bCs/>
          <w:b/>
        </w:rPr>
        <w:t xml:space="preserve">Canary Metrics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Success rate</w:t>
      </w:r>
    </w:p>
    <w:p>
      <w:pPr>
        <w:numPr>
          <w:ilvl w:val="0"/>
          <w:numId w:val="1007"/>
        </w:numPr>
        <w:pStyle w:val="Compact"/>
      </w:pPr>
      <w:r>
        <w:t xml:space="preserve">Response time (p50, p95, p99)</w:t>
      </w:r>
    </w:p>
    <w:p>
      <w:pPr>
        <w:numPr>
          <w:ilvl w:val="0"/>
          <w:numId w:val="1007"/>
        </w:numPr>
        <w:pStyle w:val="Compact"/>
      </w:pPr>
      <w:r>
        <w:t xml:space="preserve">Error rate</w:t>
      </w:r>
    </w:p>
    <w:p>
      <w:pPr>
        <w:numPr>
          <w:ilvl w:val="0"/>
          <w:numId w:val="1007"/>
        </w:numPr>
        <w:pStyle w:val="Compact"/>
      </w:pPr>
      <w:r>
        <w:t xml:space="preserve">Availability percentage</w:t>
      </w:r>
    </w:p>
    <w:bookmarkEnd w:id="24"/>
    <w:bookmarkEnd w:id="25"/>
    <w:bookmarkStart w:id="29" w:name="control-framework"/>
    <w:p>
      <w:pPr>
        <w:pStyle w:val="Heading3"/>
      </w:pPr>
      <w:r>
        <w:t xml:space="preserve">Control Framework</w:t>
      </w:r>
    </w:p>
    <w:bookmarkStart w:id="26" w:name="preventive-controls"/>
    <w:p>
      <w:pPr>
        <w:pStyle w:val="Heading4"/>
      </w:pPr>
      <w:r>
        <w:t xml:space="preserve">Preventive Controls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Authentication</w:t>
      </w:r>
    </w:p>
    <w:p>
      <w:pPr>
        <w:numPr>
          <w:ilvl w:val="1"/>
          <w:numId w:val="1009"/>
        </w:numPr>
        <w:pStyle w:val="Compact"/>
      </w:pPr>
      <w:r>
        <w:t xml:space="preserve">Multi-factor authentication (MFA) required for all users</w:t>
      </w:r>
    </w:p>
    <w:p>
      <w:pPr>
        <w:numPr>
          <w:ilvl w:val="1"/>
          <w:numId w:val="1009"/>
        </w:numPr>
        <w:pStyle w:val="Compact"/>
      </w:pPr>
      <w:r>
        <w:t xml:space="preserve">Password complexity requirements</w:t>
      </w:r>
    </w:p>
    <w:p>
      <w:pPr>
        <w:numPr>
          <w:ilvl w:val="1"/>
          <w:numId w:val="1009"/>
        </w:numPr>
        <w:pStyle w:val="Compact"/>
      </w:pPr>
      <w:r>
        <w:t xml:space="preserve">Account lockout after 5 failed attempts</w:t>
      </w:r>
    </w:p>
    <w:p>
      <w:pPr>
        <w:numPr>
          <w:ilvl w:val="1"/>
          <w:numId w:val="1009"/>
        </w:numPr>
        <w:pStyle w:val="Compact"/>
      </w:pPr>
      <w:r>
        <w:t xml:space="preserve">Session timeout after 30 minutes of inactivity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Authorization</w:t>
      </w:r>
    </w:p>
    <w:p>
      <w:pPr>
        <w:numPr>
          <w:ilvl w:val="1"/>
          <w:numId w:val="1010"/>
        </w:numPr>
        <w:pStyle w:val="Compact"/>
      </w:pPr>
      <w:r>
        <w:t xml:space="preserve">Role-based access control (RBAC) via AVP</w:t>
      </w:r>
    </w:p>
    <w:p>
      <w:pPr>
        <w:numPr>
          <w:ilvl w:val="1"/>
          <w:numId w:val="1010"/>
        </w:numPr>
        <w:pStyle w:val="Compact"/>
      </w:pPr>
      <w:r>
        <w:t xml:space="preserve">Attribute-based access control (ABAC) for fine-grained permissions</w:t>
      </w:r>
    </w:p>
    <w:p>
      <w:pPr>
        <w:numPr>
          <w:ilvl w:val="1"/>
          <w:numId w:val="1010"/>
        </w:numPr>
        <w:pStyle w:val="Compact"/>
      </w:pPr>
      <w:r>
        <w:t xml:space="preserve">Segregation of duties enforcement</w:t>
      </w:r>
    </w:p>
    <w:p>
      <w:pPr>
        <w:numPr>
          <w:ilvl w:val="1"/>
          <w:numId w:val="1010"/>
        </w:numPr>
        <w:pStyle w:val="Compact"/>
      </w:pPr>
      <w:r>
        <w:t xml:space="preserve">Least privilege principle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Input Validation</w:t>
      </w:r>
    </w:p>
    <w:p>
      <w:pPr>
        <w:numPr>
          <w:ilvl w:val="1"/>
          <w:numId w:val="1011"/>
        </w:numPr>
        <w:pStyle w:val="Compact"/>
      </w:pPr>
      <w:r>
        <w:t xml:space="preserve">Server-side validation for all inputs</w:t>
      </w:r>
    </w:p>
    <w:p>
      <w:pPr>
        <w:numPr>
          <w:ilvl w:val="1"/>
          <w:numId w:val="1011"/>
        </w:numPr>
        <w:pStyle w:val="Compact"/>
      </w:pPr>
      <w:r>
        <w:t xml:space="preserve">SQL injection prevention</w:t>
      </w:r>
    </w:p>
    <w:p>
      <w:pPr>
        <w:numPr>
          <w:ilvl w:val="1"/>
          <w:numId w:val="1011"/>
        </w:numPr>
        <w:pStyle w:val="Compact"/>
      </w:pPr>
      <w:r>
        <w:t xml:space="preserve">XSS attack prevention</w:t>
      </w:r>
    </w:p>
    <w:p>
      <w:pPr>
        <w:numPr>
          <w:ilvl w:val="1"/>
          <w:numId w:val="1011"/>
        </w:numPr>
        <w:pStyle w:val="Compact"/>
      </w:pPr>
      <w:r>
        <w:t xml:space="preserve">File upload restrictions (type, size)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Budget Controls</w:t>
      </w:r>
    </w:p>
    <w:p>
      <w:pPr>
        <w:numPr>
          <w:ilvl w:val="1"/>
          <w:numId w:val="1012"/>
        </w:numPr>
        <w:pStyle w:val="Compact"/>
      </w:pPr>
      <w:r>
        <w:t xml:space="preserve">Pre-factura amount cannot exceed remaining budget</w:t>
      </w:r>
    </w:p>
    <w:p>
      <w:pPr>
        <w:numPr>
          <w:ilvl w:val="1"/>
          <w:numId w:val="1012"/>
        </w:numPr>
        <w:pStyle w:val="Compact"/>
      </w:pPr>
      <w:r>
        <w:t xml:space="preserve">Budget adjustments require approval</w:t>
      </w:r>
    </w:p>
    <w:p>
      <w:pPr>
        <w:numPr>
          <w:ilvl w:val="1"/>
          <w:numId w:val="1012"/>
        </w:numPr>
        <w:pStyle w:val="Compact"/>
      </w:pPr>
      <w:r>
        <w:t xml:space="preserve">Alert when budget utilization &gt; 80%</w:t>
      </w:r>
    </w:p>
    <w:p>
      <w:pPr>
        <w:numPr>
          <w:ilvl w:val="1"/>
          <w:numId w:val="1012"/>
        </w:numPr>
        <w:pStyle w:val="Compact"/>
      </w:pPr>
      <w:r>
        <w:t xml:space="preserve">Automatic rejection when budget exceeded</w:t>
      </w:r>
    </w:p>
    <w:bookmarkEnd w:id="26"/>
    <w:bookmarkStart w:id="27" w:name="detective-controls"/>
    <w:p>
      <w:pPr>
        <w:pStyle w:val="Heading4"/>
      </w:pPr>
      <w:r>
        <w:t xml:space="preserve">Detective Controls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Monitoring</w:t>
      </w:r>
    </w:p>
    <w:p>
      <w:pPr>
        <w:numPr>
          <w:ilvl w:val="1"/>
          <w:numId w:val="1014"/>
        </w:numPr>
        <w:pStyle w:val="Compact"/>
      </w:pPr>
      <w:r>
        <w:t xml:space="preserve">Real-time CloudWatch dashboards</w:t>
      </w:r>
    </w:p>
    <w:p>
      <w:pPr>
        <w:numPr>
          <w:ilvl w:val="1"/>
          <w:numId w:val="1014"/>
        </w:numPr>
        <w:pStyle w:val="Compact"/>
      </w:pPr>
      <w:r>
        <w:t xml:space="preserve">Anomaly detection for unusual patterns</w:t>
      </w:r>
    </w:p>
    <w:p>
      <w:pPr>
        <w:numPr>
          <w:ilvl w:val="1"/>
          <w:numId w:val="1014"/>
        </w:numPr>
        <w:pStyle w:val="Compact"/>
      </w:pPr>
      <w:r>
        <w:t xml:space="preserve">Failed login attempt tracking</w:t>
      </w:r>
    </w:p>
    <w:p>
      <w:pPr>
        <w:numPr>
          <w:ilvl w:val="1"/>
          <w:numId w:val="1014"/>
        </w:numPr>
        <w:pStyle w:val="Compact"/>
      </w:pPr>
      <w:r>
        <w:t xml:space="preserve">Budget variance monitoring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Audit Logging</w:t>
      </w:r>
    </w:p>
    <w:p>
      <w:pPr>
        <w:numPr>
          <w:ilvl w:val="1"/>
          <w:numId w:val="1015"/>
        </w:numPr>
        <w:pStyle w:val="Compact"/>
      </w:pPr>
      <w:r>
        <w:t xml:space="preserve">All user actions logged</w:t>
      </w:r>
    </w:p>
    <w:p>
      <w:pPr>
        <w:numPr>
          <w:ilvl w:val="1"/>
          <w:numId w:val="1015"/>
        </w:numPr>
        <w:pStyle w:val="Compact"/>
      </w:pPr>
      <w:r>
        <w:t xml:space="preserve">All data changes logged with before/after snapshots</w:t>
      </w:r>
    </w:p>
    <w:p>
      <w:pPr>
        <w:numPr>
          <w:ilvl w:val="1"/>
          <w:numId w:val="1015"/>
        </w:numPr>
        <w:pStyle w:val="Compact"/>
      </w:pPr>
      <w:r>
        <w:t xml:space="preserve">All access attempts logged</w:t>
      </w:r>
    </w:p>
    <w:p>
      <w:pPr>
        <w:numPr>
          <w:ilvl w:val="1"/>
          <w:numId w:val="1015"/>
        </w:numPr>
        <w:pStyle w:val="Compact"/>
      </w:pPr>
      <w:r>
        <w:t xml:space="preserve">Log integrity verification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Alerts</w:t>
      </w:r>
    </w:p>
    <w:p>
      <w:pPr>
        <w:numPr>
          <w:ilvl w:val="1"/>
          <w:numId w:val="1016"/>
        </w:numPr>
        <w:pStyle w:val="Compact"/>
      </w:pPr>
      <w:r>
        <w:t xml:space="preserve">Budget threshold alerts</w:t>
      </w:r>
    </w:p>
    <w:p>
      <w:pPr>
        <w:numPr>
          <w:ilvl w:val="1"/>
          <w:numId w:val="1016"/>
        </w:numPr>
        <w:pStyle w:val="Compact"/>
      </w:pPr>
      <w:r>
        <w:t xml:space="preserve">Security event alerts</w:t>
      </w:r>
    </w:p>
    <w:p>
      <w:pPr>
        <w:numPr>
          <w:ilvl w:val="1"/>
          <w:numId w:val="1016"/>
        </w:numPr>
        <w:pStyle w:val="Compact"/>
      </w:pPr>
      <w:r>
        <w:t xml:space="preserve">Performance degradation alerts</w:t>
      </w:r>
    </w:p>
    <w:p>
      <w:pPr>
        <w:numPr>
          <w:ilvl w:val="1"/>
          <w:numId w:val="1016"/>
        </w:numPr>
        <w:pStyle w:val="Compact"/>
      </w:pPr>
      <w:r>
        <w:t xml:space="preserve">Failed operation alerts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Reporting</w:t>
      </w:r>
    </w:p>
    <w:p>
      <w:pPr>
        <w:numPr>
          <w:ilvl w:val="1"/>
          <w:numId w:val="1017"/>
        </w:numPr>
        <w:pStyle w:val="Compact"/>
      </w:pPr>
      <w:r>
        <w:t xml:space="preserve">Daily operations summary</w:t>
      </w:r>
    </w:p>
    <w:p>
      <w:pPr>
        <w:numPr>
          <w:ilvl w:val="1"/>
          <w:numId w:val="1017"/>
        </w:numPr>
        <w:pStyle w:val="Compact"/>
      </w:pPr>
      <w:r>
        <w:t xml:space="preserve">Weekly security report</w:t>
      </w:r>
    </w:p>
    <w:p>
      <w:pPr>
        <w:numPr>
          <w:ilvl w:val="1"/>
          <w:numId w:val="1017"/>
        </w:numPr>
        <w:pStyle w:val="Compact"/>
      </w:pPr>
      <w:r>
        <w:t xml:space="preserve">Monthly compliance report</w:t>
      </w:r>
    </w:p>
    <w:p>
      <w:pPr>
        <w:numPr>
          <w:ilvl w:val="1"/>
          <w:numId w:val="1017"/>
        </w:numPr>
        <w:pStyle w:val="Compact"/>
      </w:pPr>
      <w:r>
        <w:t xml:space="preserve">Quarterly audit report</w:t>
      </w:r>
    </w:p>
    <w:bookmarkEnd w:id="27"/>
    <w:bookmarkStart w:id="28" w:name="corrective-controls"/>
    <w:p>
      <w:pPr>
        <w:pStyle w:val="Heading4"/>
      </w:pPr>
      <w:r>
        <w:t xml:space="preserve">Corrective Controls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Incident Response</w:t>
      </w:r>
    </w:p>
    <w:p>
      <w:pPr>
        <w:numPr>
          <w:ilvl w:val="1"/>
          <w:numId w:val="1019"/>
        </w:numPr>
        <w:pStyle w:val="Compact"/>
      </w:pPr>
      <w:r>
        <w:t xml:space="preserve">Documented incident response procedures</w:t>
      </w:r>
    </w:p>
    <w:p>
      <w:pPr>
        <w:numPr>
          <w:ilvl w:val="1"/>
          <w:numId w:val="1019"/>
        </w:numPr>
        <w:pStyle w:val="Compact"/>
      </w:pPr>
      <w:r>
        <w:t xml:space="preserve">Escalation paths defined</w:t>
      </w:r>
    </w:p>
    <w:p>
      <w:pPr>
        <w:numPr>
          <w:ilvl w:val="1"/>
          <w:numId w:val="1019"/>
        </w:numPr>
        <w:pStyle w:val="Compact"/>
      </w:pPr>
      <w:r>
        <w:t xml:space="preserve">Root cause analysis required</w:t>
      </w:r>
    </w:p>
    <w:p>
      <w:pPr>
        <w:numPr>
          <w:ilvl w:val="1"/>
          <w:numId w:val="1019"/>
        </w:numPr>
        <w:pStyle w:val="Compact"/>
      </w:pPr>
      <w:r>
        <w:t xml:space="preserve">Remediation tracking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Backup and Recovery</w:t>
      </w:r>
    </w:p>
    <w:p>
      <w:pPr>
        <w:numPr>
          <w:ilvl w:val="1"/>
          <w:numId w:val="1020"/>
        </w:numPr>
        <w:pStyle w:val="Compact"/>
      </w:pPr>
      <w:r>
        <w:t xml:space="preserve">DynamoDB point-in-time recovery enabled</w:t>
      </w:r>
    </w:p>
    <w:p>
      <w:pPr>
        <w:numPr>
          <w:ilvl w:val="1"/>
          <w:numId w:val="1020"/>
        </w:numPr>
        <w:pStyle w:val="Compact"/>
      </w:pPr>
      <w:r>
        <w:t xml:space="preserve">S3 versioning enabled</w:t>
      </w:r>
    </w:p>
    <w:p>
      <w:pPr>
        <w:numPr>
          <w:ilvl w:val="1"/>
          <w:numId w:val="1020"/>
        </w:numPr>
        <w:pStyle w:val="Compact"/>
      </w:pPr>
      <w:r>
        <w:t xml:space="preserve">Cross-region replication for critical data</w:t>
      </w:r>
    </w:p>
    <w:p>
      <w:pPr>
        <w:numPr>
          <w:ilvl w:val="1"/>
          <w:numId w:val="1020"/>
        </w:numPr>
        <w:pStyle w:val="Compact"/>
      </w:pPr>
      <w:r>
        <w:t xml:space="preserve">Recovery time objective (RTO): 4 hours</w:t>
      </w:r>
    </w:p>
    <w:p>
      <w:pPr>
        <w:numPr>
          <w:ilvl w:val="1"/>
          <w:numId w:val="1020"/>
        </w:numPr>
        <w:pStyle w:val="Compact"/>
      </w:pPr>
      <w:r>
        <w:t xml:space="preserve">Recovery point objective (RPO): 1 hour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Patch Management</w:t>
      </w:r>
    </w:p>
    <w:p>
      <w:pPr>
        <w:numPr>
          <w:ilvl w:val="1"/>
          <w:numId w:val="1021"/>
        </w:numPr>
        <w:pStyle w:val="Compact"/>
      </w:pPr>
      <w:r>
        <w:t xml:space="preserve">Monthly security patching</w:t>
      </w:r>
    </w:p>
    <w:p>
      <w:pPr>
        <w:numPr>
          <w:ilvl w:val="1"/>
          <w:numId w:val="1021"/>
        </w:numPr>
        <w:pStyle w:val="Compact"/>
      </w:pPr>
      <w:r>
        <w:t xml:space="preserve">Critical patches within 48 hours</w:t>
      </w:r>
    </w:p>
    <w:p>
      <w:pPr>
        <w:numPr>
          <w:ilvl w:val="1"/>
          <w:numId w:val="1021"/>
        </w:numPr>
        <w:pStyle w:val="Compact"/>
      </w:pPr>
      <w:r>
        <w:t xml:space="preserve">Testing in non-production first</w:t>
      </w:r>
    </w:p>
    <w:p>
      <w:pPr>
        <w:numPr>
          <w:ilvl w:val="1"/>
          <w:numId w:val="1021"/>
        </w:numPr>
        <w:pStyle w:val="Compact"/>
      </w:pPr>
      <w:r>
        <w:t xml:space="preserve">Rollback procedures documented</w:t>
      </w:r>
    </w:p>
    <w:bookmarkEnd w:id="28"/>
    <w:bookmarkEnd w:id="29"/>
    <w:bookmarkStart w:id="33" w:name="compliance-requirements"/>
    <w:p>
      <w:pPr>
        <w:pStyle w:val="Heading3"/>
      </w:pPr>
      <w:r>
        <w:t xml:space="preserve">Compliance Requirements</w:t>
      </w:r>
    </w:p>
    <w:bookmarkStart w:id="30" w:name="sox-compliance"/>
    <w:p>
      <w:pPr>
        <w:pStyle w:val="Heading4"/>
      </w:pPr>
      <w:r>
        <w:t xml:space="preserve">SOX Compliance</w:t>
      </w:r>
    </w:p>
    <w:p>
      <w:pPr>
        <w:numPr>
          <w:ilvl w:val="0"/>
          <w:numId w:val="1022"/>
        </w:numPr>
        <w:pStyle w:val="Compact"/>
      </w:pPr>
      <w:r>
        <w:t xml:space="preserve">Segregation of duties enforced</w:t>
      </w:r>
    </w:p>
    <w:p>
      <w:pPr>
        <w:numPr>
          <w:ilvl w:val="0"/>
          <w:numId w:val="1022"/>
        </w:numPr>
        <w:pStyle w:val="Compact"/>
      </w:pPr>
      <w:r>
        <w:t xml:space="preserve">Financial data integrity controls</w:t>
      </w:r>
    </w:p>
    <w:p>
      <w:pPr>
        <w:numPr>
          <w:ilvl w:val="0"/>
          <w:numId w:val="1022"/>
        </w:numPr>
        <w:pStyle w:val="Compact"/>
      </w:pPr>
      <w:r>
        <w:t xml:space="preserve">Audit trail completeness</w:t>
      </w:r>
    </w:p>
    <w:p>
      <w:pPr>
        <w:numPr>
          <w:ilvl w:val="0"/>
          <w:numId w:val="1022"/>
        </w:numPr>
        <w:pStyle w:val="Compact"/>
      </w:pPr>
      <w:r>
        <w:t xml:space="preserve">Evidence retention (7 years minimum)</w:t>
      </w:r>
    </w:p>
    <w:bookmarkEnd w:id="30"/>
    <w:bookmarkStart w:id="31" w:name="gdpr-compliance-if-applicable"/>
    <w:p>
      <w:pPr>
        <w:pStyle w:val="Heading4"/>
      </w:pPr>
      <w:r>
        <w:t xml:space="preserve">GDPR Compliance (if applicable)</w:t>
      </w:r>
    </w:p>
    <w:p>
      <w:pPr>
        <w:numPr>
          <w:ilvl w:val="0"/>
          <w:numId w:val="1023"/>
        </w:numPr>
        <w:pStyle w:val="Compact"/>
      </w:pPr>
      <w:r>
        <w:t xml:space="preserve">Right to access data</w:t>
      </w:r>
    </w:p>
    <w:p>
      <w:pPr>
        <w:numPr>
          <w:ilvl w:val="0"/>
          <w:numId w:val="1023"/>
        </w:numPr>
        <w:pStyle w:val="Compact"/>
      </w:pPr>
      <w:r>
        <w:t xml:space="preserve">Right to delete data</w:t>
      </w:r>
    </w:p>
    <w:p>
      <w:pPr>
        <w:numPr>
          <w:ilvl w:val="0"/>
          <w:numId w:val="1023"/>
        </w:numPr>
        <w:pStyle w:val="Compact"/>
      </w:pPr>
      <w:r>
        <w:t xml:space="preserve">Data encryption at rest and in transit</w:t>
      </w:r>
    </w:p>
    <w:p>
      <w:pPr>
        <w:numPr>
          <w:ilvl w:val="0"/>
          <w:numId w:val="1023"/>
        </w:numPr>
        <w:pStyle w:val="Compact"/>
      </w:pPr>
      <w:r>
        <w:t xml:space="preserve">Privacy impact assessments</w:t>
      </w:r>
    </w:p>
    <w:bookmarkEnd w:id="31"/>
    <w:bookmarkStart w:id="32" w:name="internal-audit-requirements"/>
    <w:p>
      <w:pPr>
        <w:pStyle w:val="Heading4"/>
      </w:pPr>
      <w:r>
        <w:t xml:space="preserve">Internal Audit Requirements</w:t>
      </w:r>
    </w:p>
    <w:p>
      <w:pPr>
        <w:numPr>
          <w:ilvl w:val="0"/>
          <w:numId w:val="1024"/>
        </w:numPr>
        <w:pStyle w:val="Compact"/>
      </w:pPr>
      <w:r>
        <w:t xml:space="preserve">Quarterly access reviews</w:t>
      </w:r>
    </w:p>
    <w:p>
      <w:pPr>
        <w:numPr>
          <w:ilvl w:val="0"/>
          <w:numId w:val="1024"/>
        </w:numPr>
        <w:pStyle w:val="Compact"/>
      </w:pPr>
      <w:r>
        <w:t xml:space="preserve">Annual security assessments</w:t>
      </w:r>
    </w:p>
    <w:p>
      <w:pPr>
        <w:numPr>
          <w:ilvl w:val="0"/>
          <w:numId w:val="1024"/>
        </w:numPr>
        <w:pStyle w:val="Compact"/>
      </w:pPr>
      <w:r>
        <w:t xml:space="preserve">Penetration testing (annual)</w:t>
      </w:r>
    </w:p>
    <w:p>
      <w:pPr>
        <w:numPr>
          <w:ilvl w:val="0"/>
          <w:numId w:val="1024"/>
        </w:numPr>
        <w:pStyle w:val="Compact"/>
      </w:pPr>
      <w:r>
        <w:t xml:space="preserve">Disaster recovery testing (biannual)</w:t>
      </w:r>
    </w:p>
    <w:bookmarkEnd w:id="32"/>
    <w:bookmarkEnd w:id="33"/>
    <w:bookmarkStart w:id="34" w:name="key-performance-indicators-kpis"/>
    <w:p>
      <w:pPr>
        <w:pStyle w:val="Heading3"/>
      </w:pPr>
      <w:r>
        <w:t xml:space="preserve">Key Performance Indicators (KPIs)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Security KPIs</w:t>
      </w:r>
    </w:p>
    <w:p>
      <w:pPr>
        <w:numPr>
          <w:ilvl w:val="1"/>
          <w:numId w:val="1026"/>
        </w:numPr>
        <w:pStyle w:val="Compact"/>
      </w:pPr>
      <w:r>
        <w:t xml:space="preserve">Authentication success rate: &gt; 99.9%</w:t>
      </w:r>
    </w:p>
    <w:p>
      <w:pPr>
        <w:numPr>
          <w:ilvl w:val="1"/>
          <w:numId w:val="1026"/>
        </w:numPr>
        <w:pStyle w:val="Compact"/>
      </w:pPr>
      <w:r>
        <w:t xml:space="preserve">Unauthorized access attempts: 0</w:t>
      </w:r>
    </w:p>
    <w:p>
      <w:pPr>
        <w:numPr>
          <w:ilvl w:val="1"/>
          <w:numId w:val="1026"/>
        </w:numPr>
        <w:pStyle w:val="Compact"/>
      </w:pPr>
      <w:r>
        <w:t xml:space="preserve">Security incidents: 0</w:t>
      </w:r>
    </w:p>
    <w:p>
      <w:pPr>
        <w:numPr>
          <w:ilvl w:val="1"/>
          <w:numId w:val="1026"/>
        </w:numPr>
        <w:pStyle w:val="Compact"/>
      </w:pPr>
      <w:r>
        <w:t xml:space="preserve">MFA adoption rate: 100%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Operational KPIs</w:t>
      </w:r>
    </w:p>
    <w:p>
      <w:pPr>
        <w:numPr>
          <w:ilvl w:val="1"/>
          <w:numId w:val="1027"/>
        </w:numPr>
        <w:pStyle w:val="Compact"/>
      </w:pPr>
      <w:r>
        <w:t xml:space="preserve">System availability: &gt; 99.5%</w:t>
      </w:r>
    </w:p>
    <w:p>
      <w:pPr>
        <w:numPr>
          <w:ilvl w:val="1"/>
          <w:numId w:val="1027"/>
        </w:numPr>
        <w:pStyle w:val="Compact"/>
      </w:pPr>
      <w:r>
        <w:t xml:space="preserve">API response time (p95): &lt; 500ms</w:t>
      </w:r>
    </w:p>
    <w:p>
      <w:pPr>
        <w:numPr>
          <w:ilvl w:val="1"/>
          <w:numId w:val="1027"/>
        </w:numPr>
        <w:pStyle w:val="Compact"/>
      </w:pPr>
      <w:r>
        <w:t xml:space="preserve">PDF generation time: &lt; 30s</w:t>
      </w:r>
    </w:p>
    <w:p>
      <w:pPr>
        <w:numPr>
          <w:ilvl w:val="1"/>
          <w:numId w:val="1027"/>
        </w:numPr>
        <w:pStyle w:val="Compact"/>
      </w:pPr>
      <w:r>
        <w:t xml:space="preserve">Error rate: &lt; 0.1%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Audit KPIs</w:t>
      </w:r>
    </w:p>
    <w:p>
      <w:pPr>
        <w:numPr>
          <w:ilvl w:val="1"/>
          <w:numId w:val="1028"/>
        </w:numPr>
        <w:pStyle w:val="Compact"/>
      </w:pPr>
      <w:r>
        <w:t xml:space="preserve">Audit log completeness: 100%</w:t>
      </w:r>
    </w:p>
    <w:p>
      <w:pPr>
        <w:numPr>
          <w:ilvl w:val="1"/>
          <w:numId w:val="1028"/>
        </w:numPr>
        <w:pStyle w:val="Compact"/>
      </w:pPr>
      <w:r>
        <w:t xml:space="preserve">Finding remediation time: &lt; 30 days</w:t>
      </w:r>
    </w:p>
    <w:p>
      <w:pPr>
        <w:numPr>
          <w:ilvl w:val="1"/>
          <w:numId w:val="1028"/>
        </w:numPr>
        <w:pStyle w:val="Compact"/>
      </w:pPr>
      <w:r>
        <w:t xml:space="preserve">Compliance score: &gt; 95%</w:t>
      </w:r>
    </w:p>
    <w:p>
      <w:pPr>
        <w:numPr>
          <w:ilvl w:val="1"/>
          <w:numId w:val="1028"/>
        </w:numPr>
        <w:pStyle w:val="Compact"/>
      </w:pPr>
      <w:r>
        <w:t xml:space="preserve">Evidence pack completeness: 100%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es-marco-de-auditoría-y-control"/>
    <w:p>
      <w:pPr>
        <w:pStyle w:val="Heading2"/>
      </w:pPr>
      <w:r>
        <w:t xml:space="preserve">ES: Marco de Auditoría y Control</w:t>
      </w:r>
    </w:p>
    <w:bookmarkStart w:id="36" w:name="componentes-del-paquete-de-evidencia"/>
    <w:p>
      <w:pPr>
        <w:pStyle w:val="Heading3"/>
      </w:pPr>
      <w:r>
        <w:t xml:space="preserve">Componentes del Paquete de Evidencia</w:t>
      </w:r>
    </w:p>
    <w:p>
      <w:pPr>
        <w:pStyle w:val="FirstParagraph"/>
      </w:pPr>
      <w:r>
        <w:t xml:space="preserve">El sistema Finanzas SD mantiene registros de auditoría exhaustivos y paquetes de evidencia para cumplimiento y análisis forense.</w:t>
      </w:r>
    </w:p>
    <w:p>
      <w:pPr>
        <w:pStyle w:val="BodyText"/>
      </w:pPr>
      <w:r>
        <w:t xml:space="preserve">[Traducción de todas las secciones de controles y auditoría]</w:t>
      </w:r>
    </w:p>
    <w:bookmarkEnd w:id="36"/>
    <w:bookmarkStart w:id="40" w:name="marco-de-control"/>
    <w:p>
      <w:pPr>
        <w:pStyle w:val="Heading3"/>
      </w:pPr>
      <w:r>
        <w:t xml:space="preserve">Marco de Control</w:t>
      </w:r>
    </w:p>
    <w:bookmarkStart w:id="37" w:name="controles-preventivos"/>
    <w:p>
      <w:pPr>
        <w:pStyle w:val="Heading4"/>
      </w:pPr>
      <w:r>
        <w:t xml:space="preserve">Controles Preventivos</w:t>
      </w:r>
    </w:p>
    <w:p>
      <w:pPr>
        <w:pStyle w:val="FirstParagraph"/>
      </w:pPr>
      <w:r>
        <w:t xml:space="preserve">[Traducción de controles preventivos]</w:t>
      </w:r>
    </w:p>
    <w:bookmarkEnd w:id="37"/>
    <w:bookmarkStart w:id="38" w:name="controles-detectivos"/>
    <w:p>
      <w:pPr>
        <w:pStyle w:val="Heading4"/>
      </w:pPr>
      <w:r>
        <w:t xml:space="preserve">Controles Detectivos</w:t>
      </w:r>
    </w:p>
    <w:p>
      <w:pPr>
        <w:pStyle w:val="FirstParagraph"/>
      </w:pPr>
      <w:r>
        <w:t xml:space="preserve">[Traducción de controles detectivos]</w:t>
      </w:r>
    </w:p>
    <w:bookmarkEnd w:id="38"/>
    <w:bookmarkStart w:id="39" w:name="controles-correctivos"/>
    <w:p>
      <w:pPr>
        <w:pStyle w:val="Heading4"/>
      </w:pPr>
      <w:r>
        <w:t xml:space="preserve">Controles Correctivos</w:t>
      </w:r>
    </w:p>
    <w:p>
      <w:pPr>
        <w:pStyle w:val="FirstParagraph"/>
      </w:pPr>
      <w:r>
        <w:t xml:space="preserve">[Traducción de controles correctivos]</w:t>
      </w:r>
    </w:p>
    <w:bookmarkEnd w:id="39"/>
    <w:bookmarkEnd w:id="40"/>
    <w:bookmarkStart w:id="43" w:name="requisitos-de-cumplimiento"/>
    <w:p>
      <w:pPr>
        <w:pStyle w:val="Heading3"/>
      </w:pPr>
      <w:r>
        <w:t xml:space="preserve">Requisitos de Cumplimiento</w:t>
      </w:r>
    </w:p>
    <w:bookmarkStart w:id="41" w:name="cumplimiento-sox"/>
    <w:p>
      <w:pPr>
        <w:pStyle w:val="Heading4"/>
      </w:pPr>
      <w:r>
        <w:t xml:space="preserve">Cumplimiento SOX</w:t>
      </w:r>
    </w:p>
    <w:p>
      <w:pPr>
        <w:pStyle w:val="FirstParagraph"/>
      </w:pPr>
      <w:r>
        <w:t xml:space="preserve">[Traducción de requisitos]</w:t>
      </w:r>
    </w:p>
    <w:bookmarkEnd w:id="41"/>
    <w:bookmarkStart w:id="42" w:name="indicadores-clave-de-rendimiento-kpi"/>
    <w:p>
      <w:pPr>
        <w:pStyle w:val="Heading4"/>
      </w:pPr>
      <w:r>
        <w:t xml:space="preserve">Indicadores Clave de Rendimiento (KPI)</w:t>
      </w:r>
    </w:p>
    <w:p>
      <w:pPr>
        <w:pStyle w:val="FirstParagraph"/>
      </w:pPr>
      <w:r>
        <w:t xml:space="preserve">[Traducción de KPIs]</w:t>
      </w:r>
    </w:p>
    <w:bookmarkEnd w:id="42"/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2025-11-10T07:06:05Z</dcterms:created>
  <dcterms:modified xsi:type="dcterms:W3CDTF">2025-11-10T07:06:05Z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