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SD – Security &amp; compliance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December 17, 2025</w:t>
      </w:r>
    </w:p>
    <w:bookmarkStart w:id="24" w:name="finanzas-sd-security-compliance"/>
    <w:p>
      <w:pPr>
        <w:pStyle w:val="Heading1"/>
      </w:pPr>
      <w:r>
        <w:t xml:space="preserve">Finanzas SD – Security &amp; compliance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2025-12-06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Audit, Security, PMO, SDMT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Security controls and compliance guidelines</w:t>
      </w:r>
    </w:p>
    <w:p>
      <w:pPr>
        <w:pStyle w:val="BodyText"/>
      </w:pPr>
      <w:r>
        <w:t xml:space="preserve">Executive perspective: security leans on Cognito, scoped IAM roles, and auditable storage so every approval, upload, and reconciliation is provable. / Perspectiva ejecutiva: la seguridad se apoya en Cognito, roles IAM acotados y almacenamiento auditable para que cada aprobación, carga y conciliación sea comprobable.</w:t>
      </w:r>
    </w:p>
    <w:bookmarkStart w:id="20" w:name="access-control"/>
    <w:p>
      <w:pPr>
        <w:pStyle w:val="Heading2"/>
      </w:pPr>
      <w:r>
        <w:t xml:space="preserve">Access control</w:t>
      </w:r>
    </w:p>
    <w:p>
      <w:pPr>
        <w:numPr>
          <w:ilvl w:val="0"/>
          <w:numId w:val="1001"/>
        </w:numPr>
        <w:pStyle w:val="Compact"/>
      </w:pPr>
      <w:r>
        <w:t xml:space="preserve">Autenticación: Cognito Hosted UI + JWT; API Gateway authorizer verifica firma y grupos (</w:t>
      </w:r>
      <w:r>
        <w:rPr>
          <w:rStyle w:val="VerbatimChar"/>
        </w:rPr>
        <w:t xml:space="preserve">PMO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,</w:t>
      </w:r>
      <w:r>
        <w:t xml:space="preserve"> </w:t>
      </w:r>
      <w:r>
        <w:rPr>
          <w:rStyle w:val="VerbatimChar"/>
        </w:rPr>
        <w:t xml:space="preserve">SDMT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EXEC_RO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Autorización por dominio: handlers validan grupo requerido; rechazan llamadas sin rol o sin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asociado.</w:t>
      </w:r>
    </w:p>
    <w:p>
      <w:pPr>
        <w:numPr>
          <w:ilvl w:val="0"/>
          <w:numId w:val="1001"/>
        </w:numPr>
        <w:pStyle w:val="Compact"/>
      </w:pPr>
      <w:r>
        <w:t xml:space="preserve">Principle of least privilege: sin llaves estáticas; despliegues usan roles OIDC de GitHub.</w:t>
      </w:r>
    </w:p>
    <w:bookmarkEnd w:id="20"/>
    <w:bookmarkStart w:id="21" w:name="data-protection"/>
    <w:p>
      <w:pPr>
        <w:pStyle w:val="Heading2"/>
      </w:pPr>
      <w:r>
        <w:t xml:space="preserve">Data protection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Storage</w:t>
      </w:r>
      <w:r>
        <w:t xml:space="preserve">: DynamoDB cifrado por defecto; S3 con claves segregadas por proyecto y sin objetos públicos.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Transit</w:t>
      </w:r>
      <w:r>
        <w:t xml:space="preserve">: HTTPS obligatorio en UI y API base</w:t>
      </w:r>
      <w:r>
        <w:t xml:space="preserve"> </w:t>
      </w:r>
      <w:r>
        <w:rPr>
          <w:rStyle w:val="VerbatimChar"/>
        </w:rPr>
        <w:t xml:space="preserve">https://pyorjw6lbe.execute-api.us-east-2.amazonaws.com/dev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Retention</w:t>
      </w:r>
      <w:r>
        <w:t xml:space="preserve">: evidencias versionadas; cambios de baseline y facturas incluyen trazabilidad (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).</w:t>
      </w:r>
    </w:p>
    <w:bookmarkEnd w:id="21"/>
    <w:bookmarkStart w:id="22" w:name="operational-controls"/>
    <w:p>
      <w:pPr>
        <w:pStyle w:val="Heading2"/>
      </w:pPr>
      <w:r>
        <w:t xml:space="preserve">Operational controls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Health</w:t>
      </w:r>
      <w:r>
        <w:t xml:space="preserve">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revisa dependencias críticas antes de releases.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Logging</w:t>
      </w:r>
      <w:r>
        <w:t xml:space="preserve">: CloudWatch con contexto (endpoint, projectId, operación). No incluir PII innecesaria ni tokens.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Alerts</w:t>
      </w:r>
      <w:r>
        <w:t xml:space="preserve">: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 </w:t>
      </w:r>
      <w:r>
        <w:t xml:space="preserve">expone desviaciones y aprobaciones; utilice para revisión PMO/Auditoría.</w:t>
      </w:r>
    </w:p>
    <w:bookmarkEnd w:id="22"/>
    <w:bookmarkStart w:id="23" w:name="compliance-guidance"/>
    <w:p>
      <w:pPr>
        <w:pStyle w:val="Heading2"/>
      </w:pPr>
      <w:r>
        <w:t xml:space="preserve">Compliance guidance</w:t>
      </w:r>
    </w:p>
    <w:p>
      <w:pPr>
        <w:numPr>
          <w:ilvl w:val="0"/>
          <w:numId w:val="1004"/>
        </w:numPr>
        <w:pStyle w:val="Compact"/>
      </w:pPr>
      <w:r>
        <w:t xml:space="preserve">Separar ambientes (dev/stg/prod) y no mezclar artefactos de Acta/Prefactura.</w:t>
      </w:r>
    </w:p>
    <w:p>
      <w:pPr>
        <w:numPr>
          <w:ilvl w:val="0"/>
          <w:numId w:val="1004"/>
        </w:numPr>
        <w:pStyle w:val="Compact"/>
      </w:pPr>
      <w:r>
        <w:t xml:space="preserve">Evidencias deben guardarse con metadatos mínimos: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lineItemId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invoiceId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Revisar RACI en</w:t>
      </w:r>
      <w:r>
        <w:t xml:space="preserve"> </w:t>
      </w:r>
      <w:r>
        <w:rPr>
          <w:rStyle w:val="VerbatimChar"/>
        </w:rPr>
        <w:t xml:space="preserve">pmo-handbook.md</w:t>
      </w:r>
      <w:r>
        <w:t xml:space="preserve"> </w:t>
      </w:r>
      <w:r>
        <w:t xml:space="preserve">para responsabilidades de aprobación.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SD – Security &amp; compliance</dc:title>
  <dc:creator>Ikusi</dc:creator>
  <cp:keywords/>
  <dcterms:created xsi:type="dcterms:W3CDTF">2025-12-17T00:53:52Z</dcterms:created>
  <dcterms:modified xsi:type="dcterms:W3CDTF">2025-12-17T00:53:52Z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17, 2025</vt:lpwstr>
  </property>
</Properties>
</file>