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6FE8A" w14:textId="77777777" w:rsidR="003929F5" w:rsidRPr="008C1EC3" w:rsidRDefault="003929F5" w:rsidP="005F01CC">
      <w:pPr>
        <w:spacing w:after="0" w:line="240" w:lineRule="auto"/>
        <w:rPr>
          <w:rFonts w:asciiTheme="majorHAnsi" w:eastAsiaTheme="majorEastAsia" w:hAnsiTheme="majorHAnsi" w:cstheme="majorBidi"/>
          <w:b/>
          <w:i/>
          <w:iCs/>
          <w:sz w:val="26"/>
        </w:rPr>
      </w:pPr>
      <w:r w:rsidRPr="008C1EC3">
        <w:rPr>
          <w:rFonts w:asciiTheme="majorHAnsi" w:eastAsiaTheme="majorEastAsia" w:hAnsiTheme="majorHAnsi" w:cstheme="majorBidi"/>
          <w:b/>
          <w:i/>
          <w:iCs/>
          <w:sz w:val="26"/>
        </w:rPr>
        <w:t>CVE Definitions for CNA</w:t>
      </w:r>
      <w:r w:rsidR="00C06B4F" w:rsidRPr="008C1EC3">
        <w:rPr>
          <w:rFonts w:asciiTheme="majorHAnsi" w:eastAsiaTheme="majorEastAsia" w:hAnsiTheme="majorHAnsi" w:cstheme="majorBidi"/>
          <w:b/>
          <w:i/>
          <w:iCs/>
          <w:sz w:val="26"/>
        </w:rPr>
        <w:t>s</w:t>
      </w:r>
    </w:p>
    <w:p w14:paraId="303FD58A" w14:textId="77777777" w:rsidR="005F01CC" w:rsidRPr="00D572A6" w:rsidRDefault="005F01CC" w:rsidP="003929F5"/>
    <w:p w14:paraId="1BEFEE12" w14:textId="77777777" w:rsidR="003929F5" w:rsidRPr="00D572A6" w:rsidRDefault="003929F5" w:rsidP="003929F5">
      <w:r w:rsidRPr="00D572A6">
        <w:t>These definitions</w:t>
      </w:r>
      <w:r w:rsidR="004A2EC0" w:rsidRPr="00D572A6">
        <w:t xml:space="preserve"> will</w:t>
      </w:r>
      <w:r w:rsidRPr="00D572A6">
        <w:t xml:space="preserve"> give CNAs an understanding of terms that are used throughout the CVE Program. Whenever anyone within the CVE Program uses these terms in the context of CVE operations, CNAs should interpret the meanings of those terms based on these definitions.</w:t>
      </w:r>
    </w:p>
    <w:p w14:paraId="5E8CE155" w14:textId="77777777" w:rsidR="005F01CC" w:rsidRPr="00D572A6" w:rsidRDefault="005F01CC" w:rsidP="003929F5"/>
    <w:tbl>
      <w:tblPr>
        <w:tblStyle w:val="GridTable6Colorful-Accent3"/>
        <w:tblW w:w="9824" w:type="dxa"/>
        <w:tblLook w:val="04A0" w:firstRow="1" w:lastRow="0" w:firstColumn="1" w:lastColumn="0" w:noHBand="0" w:noVBand="1"/>
      </w:tblPr>
      <w:tblGrid>
        <w:gridCol w:w="2387"/>
        <w:gridCol w:w="6036"/>
        <w:gridCol w:w="1401"/>
      </w:tblGrid>
      <w:tr w:rsidR="00D572A6" w:rsidRPr="00D572A6" w14:paraId="36F5452A" w14:textId="77777777" w:rsidTr="00C6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DAD6DF1" w14:textId="77777777" w:rsidR="00EA317E" w:rsidRPr="008A60F5" w:rsidRDefault="00EA317E" w:rsidP="00DE1C02">
            <w:pPr>
              <w:rPr>
                <w:i/>
                <w:color w:val="auto"/>
              </w:rPr>
            </w:pPr>
            <w:r w:rsidRPr="00DE0F48">
              <w:rPr>
                <w:color w:val="auto"/>
              </w:rPr>
              <w:t>Term</w:t>
            </w:r>
          </w:p>
        </w:tc>
        <w:tc>
          <w:tcPr>
            <w:tcW w:w="6533" w:type="dxa"/>
          </w:tcPr>
          <w:p w14:paraId="615F9E40" w14:textId="77777777" w:rsidR="00EA317E" w:rsidRPr="00236CE7" w:rsidRDefault="00EA317E" w:rsidP="00AA631C">
            <w:pPr>
              <w:cnfStyle w:val="100000000000" w:firstRow="1" w:lastRow="0" w:firstColumn="0" w:lastColumn="0" w:oddVBand="0" w:evenVBand="0" w:oddHBand="0" w:evenHBand="0" w:firstRowFirstColumn="0" w:firstRowLastColumn="0" w:lastRowFirstColumn="0" w:lastRowLastColumn="0"/>
              <w:rPr>
                <w:color w:val="auto"/>
              </w:rPr>
            </w:pPr>
            <w:r w:rsidRPr="00236CE7">
              <w:rPr>
                <w:color w:val="auto"/>
              </w:rPr>
              <w:t>Definition</w:t>
            </w:r>
          </w:p>
        </w:tc>
        <w:tc>
          <w:tcPr>
            <w:tcW w:w="1474" w:type="dxa"/>
          </w:tcPr>
          <w:p w14:paraId="2C46E614" w14:textId="77777777" w:rsidR="00EA317E" w:rsidRPr="00D572A6" w:rsidRDefault="00EA317E" w:rsidP="00AA631C">
            <w:pPr>
              <w:cnfStyle w:val="100000000000" w:firstRow="1" w:lastRow="0" w:firstColumn="0" w:lastColumn="0" w:oddVBand="0" w:evenVBand="0" w:oddHBand="0" w:evenHBand="0" w:firstRowFirstColumn="0" w:firstRowLastColumn="0" w:lastRowFirstColumn="0" w:lastRowLastColumn="0"/>
              <w:rPr>
                <w:color w:val="auto"/>
              </w:rPr>
            </w:pPr>
            <w:r w:rsidRPr="00D572A6">
              <w:rPr>
                <w:color w:val="auto"/>
              </w:rPr>
              <w:t>Synonyms</w:t>
            </w:r>
          </w:p>
        </w:tc>
      </w:tr>
      <w:tr w:rsidR="004172F8" w:rsidRPr="00D572A6" w14:paraId="6C43FE69"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679909B2" w14:textId="1F7908BF" w:rsidR="004172F8" w:rsidRPr="004D0AB6" w:rsidRDefault="004172F8" w:rsidP="00DE1C02">
            <w:pPr>
              <w:rPr>
                <w:color w:val="auto"/>
              </w:rPr>
            </w:pPr>
            <w:r w:rsidRPr="004D0AB6">
              <w:rPr>
                <w:color w:val="auto"/>
              </w:rPr>
              <w:t>Abstraction</w:t>
            </w:r>
          </w:p>
        </w:tc>
        <w:tc>
          <w:tcPr>
            <w:tcW w:w="6533" w:type="dxa"/>
          </w:tcPr>
          <w:p w14:paraId="7515D7B7" w14:textId="77777777" w:rsidR="004172F8" w:rsidRPr="00236CE7" w:rsidRDefault="004172F8" w:rsidP="003E71B9">
            <w:pPr>
              <w:cnfStyle w:val="000000100000" w:firstRow="0" w:lastRow="0" w:firstColumn="0" w:lastColumn="0" w:oddVBand="0" w:evenVBand="0" w:oddHBand="1" w:evenHBand="0" w:firstRowFirstColumn="0" w:firstRowLastColumn="0" w:lastRowFirstColumn="0" w:lastRowLastColumn="0"/>
              <w:rPr>
                <w:color w:val="auto"/>
              </w:rPr>
            </w:pPr>
          </w:p>
        </w:tc>
        <w:tc>
          <w:tcPr>
            <w:tcW w:w="1474" w:type="dxa"/>
          </w:tcPr>
          <w:p w14:paraId="62017074" w14:textId="77777777" w:rsidR="004172F8" w:rsidRPr="00D572A6" w:rsidRDefault="004172F8" w:rsidP="00AA631C">
            <w:pPr>
              <w:cnfStyle w:val="000000100000" w:firstRow="0" w:lastRow="0" w:firstColumn="0" w:lastColumn="0" w:oddVBand="0" w:evenVBand="0" w:oddHBand="1" w:evenHBand="0" w:firstRowFirstColumn="0" w:firstRowLastColumn="0" w:lastRowFirstColumn="0" w:lastRowLastColumn="0"/>
            </w:pPr>
          </w:p>
        </w:tc>
      </w:tr>
      <w:tr w:rsidR="00D572A6" w:rsidRPr="00D572A6" w14:paraId="796C3EA8"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7A6B2310" w14:textId="77777777" w:rsidR="00EA317E" w:rsidRPr="008A60F5" w:rsidRDefault="00EA317E" w:rsidP="00DE1C02">
            <w:pPr>
              <w:rPr>
                <w:i/>
                <w:color w:val="auto"/>
              </w:rPr>
            </w:pPr>
            <w:r w:rsidRPr="00DE0F48">
              <w:rPr>
                <w:color w:val="auto"/>
              </w:rPr>
              <w:t>Access Vector</w:t>
            </w:r>
          </w:p>
        </w:tc>
        <w:tc>
          <w:tcPr>
            <w:tcW w:w="6533" w:type="dxa"/>
          </w:tcPr>
          <w:p w14:paraId="7B2D0F99" w14:textId="77777777" w:rsidR="00EA317E" w:rsidRPr="00236CE7" w:rsidRDefault="003E71B9" w:rsidP="003E71B9">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H</w:t>
            </w:r>
            <w:r w:rsidR="00EA317E" w:rsidRPr="00236CE7">
              <w:rPr>
                <w:color w:val="auto"/>
              </w:rPr>
              <w:t xml:space="preserve">ow a vulnerability may be </w:t>
            </w:r>
            <w:proofErr w:type="gramStart"/>
            <w:r w:rsidR="00EA317E" w:rsidRPr="00236CE7">
              <w:rPr>
                <w:color w:val="auto"/>
              </w:rPr>
              <w:t>exploited.</w:t>
            </w:r>
            <w:proofErr w:type="gramEnd"/>
            <w:r w:rsidR="00EA317E" w:rsidRPr="00236CE7">
              <w:rPr>
                <w:color w:val="auto"/>
              </w:rPr>
              <w:t xml:space="preserve"> Examples include a local exploit (by having a presence on the system), a physical exploit (by having physical access to the system), or a network-based exploit (where the vulnerability can be exploited through a network connection).</w:t>
            </w:r>
          </w:p>
        </w:tc>
        <w:tc>
          <w:tcPr>
            <w:tcW w:w="1474" w:type="dxa"/>
          </w:tcPr>
          <w:p w14:paraId="0ABC6B47"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r w:rsidRPr="00D572A6">
              <w:rPr>
                <w:color w:val="auto"/>
              </w:rPr>
              <w:t>Extent</w:t>
            </w:r>
          </w:p>
        </w:tc>
      </w:tr>
      <w:tr w:rsidR="004172F8" w:rsidRPr="00D572A6" w14:paraId="563364AB"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4364A66F" w14:textId="2C2B82A9" w:rsidR="004172F8" w:rsidRPr="004D0AB6" w:rsidRDefault="004172F8" w:rsidP="005A739F">
            <w:pPr>
              <w:rPr>
                <w:color w:val="auto"/>
              </w:rPr>
            </w:pPr>
            <w:r w:rsidRPr="004D0AB6">
              <w:rPr>
                <w:color w:val="auto"/>
              </w:rPr>
              <w:t>Attack Vector</w:t>
            </w:r>
          </w:p>
        </w:tc>
        <w:tc>
          <w:tcPr>
            <w:tcW w:w="6533" w:type="dxa"/>
          </w:tcPr>
          <w:p w14:paraId="0751B929" w14:textId="77777777" w:rsidR="004172F8" w:rsidRPr="00236CE7" w:rsidRDefault="004172F8" w:rsidP="003E71B9">
            <w:pPr>
              <w:cnfStyle w:val="000000100000" w:firstRow="0" w:lastRow="0" w:firstColumn="0" w:lastColumn="0" w:oddVBand="0" w:evenVBand="0" w:oddHBand="1" w:evenHBand="0" w:firstRowFirstColumn="0" w:firstRowLastColumn="0" w:lastRowFirstColumn="0" w:lastRowLastColumn="0"/>
              <w:rPr>
                <w:color w:val="auto"/>
              </w:rPr>
            </w:pPr>
          </w:p>
        </w:tc>
        <w:tc>
          <w:tcPr>
            <w:tcW w:w="1474" w:type="dxa"/>
          </w:tcPr>
          <w:p w14:paraId="6538FC49" w14:textId="77777777" w:rsidR="004172F8" w:rsidRPr="00D572A6" w:rsidRDefault="004172F8" w:rsidP="00AA631C">
            <w:pPr>
              <w:cnfStyle w:val="000000100000" w:firstRow="0" w:lastRow="0" w:firstColumn="0" w:lastColumn="0" w:oddVBand="0" w:evenVBand="0" w:oddHBand="1" w:evenHBand="0" w:firstRowFirstColumn="0" w:firstRowLastColumn="0" w:lastRowFirstColumn="0" w:lastRowLastColumn="0"/>
            </w:pPr>
          </w:p>
        </w:tc>
      </w:tr>
      <w:tr w:rsidR="00D572A6" w:rsidRPr="00D572A6" w14:paraId="718D6D23"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48ACB841" w14:textId="77777777" w:rsidR="005A739F" w:rsidRPr="008A60F5" w:rsidRDefault="005A739F" w:rsidP="005A739F">
            <w:pPr>
              <w:rPr>
                <w:i/>
                <w:color w:val="auto"/>
              </w:rPr>
            </w:pPr>
            <w:r w:rsidRPr="00DE0F48">
              <w:rPr>
                <w:color w:val="auto"/>
              </w:rPr>
              <w:t>Extent</w:t>
            </w:r>
          </w:p>
        </w:tc>
        <w:tc>
          <w:tcPr>
            <w:tcW w:w="6533" w:type="dxa"/>
          </w:tcPr>
          <w:p w14:paraId="25256DF5" w14:textId="77777777" w:rsidR="005A739F" w:rsidRPr="00236CE7" w:rsidRDefault="003E71B9" w:rsidP="003E71B9">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H</w:t>
            </w:r>
            <w:r w:rsidR="005A739F" w:rsidRPr="00236CE7">
              <w:rPr>
                <w:color w:val="auto"/>
              </w:rPr>
              <w:t xml:space="preserve">ow a vulnerability may be </w:t>
            </w:r>
            <w:proofErr w:type="gramStart"/>
            <w:r w:rsidR="005A739F" w:rsidRPr="00236CE7">
              <w:rPr>
                <w:color w:val="auto"/>
              </w:rPr>
              <w:t>exploited.</w:t>
            </w:r>
            <w:proofErr w:type="gramEnd"/>
            <w:r w:rsidR="005A739F" w:rsidRPr="00236CE7">
              <w:rPr>
                <w:color w:val="auto"/>
              </w:rPr>
              <w:t xml:space="preserve"> Examples include a local exploit (by having a presence on the system), a physical exploit (by having physical access to the system), or a network-based exploit (where the vulnerability can be exploited through a network connection).</w:t>
            </w:r>
          </w:p>
        </w:tc>
        <w:tc>
          <w:tcPr>
            <w:tcW w:w="1474" w:type="dxa"/>
          </w:tcPr>
          <w:p w14:paraId="27F80967" w14:textId="77777777" w:rsidR="005A739F" w:rsidRPr="00D572A6" w:rsidRDefault="005A739F" w:rsidP="00AA631C">
            <w:pPr>
              <w:cnfStyle w:val="000000000000" w:firstRow="0" w:lastRow="0" w:firstColumn="0" w:lastColumn="0" w:oddVBand="0" w:evenVBand="0" w:oddHBand="0" w:evenHBand="0" w:firstRowFirstColumn="0" w:firstRowLastColumn="0" w:lastRowFirstColumn="0" w:lastRowLastColumn="0"/>
              <w:rPr>
                <w:color w:val="auto"/>
              </w:rPr>
            </w:pPr>
            <w:r w:rsidRPr="00D572A6">
              <w:rPr>
                <w:color w:val="auto"/>
              </w:rPr>
              <w:t>Access vector</w:t>
            </w:r>
          </w:p>
        </w:tc>
      </w:tr>
      <w:tr w:rsidR="00D572A6" w:rsidRPr="00D572A6" w14:paraId="70AE277B"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9A0C4CF" w14:textId="77777777" w:rsidR="00EA317E" w:rsidRPr="008A60F5" w:rsidRDefault="00685944" w:rsidP="00DE1C02">
            <w:pPr>
              <w:rPr>
                <w:i/>
                <w:color w:val="auto"/>
              </w:rPr>
            </w:pPr>
            <w:r w:rsidRPr="00DE0F48">
              <w:rPr>
                <w:color w:val="auto"/>
              </w:rPr>
              <w:t>Bug</w:t>
            </w:r>
          </w:p>
        </w:tc>
        <w:tc>
          <w:tcPr>
            <w:tcW w:w="6533" w:type="dxa"/>
          </w:tcPr>
          <w:p w14:paraId="07AB2506" w14:textId="77777777" w:rsidR="00EA317E" w:rsidRPr="00236CE7" w:rsidRDefault="00685944" w:rsidP="00685944">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T</w:t>
            </w:r>
            <w:r w:rsidR="00EA317E" w:rsidRPr="00236CE7">
              <w:rPr>
                <w:color w:val="auto"/>
              </w:rPr>
              <w:t>he flaw or design oversight leading to a potential vulnerability.</w:t>
            </w:r>
          </w:p>
        </w:tc>
        <w:tc>
          <w:tcPr>
            <w:tcW w:w="1474" w:type="dxa"/>
          </w:tcPr>
          <w:p w14:paraId="4BB81944"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4D0AB6" w:rsidRPr="00D572A6" w14:paraId="37A64BF6"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3BE0226F" w14:textId="77777777" w:rsidR="004172F8" w:rsidRPr="004D0AB6" w:rsidRDefault="004172F8" w:rsidP="001D734E">
            <w:pPr>
              <w:rPr>
                <w:color w:val="auto"/>
              </w:rPr>
            </w:pPr>
            <w:r w:rsidRPr="004D0AB6">
              <w:rPr>
                <w:color w:val="auto"/>
              </w:rPr>
              <w:t>Candidate</w:t>
            </w:r>
          </w:p>
        </w:tc>
        <w:tc>
          <w:tcPr>
            <w:tcW w:w="6533" w:type="dxa"/>
          </w:tcPr>
          <w:p w14:paraId="2095D617" w14:textId="77777777" w:rsidR="004172F8" w:rsidRPr="00236CE7" w:rsidRDefault="004172F8" w:rsidP="001D734E">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DEPRICATED</w:t>
            </w:r>
          </w:p>
        </w:tc>
        <w:tc>
          <w:tcPr>
            <w:tcW w:w="1474" w:type="dxa"/>
          </w:tcPr>
          <w:p w14:paraId="2F42FB0F" w14:textId="77777777" w:rsidR="004172F8" w:rsidRPr="00D572A6" w:rsidRDefault="004172F8" w:rsidP="001D734E">
            <w:pPr>
              <w:cnfStyle w:val="000000000000" w:firstRow="0" w:lastRow="0" w:firstColumn="0" w:lastColumn="0" w:oddVBand="0" w:evenVBand="0" w:oddHBand="0" w:evenHBand="0" w:firstRowFirstColumn="0" w:firstRowLastColumn="0" w:lastRowFirstColumn="0" w:lastRowLastColumn="0"/>
            </w:pPr>
          </w:p>
        </w:tc>
      </w:tr>
      <w:tr w:rsidR="004D0AB6" w:rsidRPr="00D572A6" w14:paraId="2AA6294B"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642D9B75" w14:textId="77777777" w:rsidR="00EA317E" w:rsidRPr="008A60F5" w:rsidRDefault="00685944" w:rsidP="00DE1C02">
            <w:pPr>
              <w:rPr>
                <w:i/>
                <w:color w:val="auto"/>
              </w:rPr>
            </w:pPr>
            <w:r w:rsidRPr="00DE0F48">
              <w:rPr>
                <w:color w:val="auto"/>
              </w:rPr>
              <w:t>Codebase</w:t>
            </w:r>
          </w:p>
        </w:tc>
        <w:tc>
          <w:tcPr>
            <w:tcW w:w="6533" w:type="dxa"/>
          </w:tcPr>
          <w:p w14:paraId="44B1C86C" w14:textId="77777777" w:rsidR="00EA317E" w:rsidRPr="00236CE7" w:rsidRDefault="00685944" w:rsidP="00685944">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w:t>
            </w:r>
            <w:r w:rsidR="00EA317E" w:rsidRPr="00236CE7">
              <w:rPr>
                <w:color w:val="auto"/>
              </w:rPr>
              <w:t xml:space="preserve"> software component that is shared among multiple products.</w:t>
            </w:r>
          </w:p>
        </w:tc>
        <w:tc>
          <w:tcPr>
            <w:tcW w:w="1474" w:type="dxa"/>
          </w:tcPr>
          <w:p w14:paraId="7362A6CE"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334AB3" w:rsidRPr="00D572A6" w14:paraId="3513B79D"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13926E4C" w14:textId="5F1030DD" w:rsidR="00334AB3" w:rsidRPr="004D0AB6" w:rsidRDefault="00334AB3" w:rsidP="00DE1C02">
            <w:pPr>
              <w:rPr>
                <w:color w:val="auto"/>
              </w:rPr>
            </w:pPr>
            <w:r w:rsidRPr="004D0AB6">
              <w:rPr>
                <w:color w:val="auto"/>
              </w:rPr>
              <w:t>Component</w:t>
            </w:r>
          </w:p>
        </w:tc>
        <w:tc>
          <w:tcPr>
            <w:tcW w:w="6533" w:type="dxa"/>
          </w:tcPr>
          <w:p w14:paraId="739E0F8E" w14:textId="6F532B29" w:rsidR="00334AB3" w:rsidRPr="00236CE7" w:rsidRDefault="00236CE7" w:rsidP="00685944">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The location in the code that contains the vulnerability. This includes functions, files, plugins, and other possible sub-components of the product. Components tend to be strong indicators of duplicates.</w:t>
            </w:r>
          </w:p>
        </w:tc>
        <w:tc>
          <w:tcPr>
            <w:tcW w:w="1474" w:type="dxa"/>
          </w:tcPr>
          <w:p w14:paraId="11C7B266" w14:textId="77777777" w:rsidR="00334AB3" w:rsidRPr="00D572A6" w:rsidRDefault="00334AB3" w:rsidP="00AA631C">
            <w:pPr>
              <w:cnfStyle w:val="000000000000" w:firstRow="0" w:lastRow="0" w:firstColumn="0" w:lastColumn="0" w:oddVBand="0" w:evenVBand="0" w:oddHBand="0" w:evenHBand="0" w:firstRowFirstColumn="0" w:firstRowLastColumn="0" w:lastRowFirstColumn="0" w:lastRowLastColumn="0"/>
            </w:pPr>
          </w:p>
        </w:tc>
      </w:tr>
      <w:tr w:rsidR="004D0AB6" w:rsidRPr="00D572A6" w14:paraId="1C40599E"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438AF0D9" w14:textId="77777777" w:rsidR="00EA317E" w:rsidRPr="008A60F5" w:rsidRDefault="00FB72C6" w:rsidP="00DE1C02">
            <w:pPr>
              <w:rPr>
                <w:i/>
                <w:color w:val="auto"/>
              </w:rPr>
            </w:pPr>
            <w:r w:rsidRPr="00DE0F48">
              <w:rPr>
                <w:color w:val="auto"/>
              </w:rPr>
              <w:t xml:space="preserve">Configuration </w:t>
            </w:r>
            <w:r w:rsidRPr="008A60F5">
              <w:rPr>
                <w:color w:val="auto"/>
              </w:rPr>
              <w:t>Issue</w:t>
            </w:r>
          </w:p>
        </w:tc>
        <w:tc>
          <w:tcPr>
            <w:tcW w:w="6533" w:type="dxa"/>
          </w:tcPr>
          <w:p w14:paraId="44467D10" w14:textId="77777777" w:rsidR="00EA317E" w:rsidRPr="00236CE7" w:rsidRDefault="003E71B9" w:rsidP="003E71B9">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An issue w</w:t>
            </w:r>
            <w:r w:rsidR="00EA317E" w:rsidRPr="00236CE7">
              <w:rPr>
                <w:color w:val="auto"/>
              </w:rPr>
              <w:t>here a purposeful customization in the behavior of software results in an unintended state.</w:t>
            </w:r>
          </w:p>
        </w:tc>
        <w:tc>
          <w:tcPr>
            <w:tcW w:w="1474" w:type="dxa"/>
          </w:tcPr>
          <w:p w14:paraId="5F38AC8C"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4D0AB6" w:rsidRPr="00D572A6" w14:paraId="5DF252D2"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6BBAC54F" w14:textId="77777777" w:rsidR="00BB68B2" w:rsidRPr="008A60F5" w:rsidRDefault="00BB68B2" w:rsidP="00DE1C02">
            <w:pPr>
              <w:rPr>
                <w:color w:val="auto"/>
              </w:rPr>
            </w:pPr>
            <w:r w:rsidRPr="00DE0F48">
              <w:rPr>
                <w:color w:val="auto"/>
              </w:rPr>
              <w:t>CNA</w:t>
            </w:r>
          </w:p>
        </w:tc>
        <w:tc>
          <w:tcPr>
            <w:tcW w:w="6533" w:type="dxa"/>
          </w:tcPr>
          <w:p w14:paraId="77304967" w14:textId="77777777" w:rsidR="00BB68B2" w:rsidRPr="00236CE7" w:rsidRDefault="00BB68B2" w:rsidP="00C018B8">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CVE Numbering Authority. Organizations that assign and publish CVE IDs for vulnerabilities that will be made public in accordance with CNA Rules.</w:t>
            </w:r>
          </w:p>
        </w:tc>
        <w:tc>
          <w:tcPr>
            <w:tcW w:w="1474" w:type="dxa"/>
          </w:tcPr>
          <w:p w14:paraId="127CEF3B" w14:textId="77777777" w:rsidR="00BB68B2" w:rsidRPr="00D572A6" w:rsidRDefault="00BB68B2"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E82BC6" w:rsidRPr="00D572A6" w14:paraId="5D68502A"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7CB1405C" w14:textId="7BAD925C" w:rsidR="00E82BC6" w:rsidRPr="004D0AB6" w:rsidRDefault="00E82BC6" w:rsidP="00DE1C02">
            <w:pPr>
              <w:rPr>
                <w:color w:val="auto"/>
              </w:rPr>
            </w:pPr>
            <w:r w:rsidRPr="004D0AB6">
              <w:rPr>
                <w:color w:val="auto"/>
              </w:rPr>
              <w:t>CNA Block</w:t>
            </w:r>
          </w:p>
        </w:tc>
        <w:tc>
          <w:tcPr>
            <w:tcW w:w="6533" w:type="dxa"/>
          </w:tcPr>
          <w:p w14:paraId="36FF0FD8" w14:textId="4DA9F215" w:rsidR="00E82BC6" w:rsidRPr="00236CE7" w:rsidRDefault="00BE6A17" w:rsidP="00C018B8">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Pool of CVE IDs provided to </w:t>
            </w:r>
            <w:r w:rsidR="009E1B7C">
              <w:rPr>
                <w:color w:val="auto"/>
              </w:rPr>
              <w:t xml:space="preserve">a CNA by MITRE, for the CNA to </w:t>
            </w:r>
            <w:r>
              <w:rPr>
                <w:color w:val="auto"/>
              </w:rPr>
              <w:t>assign.</w:t>
            </w:r>
          </w:p>
        </w:tc>
        <w:tc>
          <w:tcPr>
            <w:tcW w:w="1474" w:type="dxa"/>
          </w:tcPr>
          <w:p w14:paraId="720FA636" w14:textId="77777777" w:rsidR="00E82BC6" w:rsidRPr="00D572A6" w:rsidRDefault="00E82BC6" w:rsidP="00AA631C">
            <w:pPr>
              <w:cnfStyle w:val="000000100000" w:firstRow="0" w:lastRow="0" w:firstColumn="0" w:lastColumn="0" w:oddVBand="0" w:evenVBand="0" w:oddHBand="1" w:evenHBand="0" w:firstRowFirstColumn="0" w:firstRowLastColumn="0" w:lastRowFirstColumn="0" w:lastRowLastColumn="0"/>
            </w:pPr>
          </w:p>
        </w:tc>
      </w:tr>
      <w:tr w:rsidR="00E82BC6" w:rsidRPr="00D572A6" w14:paraId="489C8486"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4AB2EEEC" w14:textId="2A93C27A" w:rsidR="00E82BC6" w:rsidRPr="008A60F5" w:rsidRDefault="00E82BC6" w:rsidP="00B51E7C">
            <w:pPr>
              <w:rPr>
                <w:color w:val="auto"/>
              </w:rPr>
            </w:pPr>
            <w:r w:rsidRPr="00DE0F48">
              <w:rPr>
                <w:color w:val="auto"/>
              </w:rPr>
              <w:t>CNA Rules</w:t>
            </w:r>
          </w:p>
        </w:tc>
        <w:tc>
          <w:tcPr>
            <w:tcW w:w="6533" w:type="dxa"/>
          </w:tcPr>
          <w:p w14:paraId="4D84B25E" w14:textId="52E00E47" w:rsidR="00E82BC6" w:rsidRPr="00236CE7" w:rsidRDefault="00E82BC6" w:rsidP="00B51E7C">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Administrative rules which maintain consistency in the CVE assignment</w:t>
            </w:r>
          </w:p>
          <w:p w14:paraId="76BBA9CB" w14:textId="78909F05" w:rsidR="00E82BC6" w:rsidRPr="00236CE7" w:rsidRDefault="00E82BC6" w:rsidP="00B51E7C">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process and administration of the CNA program across all CNAs.</w:t>
            </w:r>
          </w:p>
        </w:tc>
        <w:tc>
          <w:tcPr>
            <w:tcW w:w="1474" w:type="dxa"/>
          </w:tcPr>
          <w:p w14:paraId="186DD54C" w14:textId="77777777" w:rsidR="00E82BC6" w:rsidRPr="00D572A6" w:rsidRDefault="00E82BC6" w:rsidP="00B51E7C">
            <w:pPr>
              <w:cnfStyle w:val="000000000000" w:firstRow="0" w:lastRow="0" w:firstColumn="0" w:lastColumn="0" w:oddVBand="0" w:evenVBand="0" w:oddHBand="0" w:evenHBand="0" w:firstRowFirstColumn="0" w:firstRowLastColumn="0" w:lastRowFirstColumn="0" w:lastRowLastColumn="0"/>
              <w:rPr>
                <w:color w:val="auto"/>
              </w:rPr>
            </w:pPr>
          </w:p>
        </w:tc>
      </w:tr>
      <w:tr w:rsidR="00C65CF5" w:rsidRPr="00D572A6" w14:paraId="1DDABA53"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298B05A3" w14:textId="77777777" w:rsidR="00C65CF5" w:rsidRPr="004D0AB6" w:rsidRDefault="00C65CF5" w:rsidP="006B6E69">
            <w:pPr>
              <w:rPr>
                <w:color w:val="auto"/>
              </w:rPr>
            </w:pPr>
            <w:r w:rsidRPr="004D0AB6">
              <w:rPr>
                <w:color w:val="auto"/>
              </w:rPr>
              <w:t>Counting Rules</w:t>
            </w:r>
          </w:p>
        </w:tc>
        <w:tc>
          <w:tcPr>
            <w:tcW w:w="6533" w:type="dxa"/>
          </w:tcPr>
          <w:p w14:paraId="5563FC54" w14:textId="4F68B7B2" w:rsidR="00C65CF5" w:rsidRPr="00236CE7" w:rsidRDefault="00C65CF5" w:rsidP="006B6E69">
            <w:pPr>
              <w:cnfStyle w:val="000000100000" w:firstRow="0" w:lastRow="0" w:firstColumn="0" w:lastColumn="0" w:oddVBand="0" w:evenVBand="0" w:oddHBand="1" w:evenHBand="0" w:firstRowFirstColumn="0" w:firstRowLastColumn="0" w:lastRowFirstColumn="0" w:lastRowLastColumn="0"/>
              <w:rPr>
                <w:color w:val="auto"/>
              </w:rPr>
            </w:pPr>
            <w:r>
              <w:rPr>
                <w:color w:val="auto"/>
              </w:rPr>
              <w:t>The rules used for determining the number of unique identifiers to assign relevant to a se</w:t>
            </w:r>
            <w:r w:rsidR="009E1B7C">
              <w:rPr>
                <w:color w:val="auto"/>
              </w:rPr>
              <w:t>t of vulnerability disclosures.</w:t>
            </w:r>
          </w:p>
        </w:tc>
        <w:tc>
          <w:tcPr>
            <w:tcW w:w="1474" w:type="dxa"/>
          </w:tcPr>
          <w:p w14:paraId="77D4129B" w14:textId="77777777" w:rsidR="00C65CF5" w:rsidRPr="00D572A6" w:rsidRDefault="00C65CF5" w:rsidP="006B6E69">
            <w:pPr>
              <w:cnfStyle w:val="000000100000" w:firstRow="0" w:lastRow="0" w:firstColumn="0" w:lastColumn="0" w:oddVBand="0" w:evenVBand="0" w:oddHBand="1" w:evenHBand="0" w:firstRowFirstColumn="0" w:firstRowLastColumn="0" w:lastRowFirstColumn="0" w:lastRowLastColumn="0"/>
            </w:pPr>
          </w:p>
        </w:tc>
      </w:tr>
      <w:tr w:rsidR="00A769C9" w:rsidRPr="00D572A6" w14:paraId="0B9F3650"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34601875" w14:textId="5F317754" w:rsidR="00C018B8" w:rsidRPr="008A60F5" w:rsidRDefault="00C018B8" w:rsidP="00DE1C02">
            <w:pPr>
              <w:rPr>
                <w:color w:val="auto"/>
              </w:rPr>
            </w:pPr>
            <w:r w:rsidRPr="00DE0F48">
              <w:rPr>
                <w:color w:val="auto"/>
              </w:rPr>
              <w:t>C</w:t>
            </w:r>
            <w:r w:rsidR="00586EB5" w:rsidRPr="008A60F5">
              <w:rPr>
                <w:color w:val="auto"/>
              </w:rPr>
              <w:t>VE</w:t>
            </w:r>
            <w:r w:rsidRPr="008A60F5">
              <w:rPr>
                <w:color w:val="auto"/>
              </w:rPr>
              <w:t xml:space="preserve"> Working Group</w:t>
            </w:r>
          </w:p>
        </w:tc>
        <w:tc>
          <w:tcPr>
            <w:tcW w:w="6533" w:type="dxa"/>
          </w:tcPr>
          <w:p w14:paraId="659715FF" w14:textId="07770E8C" w:rsidR="00C018B8" w:rsidRPr="00236CE7" w:rsidRDefault="00C018B8" w:rsidP="00586EB5">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 group through which CNAs</w:t>
            </w:r>
            <w:r w:rsidR="00586EB5" w:rsidRPr="00236CE7">
              <w:rPr>
                <w:color w:val="auto"/>
              </w:rPr>
              <w:t>, the CVE Board, and others</w:t>
            </w:r>
            <w:r w:rsidRPr="00236CE7">
              <w:rPr>
                <w:color w:val="auto"/>
              </w:rPr>
              <w:t xml:space="preserve"> can collaborate </w:t>
            </w:r>
            <w:r w:rsidR="00586EB5" w:rsidRPr="00236CE7">
              <w:rPr>
                <w:color w:val="auto"/>
              </w:rPr>
              <w:t>to develop technology, process, and policy for the CVE program</w:t>
            </w:r>
            <w:r w:rsidRPr="00236CE7">
              <w:rPr>
                <w:color w:val="auto"/>
              </w:rPr>
              <w:t>.</w:t>
            </w:r>
          </w:p>
        </w:tc>
        <w:tc>
          <w:tcPr>
            <w:tcW w:w="1474" w:type="dxa"/>
          </w:tcPr>
          <w:p w14:paraId="7033BB24" w14:textId="77777777" w:rsidR="00C018B8" w:rsidRPr="00D572A6" w:rsidRDefault="00C018B8"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E82BC6" w:rsidRPr="00D572A6" w14:paraId="592703A5"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6AD768CE" w14:textId="77777777" w:rsidR="00C018B8" w:rsidRPr="008A60F5" w:rsidRDefault="00C018B8" w:rsidP="00DE1C02">
            <w:pPr>
              <w:rPr>
                <w:color w:val="auto"/>
              </w:rPr>
            </w:pPr>
            <w:r w:rsidRPr="00DE0F48">
              <w:rPr>
                <w:color w:val="auto"/>
              </w:rPr>
              <w:t>CVE Board</w:t>
            </w:r>
          </w:p>
        </w:tc>
        <w:tc>
          <w:tcPr>
            <w:tcW w:w="6533" w:type="dxa"/>
          </w:tcPr>
          <w:p w14:paraId="64DC8CF6" w14:textId="7D75D7F7" w:rsidR="00C018B8" w:rsidRPr="00236CE7" w:rsidRDefault="00D2199C" w:rsidP="00743F30">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 xml:space="preserve">A collection of individuals representing numerous cybersecurity-related organizations, including commercial security tool vendors, academia, research institutions, government departments and agencies, and other prominent security </w:t>
            </w:r>
            <w:r w:rsidRPr="00236CE7">
              <w:rPr>
                <w:color w:val="auto"/>
              </w:rPr>
              <w:lastRenderedPageBreak/>
              <w:t>experts, as well as end-users of vulnerability information</w:t>
            </w:r>
            <w:r w:rsidR="00743F30" w:rsidRPr="00236CE7">
              <w:rPr>
                <w:color w:val="auto"/>
              </w:rPr>
              <w:t xml:space="preserve"> that provide</w:t>
            </w:r>
            <w:r w:rsidRPr="00236CE7">
              <w:rPr>
                <w:color w:val="auto"/>
              </w:rPr>
              <w:t xml:space="preserve"> critical input regarding the data sources, product coverage, coverage goals, operating structure, and strategic direction of the CVE program.</w:t>
            </w:r>
          </w:p>
        </w:tc>
        <w:tc>
          <w:tcPr>
            <w:tcW w:w="1474" w:type="dxa"/>
          </w:tcPr>
          <w:p w14:paraId="7C18A962" w14:textId="77777777" w:rsidR="00C018B8" w:rsidRPr="00D572A6" w:rsidRDefault="00C018B8"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A769C9" w:rsidRPr="00D572A6" w14:paraId="71338901"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40D9D7E1" w14:textId="57F3E94C" w:rsidR="00A769C9" w:rsidRPr="004D0AB6" w:rsidRDefault="00A769C9" w:rsidP="00DE1C02">
            <w:pPr>
              <w:rPr>
                <w:color w:val="auto"/>
              </w:rPr>
            </w:pPr>
            <w:r w:rsidRPr="004D0AB6">
              <w:rPr>
                <w:color w:val="auto"/>
              </w:rPr>
              <w:t>CVE Board Member</w:t>
            </w:r>
          </w:p>
        </w:tc>
        <w:tc>
          <w:tcPr>
            <w:tcW w:w="6533" w:type="dxa"/>
          </w:tcPr>
          <w:p w14:paraId="003B96B4" w14:textId="28D7C603" w:rsidR="00A769C9" w:rsidRPr="00236CE7" w:rsidRDefault="009E1B7C" w:rsidP="00743F30">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Individuals from </w:t>
            </w:r>
            <w:r w:rsidRPr="009E1B7C">
              <w:rPr>
                <w:color w:val="auto"/>
              </w:rPr>
              <w:t>numerous cybersecurity-related organizations including commercial security tool vendors, academia, research institutions, government departments and agencies, and other prominent security experts, as well as end-users of vulnerability information.</w:t>
            </w:r>
          </w:p>
        </w:tc>
        <w:tc>
          <w:tcPr>
            <w:tcW w:w="1474" w:type="dxa"/>
          </w:tcPr>
          <w:p w14:paraId="09112134" w14:textId="77777777" w:rsidR="00A769C9" w:rsidRPr="00D572A6" w:rsidRDefault="00A769C9" w:rsidP="00AA631C">
            <w:pPr>
              <w:cnfStyle w:val="000000000000" w:firstRow="0" w:lastRow="0" w:firstColumn="0" w:lastColumn="0" w:oddVBand="0" w:evenVBand="0" w:oddHBand="0" w:evenHBand="0" w:firstRowFirstColumn="0" w:firstRowLastColumn="0" w:lastRowFirstColumn="0" w:lastRowLastColumn="0"/>
            </w:pPr>
          </w:p>
        </w:tc>
      </w:tr>
      <w:tr w:rsidR="00A769C9" w:rsidRPr="00D572A6" w14:paraId="0C1325C9"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48C3B246" w14:textId="77777777" w:rsidR="00D2199C" w:rsidRPr="008A60F5" w:rsidRDefault="00D2199C" w:rsidP="00DE1C02">
            <w:pPr>
              <w:rPr>
                <w:color w:val="auto"/>
              </w:rPr>
            </w:pPr>
            <w:r w:rsidRPr="00DE0F48">
              <w:rPr>
                <w:color w:val="auto"/>
              </w:rPr>
              <w:t>CVE Entry</w:t>
            </w:r>
          </w:p>
        </w:tc>
        <w:tc>
          <w:tcPr>
            <w:tcW w:w="6533" w:type="dxa"/>
          </w:tcPr>
          <w:p w14:paraId="169AFF66" w14:textId="0FEC4447" w:rsidR="00D2199C" w:rsidRPr="00236CE7" w:rsidRDefault="0083037B" w:rsidP="00D2199C">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 xml:space="preserve">An item in the CVE List. </w:t>
            </w:r>
            <w:r w:rsidR="00D2199C" w:rsidRPr="00236CE7">
              <w:rPr>
                <w:color w:val="auto"/>
              </w:rPr>
              <w:t>CVE entries contain the CVE ID, a description of the vulnerability</w:t>
            </w:r>
            <w:r w:rsidR="003E71B9" w:rsidRPr="00236CE7">
              <w:rPr>
                <w:color w:val="auto"/>
              </w:rPr>
              <w:t>,</w:t>
            </w:r>
            <w:r w:rsidR="00D2199C" w:rsidRPr="00236CE7">
              <w:rPr>
                <w:color w:val="auto"/>
              </w:rPr>
              <w:t xml:space="preserve"> and references to public disclosure sources.</w:t>
            </w:r>
          </w:p>
        </w:tc>
        <w:tc>
          <w:tcPr>
            <w:tcW w:w="1474" w:type="dxa"/>
          </w:tcPr>
          <w:p w14:paraId="5344A8F8" w14:textId="77777777" w:rsidR="00D2199C" w:rsidRPr="00D572A6" w:rsidRDefault="00D2199C"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A769C9" w:rsidRPr="00D572A6" w14:paraId="1A9D723B"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594BDC44" w14:textId="0E9361CC" w:rsidR="00A769C9" w:rsidRPr="008A60F5" w:rsidRDefault="00A769C9" w:rsidP="00DE1C02">
            <w:pPr>
              <w:rPr>
                <w:color w:val="auto"/>
              </w:rPr>
            </w:pPr>
            <w:r w:rsidRPr="008A60F5">
              <w:rPr>
                <w:color w:val="auto"/>
              </w:rPr>
              <w:t>CVE ID Syntax</w:t>
            </w:r>
          </w:p>
        </w:tc>
        <w:tc>
          <w:tcPr>
            <w:tcW w:w="6533" w:type="dxa"/>
          </w:tcPr>
          <w:p w14:paraId="3E51EB0E" w14:textId="3B1E56B2" w:rsidR="009E1B7C" w:rsidRPr="009E1B7C" w:rsidRDefault="009E1B7C" w:rsidP="009E1B7C">
            <w:pPr>
              <w:cnfStyle w:val="000000000000" w:firstRow="0" w:lastRow="0" w:firstColumn="0" w:lastColumn="0" w:oddVBand="0" w:evenVBand="0" w:oddHBand="0" w:evenHBand="0" w:firstRowFirstColumn="0" w:firstRowLastColumn="0" w:lastRowFirstColumn="0" w:lastRowLastColumn="0"/>
              <w:rPr>
                <w:color w:val="auto"/>
              </w:rPr>
            </w:pPr>
            <w:r w:rsidRPr="009E1B7C">
              <w:rPr>
                <w:color w:val="auto"/>
              </w:rPr>
              <w:t>The CVE ID syntax is variable length and includes:</w:t>
            </w:r>
          </w:p>
          <w:p w14:paraId="4E4DF199" w14:textId="67B33D8B" w:rsidR="00A769C9" w:rsidRPr="00236CE7" w:rsidRDefault="009E1B7C" w:rsidP="009E1B7C">
            <w:pPr>
              <w:cnfStyle w:val="000000000000" w:firstRow="0" w:lastRow="0" w:firstColumn="0" w:lastColumn="0" w:oddVBand="0" w:evenVBand="0" w:oddHBand="0" w:evenHBand="0" w:firstRowFirstColumn="0" w:firstRowLastColumn="0" w:lastRowFirstColumn="0" w:lastRowLastColumn="0"/>
              <w:rPr>
                <w:color w:val="auto"/>
              </w:rPr>
            </w:pPr>
            <w:r w:rsidRPr="009E1B7C">
              <w:rPr>
                <w:color w:val="auto"/>
              </w:rPr>
              <w:t>CVE prefix + Year + Arbitrary Digits</w:t>
            </w:r>
          </w:p>
        </w:tc>
        <w:tc>
          <w:tcPr>
            <w:tcW w:w="1474" w:type="dxa"/>
          </w:tcPr>
          <w:p w14:paraId="1F3A4CB5" w14:textId="77777777" w:rsidR="00A769C9" w:rsidRPr="00D572A6" w:rsidRDefault="00A769C9" w:rsidP="00AA631C">
            <w:pPr>
              <w:cnfStyle w:val="000000000000" w:firstRow="0" w:lastRow="0" w:firstColumn="0" w:lastColumn="0" w:oddVBand="0" w:evenVBand="0" w:oddHBand="0" w:evenHBand="0" w:firstRowFirstColumn="0" w:firstRowLastColumn="0" w:lastRowFirstColumn="0" w:lastRowLastColumn="0"/>
            </w:pPr>
          </w:p>
        </w:tc>
      </w:tr>
      <w:tr w:rsidR="00E82BC6" w:rsidRPr="00D572A6" w14:paraId="71D0741F"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59D54E1" w14:textId="77777777" w:rsidR="00C952D7" w:rsidRPr="008A60F5" w:rsidRDefault="00C952D7" w:rsidP="00DE1C02">
            <w:pPr>
              <w:rPr>
                <w:color w:val="auto"/>
              </w:rPr>
            </w:pPr>
            <w:r w:rsidRPr="00DE0F48">
              <w:rPr>
                <w:color w:val="auto"/>
              </w:rPr>
              <w:t>CVE IDs</w:t>
            </w:r>
          </w:p>
        </w:tc>
        <w:tc>
          <w:tcPr>
            <w:tcW w:w="6533" w:type="dxa"/>
          </w:tcPr>
          <w:p w14:paraId="0FCE12CF" w14:textId="77777777" w:rsidR="00C952D7" w:rsidRPr="00236CE7" w:rsidRDefault="00C952D7" w:rsidP="00C952D7">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Unique, common identifiers for publicly known cyber security vulnerabilities.</w:t>
            </w:r>
          </w:p>
        </w:tc>
        <w:tc>
          <w:tcPr>
            <w:tcW w:w="1474" w:type="dxa"/>
          </w:tcPr>
          <w:p w14:paraId="6FB44538" w14:textId="77777777" w:rsidR="00C952D7" w:rsidRPr="00D572A6" w:rsidRDefault="00C952D7"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A769C9" w:rsidRPr="00D572A6" w14:paraId="4D7D212C"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3C764E64" w14:textId="62731C10" w:rsidR="00A769C9" w:rsidRPr="004D0AB6" w:rsidRDefault="00A769C9" w:rsidP="00DE1C02">
            <w:pPr>
              <w:rPr>
                <w:color w:val="auto"/>
              </w:rPr>
            </w:pPr>
            <w:r w:rsidRPr="004D0AB6">
              <w:rPr>
                <w:color w:val="auto"/>
              </w:rPr>
              <w:t>CVE Identifier</w:t>
            </w:r>
          </w:p>
        </w:tc>
        <w:tc>
          <w:tcPr>
            <w:tcW w:w="6533" w:type="dxa"/>
          </w:tcPr>
          <w:p w14:paraId="21AA34B6" w14:textId="37B17BD6" w:rsidR="00A769C9" w:rsidRPr="00236CE7" w:rsidRDefault="006F45A4" w:rsidP="00C952D7">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http://cve.mitre.org/find/search_tips.html#how_to_read</w:t>
            </w:r>
          </w:p>
        </w:tc>
        <w:tc>
          <w:tcPr>
            <w:tcW w:w="1474" w:type="dxa"/>
          </w:tcPr>
          <w:p w14:paraId="19B4F08D" w14:textId="77777777" w:rsidR="00A769C9" w:rsidRPr="00D572A6" w:rsidRDefault="00A769C9" w:rsidP="00AA631C">
            <w:pPr>
              <w:cnfStyle w:val="000000000000" w:firstRow="0" w:lastRow="0" w:firstColumn="0" w:lastColumn="0" w:oddVBand="0" w:evenVBand="0" w:oddHBand="0" w:evenHBand="0" w:firstRowFirstColumn="0" w:firstRowLastColumn="0" w:lastRowFirstColumn="0" w:lastRowLastColumn="0"/>
            </w:pPr>
          </w:p>
        </w:tc>
      </w:tr>
      <w:tr w:rsidR="00A769C9" w:rsidRPr="00D572A6" w14:paraId="72A607DF"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6503AFFD" w14:textId="77777777" w:rsidR="00C952D7" w:rsidRPr="008A60F5" w:rsidRDefault="00C952D7" w:rsidP="00DE1C02">
            <w:pPr>
              <w:rPr>
                <w:color w:val="auto"/>
              </w:rPr>
            </w:pPr>
            <w:r w:rsidRPr="00DE0F48">
              <w:rPr>
                <w:color w:val="auto"/>
              </w:rPr>
              <w:t>CVE List</w:t>
            </w:r>
          </w:p>
        </w:tc>
        <w:tc>
          <w:tcPr>
            <w:tcW w:w="6533" w:type="dxa"/>
          </w:tcPr>
          <w:p w14:paraId="598357F2" w14:textId="2CEB0708" w:rsidR="00C952D7" w:rsidRPr="00236CE7" w:rsidRDefault="00C952D7" w:rsidP="0083037B">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 xml:space="preserve">A </w:t>
            </w:r>
            <w:r w:rsidR="0083037B" w:rsidRPr="00236CE7">
              <w:rPr>
                <w:color w:val="auto"/>
              </w:rPr>
              <w:t xml:space="preserve">collection </w:t>
            </w:r>
            <w:r w:rsidRPr="00236CE7">
              <w:rPr>
                <w:color w:val="auto"/>
              </w:rPr>
              <w:t>of common names (CVE IDs) for publicly known cybersecurity vulnerabilities.</w:t>
            </w:r>
          </w:p>
        </w:tc>
        <w:tc>
          <w:tcPr>
            <w:tcW w:w="1474" w:type="dxa"/>
          </w:tcPr>
          <w:p w14:paraId="1ED1D35B" w14:textId="77777777" w:rsidR="00C952D7" w:rsidRPr="00D572A6" w:rsidRDefault="00C952D7"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E82BC6" w:rsidRPr="00D572A6" w14:paraId="632E8377"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6688F098" w14:textId="77777777" w:rsidR="00C018B8" w:rsidRPr="008A60F5" w:rsidRDefault="00C018B8" w:rsidP="00DE1C02">
            <w:pPr>
              <w:rPr>
                <w:color w:val="auto"/>
              </w:rPr>
            </w:pPr>
            <w:r w:rsidRPr="00DE0F48">
              <w:rPr>
                <w:color w:val="auto"/>
              </w:rPr>
              <w:t>CVE Progr</w:t>
            </w:r>
            <w:r w:rsidRPr="008A60F5">
              <w:rPr>
                <w:color w:val="auto"/>
              </w:rPr>
              <w:t>am</w:t>
            </w:r>
          </w:p>
        </w:tc>
        <w:tc>
          <w:tcPr>
            <w:tcW w:w="6533" w:type="dxa"/>
          </w:tcPr>
          <w:p w14:paraId="2E82D75A" w14:textId="05D95669" w:rsidR="00C018B8" w:rsidRPr="00236CE7" w:rsidRDefault="00C018B8" w:rsidP="0083037B">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 program whose primary purpose is to uniquely identify vulnerabilities and to associate specific versions of code bases (e.g., software and shared libraries) to those vulnerabilities. The use of CVE</w:t>
            </w:r>
            <w:r w:rsidR="0083037B" w:rsidRPr="00236CE7">
              <w:rPr>
                <w:color w:val="auto"/>
              </w:rPr>
              <w:t xml:space="preserve"> ID</w:t>
            </w:r>
            <w:r w:rsidRPr="00236CE7">
              <w:rPr>
                <w:color w:val="auto"/>
              </w:rPr>
              <w:t xml:space="preserve">s ensures that two or more parties can confidently refer to a </w:t>
            </w:r>
            <w:r w:rsidR="0083037B" w:rsidRPr="00236CE7">
              <w:rPr>
                <w:color w:val="auto"/>
              </w:rPr>
              <w:t>unique identifier</w:t>
            </w:r>
            <w:r w:rsidRPr="00236CE7">
              <w:rPr>
                <w:color w:val="auto"/>
              </w:rPr>
              <w:t xml:space="preserve"> when discussing or sharing information about a unique vulnerability.</w:t>
            </w:r>
          </w:p>
        </w:tc>
        <w:tc>
          <w:tcPr>
            <w:tcW w:w="1474" w:type="dxa"/>
          </w:tcPr>
          <w:p w14:paraId="6C8C7341" w14:textId="77777777" w:rsidR="00C018B8" w:rsidRPr="00D572A6" w:rsidRDefault="00C018B8"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985D41" w:rsidRPr="00D572A6" w14:paraId="04C11361" w14:textId="77777777" w:rsidTr="006B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D524D1F" w14:textId="77777777" w:rsidR="00985D41" w:rsidRPr="004D0AB6" w:rsidRDefault="00985D41" w:rsidP="006B6E69">
            <w:pPr>
              <w:rPr>
                <w:color w:val="auto"/>
              </w:rPr>
            </w:pPr>
            <w:r>
              <w:rPr>
                <w:color w:val="auto"/>
              </w:rPr>
              <w:t xml:space="preserve">CVE Request </w:t>
            </w:r>
            <w:r w:rsidRPr="004D0AB6">
              <w:rPr>
                <w:color w:val="auto"/>
              </w:rPr>
              <w:t>Web Form</w:t>
            </w:r>
          </w:p>
        </w:tc>
        <w:tc>
          <w:tcPr>
            <w:tcW w:w="6533" w:type="dxa"/>
          </w:tcPr>
          <w:p w14:paraId="396589DC" w14:textId="77777777" w:rsidR="00985D41" w:rsidRPr="00236CE7" w:rsidRDefault="00985D41" w:rsidP="006B6E69">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Online form used to contact MITRE to </w:t>
            </w:r>
            <w:r w:rsidRPr="001639C2">
              <w:rPr>
                <w:color w:val="auto"/>
              </w:rPr>
              <w:t>request a CVE ID</w:t>
            </w:r>
            <w:r>
              <w:rPr>
                <w:color w:val="auto"/>
              </w:rPr>
              <w:t xml:space="preserve"> or a block of CVE IDs,</w:t>
            </w:r>
            <w:r w:rsidRPr="001639C2">
              <w:rPr>
                <w:color w:val="auto"/>
              </w:rPr>
              <w:t xml:space="preserve"> request an update to a CVE, provide notification about a vulnerability publication, or submit comments.</w:t>
            </w:r>
          </w:p>
        </w:tc>
        <w:tc>
          <w:tcPr>
            <w:tcW w:w="1474" w:type="dxa"/>
          </w:tcPr>
          <w:p w14:paraId="07669078" w14:textId="77777777" w:rsidR="00985D41" w:rsidRPr="00D572A6" w:rsidRDefault="00985D41" w:rsidP="006B6E69">
            <w:pPr>
              <w:cnfStyle w:val="000000100000" w:firstRow="0" w:lastRow="0" w:firstColumn="0" w:lastColumn="0" w:oddVBand="0" w:evenVBand="0" w:oddHBand="1" w:evenHBand="0" w:firstRowFirstColumn="0" w:firstRowLastColumn="0" w:lastRowFirstColumn="0" w:lastRowLastColumn="0"/>
            </w:pPr>
          </w:p>
        </w:tc>
      </w:tr>
      <w:tr w:rsidR="00A769C9" w:rsidRPr="00D572A6" w14:paraId="3899D985"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41EB9533" w14:textId="50EBB7D2" w:rsidR="00A769C9" w:rsidRPr="004D0AB6" w:rsidRDefault="00A769C9" w:rsidP="00DE1C02">
            <w:pPr>
              <w:rPr>
                <w:color w:val="auto"/>
              </w:rPr>
            </w:pPr>
            <w:r w:rsidRPr="004D0AB6">
              <w:rPr>
                <w:color w:val="auto"/>
              </w:rPr>
              <w:t>CVE</w:t>
            </w:r>
            <w:r w:rsidR="006F45A4" w:rsidRPr="006F45A4">
              <w:t>-</w:t>
            </w:r>
            <w:r w:rsidRPr="004D0AB6">
              <w:rPr>
                <w:color w:val="auto"/>
              </w:rPr>
              <w:t>Compatible</w:t>
            </w:r>
          </w:p>
        </w:tc>
        <w:tc>
          <w:tcPr>
            <w:tcW w:w="6533" w:type="dxa"/>
          </w:tcPr>
          <w:p w14:paraId="05C798A0" w14:textId="6304FBCD" w:rsidR="00A769C9" w:rsidRPr="00236CE7" w:rsidRDefault="00CC6E82" w:rsidP="00CC6E82">
            <w:pPr>
              <w:cnfStyle w:val="000000000000" w:firstRow="0" w:lastRow="0" w:firstColumn="0" w:lastColumn="0" w:oddVBand="0" w:evenVBand="0" w:oddHBand="0" w:evenHBand="0" w:firstRowFirstColumn="0" w:firstRowLastColumn="0" w:lastRowFirstColumn="0" w:lastRowLastColumn="0"/>
              <w:rPr>
                <w:color w:val="auto"/>
              </w:rPr>
            </w:pPr>
            <w:r>
              <w:rPr>
                <w:color w:val="auto"/>
              </w:rPr>
              <w:t>T</w:t>
            </w:r>
            <w:r w:rsidRPr="00CC6E82">
              <w:rPr>
                <w:color w:val="auto"/>
              </w:rPr>
              <w:t xml:space="preserve">ool, service, </w:t>
            </w:r>
            <w:r>
              <w:rPr>
                <w:color w:val="auto"/>
              </w:rPr>
              <w:t>w</w:t>
            </w:r>
            <w:r w:rsidRPr="00CC6E82">
              <w:rPr>
                <w:color w:val="auto"/>
              </w:rPr>
              <w:t xml:space="preserve">eb site, database, or advisory / alert that uses CVE </w:t>
            </w:r>
            <w:r>
              <w:rPr>
                <w:color w:val="auto"/>
              </w:rPr>
              <w:t>IDs</w:t>
            </w:r>
            <w:r w:rsidRPr="00CC6E82">
              <w:rPr>
                <w:color w:val="auto"/>
              </w:rPr>
              <w:t xml:space="preserve"> in a way that allows it to cross-link with other repositories that use CVE </w:t>
            </w:r>
            <w:r>
              <w:rPr>
                <w:color w:val="auto"/>
              </w:rPr>
              <w:t>IDs;</w:t>
            </w:r>
            <w:r w:rsidRPr="00CC6E82">
              <w:rPr>
                <w:color w:val="auto"/>
              </w:rPr>
              <w:t xml:space="preserve"> reviewed and registered as "CVE-Compatible."</w:t>
            </w:r>
          </w:p>
        </w:tc>
        <w:tc>
          <w:tcPr>
            <w:tcW w:w="1474" w:type="dxa"/>
          </w:tcPr>
          <w:p w14:paraId="5536F675" w14:textId="77777777" w:rsidR="00A769C9" w:rsidRPr="00D572A6" w:rsidRDefault="00A769C9" w:rsidP="00AA631C">
            <w:pPr>
              <w:cnfStyle w:val="000000000000" w:firstRow="0" w:lastRow="0" w:firstColumn="0" w:lastColumn="0" w:oddVBand="0" w:evenVBand="0" w:oddHBand="0" w:evenHBand="0" w:firstRowFirstColumn="0" w:firstRowLastColumn="0" w:lastRowFirstColumn="0" w:lastRowLastColumn="0"/>
            </w:pPr>
          </w:p>
        </w:tc>
      </w:tr>
      <w:tr w:rsidR="00A769C9" w:rsidRPr="00D572A6" w14:paraId="11E46ACD"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492AC384" w14:textId="1CD09C24" w:rsidR="00A769C9" w:rsidRPr="004D0AB6" w:rsidRDefault="00A769C9" w:rsidP="00DE1C02">
            <w:pPr>
              <w:rPr>
                <w:color w:val="auto"/>
              </w:rPr>
            </w:pPr>
            <w:r w:rsidRPr="004D0AB6">
              <w:rPr>
                <w:color w:val="auto"/>
              </w:rPr>
              <w:t>Duplicate</w:t>
            </w:r>
          </w:p>
        </w:tc>
        <w:tc>
          <w:tcPr>
            <w:tcW w:w="6533" w:type="dxa"/>
          </w:tcPr>
          <w:p w14:paraId="089B8156" w14:textId="05A99EDE" w:rsidR="00A769C9" w:rsidRPr="00236CE7" w:rsidRDefault="00CC6E82" w:rsidP="0083037B">
            <w:pPr>
              <w:cnfStyle w:val="000000100000" w:firstRow="0" w:lastRow="0" w:firstColumn="0" w:lastColumn="0" w:oddVBand="0" w:evenVBand="0" w:oddHBand="1" w:evenHBand="0" w:firstRowFirstColumn="0" w:firstRowLastColumn="0" w:lastRowFirstColumn="0" w:lastRowLastColumn="0"/>
              <w:rPr>
                <w:color w:val="auto"/>
              </w:rPr>
            </w:pPr>
            <w:r>
              <w:rPr>
                <w:color w:val="auto"/>
              </w:rPr>
              <w:t>The creation of</w:t>
            </w:r>
            <w:r w:rsidRPr="00CC6E82">
              <w:rPr>
                <w:color w:val="auto"/>
              </w:rPr>
              <w:t xml:space="preserve"> a new CVE for an issue that already has one</w:t>
            </w:r>
            <w:r>
              <w:rPr>
                <w:color w:val="auto"/>
              </w:rPr>
              <w:t>.</w:t>
            </w:r>
          </w:p>
        </w:tc>
        <w:tc>
          <w:tcPr>
            <w:tcW w:w="1474" w:type="dxa"/>
          </w:tcPr>
          <w:p w14:paraId="50BD86AD" w14:textId="77777777" w:rsidR="00A769C9" w:rsidRPr="00D572A6" w:rsidRDefault="00A769C9" w:rsidP="00AA631C">
            <w:pPr>
              <w:cnfStyle w:val="000000100000" w:firstRow="0" w:lastRow="0" w:firstColumn="0" w:lastColumn="0" w:oddVBand="0" w:evenVBand="0" w:oddHBand="1" w:evenHBand="0" w:firstRowFirstColumn="0" w:firstRowLastColumn="0" w:lastRowFirstColumn="0" w:lastRowLastColumn="0"/>
            </w:pPr>
          </w:p>
        </w:tc>
      </w:tr>
      <w:tr w:rsidR="00A769C9" w:rsidRPr="00D572A6" w14:paraId="775BFFF6"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0A765A01" w14:textId="2D0E340A" w:rsidR="00EA317E" w:rsidRPr="008A60F5" w:rsidRDefault="00FB72C6" w:rsidP="00DE1C02">
            <w:pPr>
              <w:rPr>
                <w:i/>
                <w:color w:val="auto"/>
              </w:rPr>
            </w:pPr>
            <w:commentRangeStart w:id="0"/>
            <w:commentRangeStart w:id="1"/>
            <w:r w:rsidRPr="00DE0F48">
              <w:rPr>
                <w:color w:val="auto"/>
              </w:rPr>
              <w:t>Executable file</w:t>
            </w:r>
            <w:commentRangeEnd w:id="0"/>
            <w:r w:rsidR="0021379E">
              <w:rPr>
                <w:rStyle w:val="CommentReference"/>
                <w:b w:val="0"/>
                <w:bCs w:val="0"/>
                <w:color w:val="auto"/>
              </w:rPr>
              <w:commentReference w:id="0"/>
            </w:r>
            <w:commentRangeEnd w:id="1"/>
            <w:r w:rsidR="004F228A">
              <w:rPr>
                <w:rStyle w:val="CommentReference"/>
                <w:b w:val="0"/>
                <w:bCs w:val="0"/>
                <w:color w:val="auto"/>
              </w:rPr>
              <w:commentReference w:id="1"/>
            </w:r>
          </w:p>
        </w:tc>
        <w:tc>
          <w:tcPr>
            <w:tcW w:w="6533" w:type="dxa"/>
          </w:tcPr>
          <w:p w14:paraId="79678FCF" w14:textId="60AE5A1C" w:rsidR="00EA317E" w:rsidRPr="00236CE7" w:rsidRDefault="003E71B9" w:rsidP="00586EB5">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 file that c</w:t>
            </w:r>
            <w:r w:rsidR="00EA317E" w:rsidRPr="00236CE7">
              <w:rPr>
                <w:color w:val="auto"/>
              </w:rPr>
              <w:t>auses a computer to perform tasks according to encoded instructions, as opposed to a data file that must be parsed by a program to be meaningful.</w:t>
            </w:r>
          </w:p>
        </w:tc>
        <w:tc>
          <w:tcPr>
            <w:tcW w:w="1474" w:type="dxa"/>
          </w:tcPr>
          <w:p w14:paraId="1504E1ED"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A769C9" w:rsidRPr="00D572A6" w14:paraId="6B685416"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A33CA77" w14:textId="4AB86014" w:rsidR="00A769C9" w:rsidRPr="004D0AB6" w:rsidRDefault="00A769C9" w:rsidP="00FB72C6">
            <w:pPr>
              <w:rPr>
                <w:color w:val="auto"/>
              </w:rPr>
            </w:pPr>
            <w:r w:rsidRPr="004D0AB6">
              <w:rPr>
                <w:color w:val="auto"/>
              </w:rPr>
              <w:t>Impact</w:t>
            </w:r>
          </w:p>
        </w:tc>
        <w:tc>
          <w:tcPr>
            <w:tcW w:w="6533" w:type="dxa"/>
          </w:tcPr>
          <w:p w14:paraId="0FEB193D" w14:textId="6E9BB25F" w:rsidR="00A769C9" w:rsidRPr="00236CE7" w:rsidRDefault="000922E7" w:rsidP="00D85E74">
            <w:pPr>
              <w:cnfStyle w:val="000000100000" w:firstRow="0" w:lastRow="0" w:firstColumn="0" w:lastColumn="0" w:oddVBand="0" w:evenVBand="0" w:oddHBand="1" w:evenHBand="0" w:firstRowFirstColumn="0" w:firstRowLastColumn="0" w:lastRowFirstColumn="0" w:lastRowLastColumn="0"/>
              <w:rPr>
                <w:color w:val="auto"/>
              </w:rPr>
            </w:pPr>
            <w:r w:rsidRPr="000922E7">
              <w:rPr>
                <w:color w:val="auto"/>
              </w:rPr>
              <w:t>The type of action that the attacker can trick the software into doing; or, the type of action that the attacker can perform after the software has made a mistake.</w:t>
            </w:r>
          </w:p>
        </w:tc>
        <w:tc>
          <w:tcPr>
            <w:tcW w:w="1474" w:type="dxa"/>
          </w:tcPr>
          <w:p w14:paraId="4934031D" w14:textId="77777777" w:rsidR="00A769C9" w:rsidRPr="00D572A6" w:rsidRDefault="00A769C9" w:rsidP="00AA631C">
            <w:pPr>
              <w:cnfStyle w:val="000000100000" w:firstRow="0" w:lastRow="0" w:firstColumn="0" w:lastColumn="0" w:oddVBand="0" w:evenVBand="0" w:oddHBand="1" w:evenHBand="0" w:firstRowFirstColumn="0" w:firstRowLastColumn="0" w:lastRowFirstColumn="0" w:lastRowLastColumn="0"/>
            </w:pPr>
          </w:p>
        </w:tc>
      </w:tr>
      <w:tr w:rsidR="004D0AB6" w:rsidRPr="00D572A6" w14:paraId="01BAD395"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1F77696B" w14:textId="6FB0DA51" w:rsidR="00FB72C6" w:rsidRPr="008A60F5" w:rsidRDefault="00FB72C6" w:rsidP="00FB72C6">
            <w:pPr>
              <w:rPr>
                <w:i/>
                <w:color w:val="auto"/>
              </w:rPr>
            </w:pPr>
            <w:commentRangeStart w:id="2"/>
            <w:commentRangeStart w:id="3"/>
            <w:r w:rsidRPr="00DE0F48">
              <w:rPr>
                <w:color w:val="auto"/>
              </w:rPr>
              <w:t>Independently Fixable</w:t>
            </w:r>
            <w:commentRangeEnd w:id="2"/>
            <w:r w:rsidR="0021379E">
              <w:rPr>
                <w:rStyle w:val="CommentReference"/>
                <w:b w:val="0"/>
                <w:bCs w:val="0"/>
                <w:color w:val="auto"/>
              </w:rPr>
              <w:commentReference w:id="2"/>
            </w:r>
            <w:commentRangeEnd w:id="3"/>
            <w:r w:rsidR="004F228A">
              <w:rPr>
                <w:rStyle w:val="CommentReference"/>
                <w:b w:val="0"/>
                <w:bCs w:val="0"/>
                <w:color w:val="auto"/>
              </w:rPr>
              <w:commentReference w:id="3"/>
            </w:r>
            <w:r w:rsidR="00D85E74" w:rsidRPr="008A60F5">
              <w:rPr>
                <w:color w:val="auto"/>
              </w:rPr>
              <w:t xml:space="preserve"> Vulnerability</w:t>
            </w:r>
          </w:p>
        </w:tc>
        <w:tc>
          <w:tcPr>
            <w:tcW w:w="6533" w:type="dxa"/>
          </w:tcPr>
          <w:p w14:paraId="4313FAD3" w14:textId="4DBCFD8A" w:rsidR="00FB72C6" w:rsidRPr="00236CE7" w:rsidRDefault="00FB72C6" w:rsidP="00D85E74">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 xml:space="preserve">A </w:t>
            </w:r>
            <w:commentRangeStart w:id="4"/>
            <w:commentRangeStart w:id="5"/>
            <w:r w:rsidRPr="00236CE7">
              <w:rPr>
                <w:color w:val="auto"/>
              </w:rPr>
              <w:t>vulnerability</w:t>
            </w:r>
            <w:commentRangeEnd w:id="4"/>
            <w:r w:rsidR="0021379E" w:rsidRPr="00236CE7">
              <w:rPr>
                <w:rStyle w:val="CommentReference"/>
                <w:color w:val="auto"/>
              </w:rPr>
              <w:commentReference w:id="4"/>
            </w:r>
            <w:commentRangeEnd w:id="5"/>
            <w:r w:rsidR="004F228A">
              <w:rPr>
                <w:rStyle w:val="CommentReference"/>
                <w:color w:val="auto"/>
              </w:rPr>
              <w:commentReference w:id="5"/>
            </w:r>
            <w:r w:rsidRPr="00236CE7">
              <w:rPr>
                <w:color w:val="auto"/>
              </w:rPr>
              <w:t xml:space="preserve"> that can be </w:t>
            </w:r>
            <w:r w:rsidR="00D85E74" w:rsidRPr="00236CE7">
              <w:rPr>
                <w:color w:val="auto"/>
              </w:rPr>
              <w:t xml:space="preserve">removed from the code </w:t>
            </w:r>
            <w:r w:rsidRPr="00236CE7">
              <w:rPr>
                <w:color w:val="auto"/>
              </w:rPr>
              <w:t xml:space="preserve">such that </w:t>
            </w:r>
            <w:r w:rsidR="00586EB5" w:rsidRPr="00236CE7">
              <w:rPr>
                <w:color w:val="auto"/>
              </w:rPr>
              <w:t xml:space="preserve">the change </w:t>
            </w:r>
            <w:r w:rsidRPr="00236CE7">
              <w:rPr>
                <w:color w:val="auto"/>
              </w:rPr>
              <w:t>does not fix any other reported vulnerabilities</w:t>
            </w:r>
            <w:r w:rsidR="00D85E74" w:rsidRPr="00236CE7">
              <w:rPr>
                <w:color w:val="auto"/>
              </w:rPr>
              <w:t>.</w:t>
            </w:r>
          </w:p>
        </w:tc>
        <w:tc>
          <w:tcPr>
            <w:tcW w:w="1474" w:type="dxa"/>
          </w:tcPr>
          <w:p w14:paraId="708A3908" w14:textId="77777777" w:rsidR="00FB72C6" w:rsidRPr="00D572A6" w:rsidRDefault="00FB72C6"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CC6E82" w:rsidRPr="00CC6E82" w14:paraId="02EF1D38"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171B20E4" w14:textId="692355C2" w:rsidR="00A769C9" w:rsidRPr="00CC6E82" w:rsidRDefault="00A769C9" w:rsidP="00FB72C6">
            <w:pPr>
              <w:rPr>
                <w:color w:val="auto"/>
              </w:rPr>
            </w:pPr>
            <w:r w:rsidRPr="00CC6E82">
              <w:rPr>
                <w:color w:val="auto"/>
              </w:rPr>
              <w:t>Pre-publication</w:t>
            </w:r>
          </w:p>
        </w:tc>
        <w:tc>
          <w:tcPr>
            <w:tcW w:w="6533" w:type="dxa"/>
          </w:tcPr>
          <w:p w14:paraId="06C98726" w14:textId="0C86FF69" w:rsidR="00A769C9" w:rsidRPr="00CC6E82" w:rsidRDefault="00CC6E82" w:rsidP="00D85E74">
            <w:pPr>
              <w:cnfStyle w:val="000000100000" w:firstRow="0" w:lastRow="0" w:firstColumn="0" w:lastColumn="0" w:oddVBand="0" w:evenVBand="0" w:oddHBand="1" w:evenHBand="0" w:firstRowFirstColumn="0" w:firstRowLastColumn="0" w:lastRowFirstColumn="0" w:lastRowLastColumn="0"/>
              <w:rPr>
                <w:color w:val="auto"/>
              </w:rPr>
            </w:pPr>
            <w:r w:rsidRPr="00CC6E82">
              <w:rPr>
                <w:color w:val="auto"/>
              </w:rPr>
              <w:t>An issue that has not yet been publicly published.</w:t>
            </w:r>
          </w:p>
        </w:tc>
        <w:tc>
          <w:tcPr>
            <w:tcW w:w="1474" w:type="dxa"/>
          </w:tcPr>
          <w:p w14:paraId="7C5278BE" w14:textId="75DA6C18" w:rsidR="00A769C9" w:rsidRPr="00CC6E82" w:rsidRDefault="00A769C9" w:rsidP="00AA631C">
            <w:pPr>
              <w:cnfStyle w:val="000000100000" w:firstRow="0" w:lastRow="0" w:firstColumn="0" w:lastColumn="0" w:oddVBand="0" w:evenVBand="0" w:oddHBand="1" w:evenHBand="0" w:firstRowFirstColumn="0" w:firstRowLastColumn="0" w:lastRowFirstColumn="0" w:lastRowLastColumn="0"/>
              <w:rPr>
                <w:color w:val="auto"/>
              </w:rPr>
            </w:pPr>
            <w:r w:rsidRPr="00CC6E82">
              <w:rPr>
                <w:color w:val="auto"/>
              </w:rPr>
              <w:t>Privately Known</w:t>
            </w:r>
          </w:p>
        </w:tc>
      </w:tr>
      <w:tr w:rsidR="004D0AB6" w:rsidRPr="00D572A6" w14:paraId="5D6A36D2"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7753AF5A" w14:textId="77777777" w:rsidR="00EA317E" w:rsidRPr="008A60F5" w:rsidRDefault="00FB72C6" w:rsidP="00DE1C02">
            <w:pPr>
              <w:rPr>
                <w:i/>
                <w:color w:val="auto"/>
              </w:rPr>
            </w:pPr>
            <w:r w:rsidRPr="00DE0F48">
              <w:rPr>
                <w:color w:val="auto"/>
              </w:rPr>
              <w:t>Primary CNA</w:t>
            </w:r>
          </w:p>
        </w:tc>
        <w:tc>
          <w:tcPr>
            <w:tcW w:w="6533" w:type="dxa"/>
          </w:tcPr>
          <w:p w14:paraId="607B00B0" w14:textId="77777777" w:rsidR="00EA317E" w:rsidRPr="00236CE7" w:rsidRDefault="00FB72C6" w:rsidP="00AA631C">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O</w:t>
            </w:r>
            <w:r w:rsidR="00BB68B2" w:rsidRPr="00236CE7">
              <w:rPr>
                <w:color w:val="auto"/>
              </w:rPr>
              <w:t>rganization that o</w:t>
            </w:r>
            <w:r w:rsidR="00EA317E" w:rsidRPr="00236CE7">
              <w:rPr>
                <w:color w:val="auto"/>
              </w:rPr>
              <w:t xml:space="preserve">perates the CVE Program, manages Root CNAs, trains and admits new Root CNAs, and is the assigner of </w:t>
            </w:r>
            <w:r w:rsidR="00EA317E" w:rsidRPr="00236CE7">
              <w:rPr>
                <w:color w:val="auto"/>
              </w:rPr>
              <w:lastRenderedPageBreak/>
              <w:t>last resort for requesters that are unable to have CVEs assigned at the Sub- or Root CNA levels.</w:t>
            </w:r>
          </w:p>
        </w:tc>
        <w:tc>
          <w:tcPr>
            <w:tcW w:w="1474" w:type="dxa"/>
          </w:tcPr>
          <w:p w14:paraId="69D64D8E"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CC6E82" w:rsidRPr="00CC6E82" w14:paraId="4C2B3226"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2F79126" w14:textId="77777777" w:rsidR="006F45A4" w:rsidRPr="00CC6E82" w:rsidRDefault="006F45A4" w:rsidP="00DE1C02">
            <w:pPr>
              <w:rPr>
                <w:color w:val="auto"/>
              </w:rPr>
            </w:pPr>
            <w:r w:rsidRPr="00CC6E82">
              <w:rPr>
                <w:color w:val="auto"/>
              </w:rPr>
              <w:t>Privately Known</w:t>
            </w:r>
          </w:p>
        </w:tc>
        <w:tc>
          <w:tcPr>
            <w:tcW w:w="6533" w:type="dxa"/>
          </w:tcPr>
          <w:p w14:paraId="7E88447B" w14:textId="56C96A95" w:rsidR="006F45A4" w:rsidRPr="00CC6E82" w:rsidRDefault="00CC6E82" w:rsidP="00AA631C">
            <w:pPr>
              <w:cnfStyle w:val="000000100000" w:firstRow="0" w:lastRow="0" w:firstColumn="0" w:lastColumn="0" w:oddVBand="0" w:evenVBand="0" w:oddHBand="1" w:evenHBand="0" w:firstRowFirstColumn="0" w:firstRowLastColumn="0" w:lastRowFirstColumn="0" w:lastRowLastColumn="0"/>
              <w:rPr>
                <w:color w:val="auto"/>
              </w:rPr>
            </w:pPr>
            <w:r w:rsidRPr="00CC6E82">
              <w:rPr>
                <w:color w:val="auto"/>
              </w:rPr>
              <w:t>An issue that has not yet been publicly published.</w:t>
            </w:r>
          </w:p>
        </w:tc>
        <w:tc>
          <w:tcPr>
            <w:tcW w:w="1474" w:type="dxa"/>
          </w:tcPr>
          <w:p w14:paraId="4CB80F2E" w14:textId="14B7F9B0" w:rsidR="006F45A4" w:rsidRPr="00CC6E82" w:rsidRDefault="006F45A4" w:rsidP="00AA631C">
            <w:pPr>
              <w:cnfStyle w:val="000000100000" w:firstRow="0" w:lastRow="0" w:firstColumn="0" w:lastColumn="0" w:oddVBand="0" w:evenVBand="0" w:oddHBand="1" w:evenHBand="0" w:firstRowFirstColumn="0" w:firstRowLastColumn="0" w:lastRowFirstColumn="0" w:lastRowLastColumn="0"/>
              <w:rPr>
                <w:color w:val="auto"/>
              </w:rPr>
            </w:pPr>
            <w:r w:rsidRPr="00CC6E82">
              <w:rPr>
                <w:color w:val="auto"/>
              </w:rPr>
              <w:t>Pre-</w:t>
            </w:r>
            <w:r w:rsidR="004F228A" w:rsidRPr="00CC6E82">
              <w:rPr>
                <w:color w:val="auto"/>
              </w:rPr>
              <w:t>publication</w:t>
            </w:r>
          </w:p>
        </w:tc>
      </w:tr>
      <w:tr w:rsidR="004D0AB6" w:rsidRPr="00D572A6" w14:paraId="20D4958A"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4EC60841" w14:textId="77777777" w:rsidR="00EA317E" w:rsidRPr="008A60F5" w:rsidRDefault="00471AE2" w:rsidP="00DE1C02">
            <w:pPr>
              <w:rPr>
                <w:i/>
                <w:color w:val="auto"/>
              </w:rPr>
            </w:pPr>
            <w:r w:rsidRPr="00DE0F48">
              <w:rPr>
                <w:color w:val="auto"/>
              </w:rPr>
              <w:t>Problem Type</w:t>
            </w:r>
          </w:p>
        </w:tc>
        <w:tc>
          <w:tcPr>
            <w:tcW w:w="6533" w:type="dxa"/>
          </w:tcPr>
          <w:p w14:paraId="1E378A05" w14:textId="77777777" w:rsidR="00EA317E" w:rsidRPr="00236CE7" w:rsidRDefault="003E71B9" w:rsidP="003E71B9">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w:t>
            </w:r>
            <w:r w:rsidR="00EA317E" w:rsidRPr="00236CE7">
              <w:rPr>
                <w:color w:val="auto"/>
              </w:rPr>
              <w:t xml:space="preserve"> combination of attack model (e.g., </w:t>
            </w:r>
            <w:proofErr w:type="spellStart"/>
            <w:r w:rsidR="00EA317E" w:rsidRPr="00236CE7">
              <w:rPr>
                <w:color w:val="auto"/>
              </w:rPr>
              <w:t>symlink</w:t>
            </w:r>
            <w:proofErr w:type="spellEnd"/>
            <w:r w:rsidR="00EA317E" w:rsidRPr="00236CE7">
              <w:rPr>
                <w:color w:val="auto"/>
              </w:rPr>
              <w:t xml:space="preserve"> attack) and the type of mistake that causes the vulnerability (e.g., the product does not properly check permissions).</w:t>
            </w:r>
          </w:p>
        </w:tc>
        <w:tc>
          <w:tcPr>
            <w:tcW w:w="1474" w:type="dxa"/>
          </w:tcPr>
          <w:p w14:paraId="53B6A494"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4D0AB6" w:rsidRPr="00D572A6" w14:paraId="287E905B"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16798575" w14:textId="77777777" w:rsidR="00471AE2" w:rsidRPr="008A60F5" w:rsidRDefault="00471AE2" w:rsidP="001930F7">
            <w:pPr>
              <w:rPr>
                <w:i/>
                <w:color w:val="auto"/>
              </w:rPr>
            </w:pPr>
            <w:r w:rsidRPr="00DE0F48">
              <w:rPr>
                <w:color w:val="auto"/>
              </w:rPr>
              <w:t>Publicly A</w:t>
            </w:r>
            <w:r w:rsidRPr="008A60F5">
              <w:rPr>
                <w:color w:val="auto"/>
              </w:rPr>
              <w:t>vailable</w:t>
            </w:r>
          </w:p>
        </w:tc>
        <w:tc>
          <w:tcPr>
            <w:tcW w:w="6533" w:type="dxa"/>
          </w:tcPr>
          <w:p w14:paraId="4F01A76E" w14:textId="77777777" w:rsidR="00471AE2" w:rsidRPr="00236CE7" w:rsidRDefault="00471AE2" w:rsidP="00C018B8">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w:t>
            </w:r>
            <w:r w:rsidR="00C018B8" w:rsidRPr="00236CE7">
              <w:rPr>
                <w:color w:val="auto"/>
              </w:rPr>
              <w:t xml:space="preserve"> product that a</w:t>
            </w:r>
            <w:r w:rsidRPr="00236CE7">
              <w:rPr>
                <w:color w:val="auto"/>
              </w:rPr>
              <w:t>nyone can purchas</w:t>
            </w:r>
            <w:r w:rsidR="00C018B8" w:rsidRPr="00236CE7">
              <w:rPr>
                <w:color w:val="auto"/>
              </w:rPr>
              <w:t>e or obtain legitimate access to</w:t>
            </w:r>
            <w:r w:rsidRPr="00236CE7">
              <w:rPr>
                <w:color w:val="auto"/>
              </w:rPr>
              <w:t>. This includes freeware, shareware, open source, and commercial products.</w:t>
            </w:r>
          </w:p>
        </w:tc>
        <w:tc>
          <w:tcPr>
            <w:tcW w:w="1474" w:type="dxa"/>
          </w:tcPr>
          <w:p w14:paraId="0D80FD35" w14:textId="77777777" w:rsidR="00471AE2" w:rsidRPr="00D572A6" w:rsidRDefault="00471AE2" w:rsidP="001930F7">
            <w:pPr>
              <w:cnfStyle w:val="000000100000" w:firstRow="0" w:lastRow="0" w:firstColumn="0" w:lastColumn="0" w:oddVBand="0" w:evenVBand="0" w:oddHBand="1" w:evenHBand="0" w:firstRowFirstColumn="0" w:firstRowLastColumn="0" w:lastRowFirstColumn="0" w:lastRowLastColumn="0"/>
              <w:rPr>
                <w:color w:val="auto"/>
              </w:rPr>
            </w:pPr>
          </w:p>
        </w:tc>
      </w:tr>
      <w:tr w:rsidR="004D0AB6" w:rsidRPr="00D572A6" w14:paraId="1F89B348"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1A74AC15" w14:textId="77777777" w:rsidR="00EA317E" w:rsidRPr="008A60F5" w:rsidRDefault="00216590" w:rsidP="00DE1C02">
            <w:pPr>
              <w:rPr>
                <w:i/>
                <w:color w:val="auto"/>
              </w:rPr>
            </w:pPr>
            <w:r w:rsidRPr="00DE0F48">
              <w:rPr>
                <w:color w:val="auto"/>
              </w:rPr>
              <w:t>Publicly Known</w:t>
            </w:r>
          </w:p>
        </w:tc>
        <w:tc>
          <w:tcPr>
            <w:tcW w:w="6533" w:type="dxa"/>
          </w:tcPr>
          <w:p w14:paraId="08FA5DE0" w14:textId="66578739" w:rsidR="00EA317E" w:rsidRPr="00236CE7" w:rsidRDefault="00C018B8" w:rsidP="00447A38">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An is</w:t>
            </w:r>
            <w:r w:rsidR="00EA317E" w:rsidRPr="00236CE7">
              <w:rPr>
                <w:color w:val="auto"/>
              </w:rPr>
              <w:t xml:space="preserve">sue </w:t>
            </w:r>
            <w:r w:rsidRPr="00236CE7">
              <w:rPr>
                <w:color w:val="auto"/>
              </w:rPr>
              <w:t xml:space="preserve">that </w:t>
            </w:r>
            <w:r w:rsidR="00EA317E" w:rsidRPr="00236CE7">
              <w:rPr>
                <w:color w:val="auto"/>
              </w:rPr>
              <w:t xml:space="preserve">has been published or divulged publicly </w:t>
            </w:r>
            <w:commentRangeStart w:id="6"/>
            <w:commentRangeStart w:id="7"/>
            <w:r w:rsidR="00EA317E" w:rsidRPr="00236CE7">
              <w:rPr>
                <w:color w:val="auto"/>
              </w:rPr>
              <w:t>or is scheduled to be published by a researcher or vendor who has been in communication with the CVE Team regarding the issue).</w:t>
            </w:r>
            <w:commentRangeEnd w:id="6"/>
            <w:r w:rsidR="0021379E" w:rsidRPr="00236CE7">
              <w:rPr>
                <w:rStyle w:val="CommentReference"/>
                <w:color w:val="auto"/>
              </w:rPr>
              <w:commentReference w:id="6"/>
            </w:r>
            <w:commentRangeEnd w:id="7"/>
            <w:r w:rsidR="00E04345">
              <w:rPr>
                <w:rStyle w:val="CommentReference"/>
                <w:color w:val="auto"/>
              </w:rPr>
              <w:commentReference w:id="7"/>
            </w:r>
            <w:r w:rsidR="00447A38" w:rsidRPr="00236CE7">
              <w:rPr>
                <w:color w:val="auto"/>
              </w:rPr>
              <w:t>.</w:t>
            </w:r>
          </w:p>
        </w:tc>
        <w:tc>
          <w:tcPr>
            <w:tcW w:w="1474" w:type="dxa"/>
          </w:tcPr>
          <w:p w14:paraId="07F00F5A"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225A98" w:rsidRPr="00D572A6" w14:paraId="782756B7"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0FBF6694" w14:textId="2E49B97B" w:rsidR="00225A98" w:rsidRPr="004D0AB6" w:rsidRDefault="00225A98" w:rsidP="00DE1C02">
            <w:pPr>
              <w:rPr>
                <w:color w:val="auto"/>
              </w:rPr>
            </w:pPr>
            <w:r w:rsidRPr="004D0AB6">
              <w:rPr>
                <w:color w:val="auto"/>
              </w:rPr>
              <w:t>Reference</w:t>
            </w:r>
          </w:p>
        </w:tc>
        <w:tc>
          <w:tcPr>
            <w:tcW w:w="6533" w:type="dxa"/>
          </w:tcPr>
          <w:p w14:paraId="3ADEAD8C" w14:textId="6C13684A" w:rsidR="004C26B7" w:rsidRPr="004C26B7" w:rsidRDefault="004C26B7" w:rsidP="004C26B7">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 link to publicly known information about a vulnerability. </w:t>
            </w:r>
            <w:r w:rsidRPr="004C26B7">
              <w:rPr>
                <w:color w:val="auto"/>
              </w:rPr>
              <w:t>Each reference used in CVE has the following structure:</w:t>
            </w:r>
          </w:p>
          <w:p w14:paraId="3CCEFF94" w14:textId="0BB4B618" w:rsidR="00225A98" w:rsidRPr="00236CE7" w:rsidRDefault="004C26B7" w:rsidP="004C26B7">
            <w:pPr>
              <w:cnfStyle w:val="000000100000" w:firstRow="0" w:lastRow="0" w:firstColumn="0" w:lastColumn="0" w:oddVBand="0" w:evenVBand="0" w:oddHBand="1" w:evenHBand="0" w:firstRowFirstColumn="0" w:firstRowLastColumn="0" w:lastRowFirstColumn="0" w:lastRowLastColumn="0"/>
              <w:rPr>
                <w:color w:val="auto"/>
              </w:rPr>
            </w:pPr>
            <w:r w:rsidRPr="004C26B7">
              <w:rPr>
                <w:color w:val="auto"/>
              </w:rPr>
              <w:t>SOURCE: NAME</w:t>
            </w:r>
          </w:p>
        </w:tc>
        <w:tc>
          <w:tcPr>
            <w:tcW w:w="1474" w:type="dxa"/>
          </w:tcPr>
          <w:p w14:paraId="6C2F9300" w14:textId="77777777" w:rsidR="00225A98" w:rsidRPr="00D572A6" w:rsidRDefault="00225A98" w:rsidP="00AA631C">
            <w:pPr>
              <w:cnfStyle w:val="000000100000" w:firstRow="0" w:lastRow="0" w:firstColumn="0" w:lastColumn="0" w:oddVBand="0" w:evenVBand="0" w:oddHBand="1" w:evenHBand="0" w:firstRowFirstColumn="0" w:firstRowLastColumn="0" w:lastRowFirstColumn="0" w:lastRowLastColumn="0"/>
            </w:pPr>
          </w:p>
        </w:tc>
      </w:tr>
      <w:tr w:rsidR="00225A98" w:rsidRPr="00D572A6" w14:paraId="2BF98E48"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3E241228" w14:textId="2031F4FA" w:rsidR="00225A98" w:rsidRPr="004D0AB6" w:rsidRDefault="00225A98" w:rsidP="00DE1C02">
            <w:pPr>
              <w:rPr>
                <w:color w:val="auto"/>
              </w:rPr>
            </w:pPr>
            <w:r w:rsidRPr="004D0AB6">
              <w:rPr>
                <w:color w:val="auto"/>
              </w:rPr>
              <w:t>Repository</w:t>
            </w:r>
          </w:p>
        </w:tc>
        <w:tc>
          <w:tcPr>
            <w:tcW w:w="6533" w:type="dxa"/>
          </w:tcPr>
          <w:p w14:paraId="08D94C92" w14:textId="7B6D28C7" w:rsidR="00225A98" w:rsidRPr="00236CE7" w:rsidRDefault="004C26B7" w:rsidP="004C26B7">
            <w:pPr>
              <w:cnfStyle w:val="000000000000" w:firstRow="0" w:lastRow="0" w:firstColumn="0" w:lastColumn="0" w:oddVBand="0" w:evenVBand="0" w:oddHBand="0" w:evenHBand="0" w:firstRowFirstColumn="0" w:firstRowLastColumn="0" w:lastRowFirstColumn="0" w:lastRowLastColumn="0"/>
              <w:rPr>
                <w:color w:val="auto"/>
              </w:rPr>
            </w:pPr>
            <w:r>
              <w:rPr>
                <w:color w:val="auto"/>
              </w:rPr>
              <w:t>A</w:t>
            </w:r>
            <w:r w:rsidRPr="004C26B7">
              <w:rPr>
                <w:color w:val="auto"/>
              </w:rPr>
              <w:t xml:space="preserve">n implicit or explicit collection of security elements that supports a capability, e.g., a vulnerability database, advisory archive, the set of signatures in an intrusion detection system (IDS), or </w:t>
            </w:r>
            <w:r>
              <w:rPr>
                <w:color w:val="auto"/>
              </w:rPr>
              <w:t>w</w:t>
            </w:r>
            <w:r w:rsidRPr="004C26B7">
              <w:rPr>
                <w:color w:val="auto"/>
              </w:rPr>
              <w:t>eb site.</w:t>
            </w:r>
          </w:p>
        </w:tc>
        <w:tc>
          <w:tcPr>
            <w:tcW w:w="1474" w:type="dxa"/>
          </w:tcPr>
          <w:p w14:paraId="135B2DD2" w14:textId="084CF77A" w:rsidR="00225A98" w:rsidRPr="00D572A6" w:rsidRDefault="00225A98" w:rsidP="00AA631C">
            <w:pPr>
              <w:cnfStyle w:val="000000000000" w:firstRow="0" w:lastRow="0" w:firstColumn="0" w:lastColumn="0" w:oddVBand="0" w:evenVBand="0" w:oddHBand="0" w:evenHBand="0" w:firstRowFirstColumn="0" w:firstRowLastColumn="0" w:lastRowFirstColumn="0" w:lastRowLastColumn="0"/>
            </w:pPr>
            <w:proofErr w:type="spellStart"/>
            <w:r>
              <w:t>Git</w:t>
            </w:r>
            <w:proofErr w:type="spellEnd"/>
            <w:r>
              <w:t xml:space="preserve"> Repository</w:t>
            </w:r>
          </w:p>
        </w:tc>
      </w:tr>
      <w:tr w:rsidR="00225A98" w:rsidRPr="00D572A6" w14:paraId="43C5BE96"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4F0C7838" w14:textId="46BF2519" w:rsidR="00225A98" w:rsidRPr="004D0AB6" w:rsidRDefault="00225A98" w:rsidP="00DE1C02">
            <w:pPr>
              <w:rPr>
                <w:color w:val="auto"/>
              </w:rPr>
            </w:pPr>
            <w:r w:rsidRPr="004D0AB6">
              <w:rPr>
                <w:color w:val="auto"/>
              </w:rPr>
              <w:t>Requester</w:t>
            </w:r>
          </w:p>
        </w:tc>
        <w:tc>
          <w:tcPr>
            <w:tcW w:w="6533" w:type="dxa"/>
          </w:tcPr>
          <w:p w14:paraId="2C6CCE18" w14:textId="1F536E69" w:rsidR="00225A98" w:rsidRPr="00236CE7" w:rsidRDefault="004C26B7" w:rsidP="00447A38">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Someone who </w:t>
            </w:r>
            <w:r w:rsidRPr="004C26B7">
              <w:rPr>
                <w:color w:val="auto"/>
              </w:rPr>
              <w:t>request</w:t>
            </w:r>
            <w:r>
              <w:rPr>
                <w:color w:val="auto"/>
              </w:rPr>
              <w:t>s</w:t>
            </w:r>
            <w:r w:rsidRPr="004C26B7">
              <w:rPr>
                <w:color w:val="auto"/>
              </w:rPr>
              <w:t xml:space="preserve"> a CVE ID</w:t>
            </w:r>
            <w:r>
              <w:rPr>
                <w:color w:val="auto"/>
              </w:rPr>
              <w:t xml:space="preserve"> from a CNA.</w:t>
            </w:r>
          </w:p>
        </w:tc>
        <w:tc>
          <w:tcPr>
            <w:tcW w:w="1474" w:type="dxa"/>
          </w:tcPr>
          <w:p w14:paraId="652B28B6" w14:textId="77777777" w:rsidR="00225A98" w:rsidRPr="00D572A6" w:rsidRDefault="00225A98" w:rsidP="00AA631C">
            <w:pPr>
              <w:cnfStyle w:val="000000100000" w:firstRow="0" w:lastRow="0" w:firstColumn="0" w:lastColumn="0" w:oddVBand="0" w:evenVBand="0" w:oddHBand="1" w:evenHBand="0" w:firstRowFirstColumn="0" w:firstRowLastColumn="0" w:lastRowFirstColumn="0" w:lastRowLastColumn="0"/>
            </w:pPr>
          </w:p>
        </w:tc>
      </w:tr>
      <w:tr w:rsidR="004D0AB6" w:rsidRPr="00D572A6" w14:paraId="6CEE2591"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00AFA4DB" w14:textId="77777777" w:rsidR="00EA317E" w:rsidRPr="008A60F5" w:rsidRDefault="00BB68B2" w:rsidP="00DE1C02">
            <w:pPr>
              <w:rPr>
                <w:i/>
                <w:color w:val="auto"/>
              </w:rPr>
            </w:pPr>
            <w:r w:rsidRPr="00DE0F48">
              <w:rPr>
                <w:color w:val="auto"/>
              </w:rPr>
              <w:t>Root CNA</w:t>
            </w:r>
          </w:p>
        </w:tc>
        <w:tc>
          <w:tcPr>
            <w:tcW w:w="6533" w:type="dxa"/>
          </w:tcPr>
          <w:p w14:paraId="6D5414E9" w14:textId="77777777" w:rsidR="00EA317E" w:rsidRPr="00236CE7" w:rsidRDefault="00BB68B2" w:rsidP="00BB68B2">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Organization that m</w:t>
            </w:r>
            <w:r w:rsidR="00EA317E" w:rsidRPr="00236CE7">
              <w:rPr>
                <w:color w:val="auto"/>
              </w:rPr>
              <w:t>anage</w:t>
            </w:r>
            <w:r w:rsidRPr="00236CE7">
              <w:rPr>
                <w:color w:val="auto"/>
              </w:rPr>
              <w:t>s</w:t>
            </w:r>
            <w:r w:rsidR="00EA317E" w:rsidRPr="00236CE7">
              <w:rPr>
                <w:color w:val="auto"/>
              </w:rPr>
              <w:t xml:space="preserve"> a group of Sub-CNAs within a given domain or community, train and admit new Sub-CNAs, and are the assigners of last resort within that domain or community.</w:t>
            </w:r>
          </w:p>
        </w:tc>
        <w:tc>
          <w:tcPr>
            <w:tcW w:w="1474" w:type="dxa"/>
          </w:tcPr>
          <w:p w14:paraId="4DB3270E"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4D0AB6" w:rsidRPr="00D572A6" w14:paraId="6CFAE7D2"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07241195" w14:textId="77777777" w:rsidR="00EA317E" w:rsidRPr="008A60F5" w:rsidRDefault="00216590" w:rsidP="00DE1C02">
            <w:pPr>
              <w:rPr>
                <w:i/>
                <w:color w:val="auto"/>
              </w:rPr>
            </w:pPr>
            <w:r w:rsidRPr="00DE0F48">
              <w:rPr>
                <w:color w:val="auto"/>
              </w:rPr>
              <w:t>Scope</w:t>
            </w:r>
          </w:p>
        </w:tc>
        <w:tc>
          <w:tcPr>
            <w:tcW w:w="6533" w:type="dxa"/>
          </w:tcPr>
          <w:p w14:paraId="0DC335CF" w14:textId="77777777" w:rsidR="00EA317E" w:rsidRPr="00236CE7" w:rsidRDefault="00216590" w:rsidP="00216590">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w:t>
            </w:r>
            <w:r w:rsidR="00EA317E" w:rsidRPr="00236CE7">
              <w:rPr>
                <w:color w:val="auto"/>
              </w:rPr>
              <w:t xml:space="preserve"> given CNA</w:t>
            </w:r>
            <w:r w:rsidRPr="00236CE7">
              <w:rPr>
                <w:color w:val="auto"/>
              </w:rPr>
              <w:t>’</w:t>
            </w:r>
            <w:r w:rsidR="00EA317E" w:rsidRPr="00236CE7">
              <w:rPr>
                <w:color w:val="auto"/>
              </w:rPr>
              <w:t>s</w:t>
            </w:r>
            <w:r w:rsidRPr="00236CE7">
              <w:rPr>
                <w:color w:val="auto"/>
              </w:rPr>
              <w:t xml:space="preserve"> </w:t>
            </w:r>
            <w:r w:rsidR="00EA317E" w:rsidRPr="00236CE7">
              <w:rPr>
                <w:color w:val="auto"/>
              </w:rPr>
              <w:t>products or domain of responsibility.</w:t>
            </w:r>
          </w:p>
        </w:tc>
        <w:tc>
          <w:tcPr>
            <w:tcW w:w="1474" w:type="dxa"/>
          </w:tcPr>
          <w:p w14:paraId="14F3EDEA"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225A98" w:rsidRPr="00D572A6" w14:paraId="22EAB3F0"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3193BCFD" w14:textId="02AC8341" w:rsidR="00225A98" w:rsidRPr="004D0AB6" w:rsidRDefault="00225A98" w:rsidP="00DE1C02">
            <w:pPr>
              <w:rPr>
                <w:color w:val="auto"/>
              </w:rPr>
            </w:pPr>
            <w:r w:rsidRPr="004D0AB6">
              <w:rPr>
                <w:color w:val="auto"/>
              </w:rPr>
              <w:t>Software</w:t>
            </w:r>
          </w:p>
        </w:tc>
        <w:tc>
          <w:tcPr>
            <w:tcW w:w="6533" w:type="dxa"/>
          </w:tcPr>
          <w:p w14:paraId="0BC60EDB" w14:textId="5A69B9E9" w:rsidR="00225A98" w:rsidRPr="00236CE7" w:rsidRDefault="002E4A3A" w:rsidP="00216590">
            <w:pPr>
              <w:cnfStyle w:val="000000000000" w:firstRow="0" w:lastRow="0" w:firstColumn="0" w:lastColumn="0" w:oddVBand="0" w:evenVBand="0" w:oddHBand="0" w:evenHBand="0" w:firstRowFirstColumn="0" w:firstRowLastColumn="0" w:lastRowFirstColumn="0" w:lastRowLastColumn="0"/>
              <w:rPr>
                <w:color w:val="auto"/>
              </w:rPr>
            </w:pPr>
            <w:r>
              <w:rPr>
                <w:color w:val="auto"/>
              </w:rPr>
              <w:t>P</w:t>
            </w:r>
            <w:r w:rsidRPr="002E4A3A">
              <w:rPr>
                <w:color w:val="auto"/>
              </w:rPr>
              <w:t>rograms and other operating information used by a computer</w:t>
            </w:r>
            <w:r w:rsidR="00FB42D1">
              <w:rPr>
                <w:color w:val="auto"/>
              </w:rPr>
              <w:t xml:space="preserve"> </w:t>
            </w:r>
            <w:proofErr w:type="spellStart"/>
            <w:r w:rsidR="00FB42D1">
              <w:rPr>
                <w:color w:val="auto"/>
              </w:rPr>
              <w:t>ro</w:t>
            </w:r>
            <w:proofErr w:type="spellEnd"/>
            <w:r w:rsidR="00FB42D1">
              <w:rPr>
                <w:color w:val="auto"/>
              </w:rPr>
              <w:t xml:space="preserve"> computer system</w:t>
            </w:r>
            <w:r w:rsidRPr="002E4A3A">
              <w:rPr>
                <w:color w:val="auto"/>
              </w:rPr>
              <w:t>.</w:t>
            </w:r>
            <w:r w:rsidR="00FB42D1">
              <w:rPr>
                <w:color w:val="auto"/>
              </w:rPr>
              <w:t xml:space="preserve"> </w:t>
            </w:r>
            <w:r w:rsidR="00FB42D1" w:rsidRPr="00FB42D1">
              <w:rPr>
                <w:color w:val="auto"/>
              </w:rPr>
              <w:t>talking about everything from a word processor to a IoT device.</w:t>
            </w:r>
          </w:p>
        </w:tc>
        <w:tc>
          <w:tcPr>
            <w:tcW w:w="1474" w:type="dxa"/>
          </w:tcPr>
          <w:p w14:paraId="48348BF9" w14:textId="77777777" w:rsidR="00225A98" w:rsidRPr="00D572A6" w:rsidRDefault="00225A98" w:rsidP="00AA631C">
            <w:pPr>
              <w:cnfStyle w:val="000000000000" w:firstRow="0" w:lastRow="0" w:firstColumn="0" w:lastColumn="0" w:oddVBand="0" w:evenVBand="0" w:oddHBand="0" w:evenHBand="0" w:firstRowFirstColumn="0" w:firstRowLastColumn="0" w:lastRowFirstColumn="0" w:lastRowLastColumn="0"/>
            </w:pPr>
          </w:p>
        </w:tc>
      </w:tr>
      <w:tr w:rsidR="004D0AB6" w:rsidRPr="00D572A6" w14:paraId="2876FDBA"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709C5DDE" w14:textId="77777777" w:rsidR="00EA317E" w:rsidRPr="008A60F5" w:rsidRDefault="00216590" w:rsidP="00DE1C02">
            <w:pPr>
              <w:rPr>
                <w:i/>
                <w:color w:val="auto"/>
              </w:rPr>
            </w:pPr>
            <w:r w:rsidRPr="00DE0F48">
              <w:rPr>
                <w:color w:val="auto"/>
              </w:rPr>
              <w:t>Software Package</w:t>
            </w:r>
          </w:p>
        </w:tc>
        <w:tc>
          <w:tcPr>
            <w:tcW w:w="6533" w:type="dxa"/>
          </w:tcPr>
          <w:p w14:paraId="39CA1425" w14:textId="77777777" w:rsidR="00EA317E" w:rsidRPr="00236CE7" w:rsidRDefault="00EA317E" w:rsidP="00216590">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 collection of separate, self-contained software components that are distributed as a single, monolithic object.</w:t>
            </w:r>
          </w:p>
        </w:tc>
        <w:tc>
          <w:tcPr>
            <w:tcW w:w="1474" w:type="dxa"/>
          </w:tcPr>
          <w:p w14:paraId="1873AB15"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225A98" w:rsidRPr="00D572A6" w14:paraId="1146D26B"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77F08BC7" w14:textId="77777777" w:rsidR="00EA317E" w:rsidRPr="008A60F5" w:rsidRDefault="00216590" w:rsidP="00DE1C02">
            <w:pPr>
              <w:rPr>
                <w:i/>
                <w:color w:val="auto"/>
              </w:rPr>
            </w:pPr>
            <w:r w:rsidRPr="00DE0F48">
              <w:rPr>
                <w:color w:val="auto"/>
              </w:rPr>
              <w:t>Software Product</w:t>
            </w:r>
          </w:p>
        </w:tc>
        <w:tc>
          <w:tcPr>
            <w:tcW w:w="6533" w:type="dxa"/>
          </w:tcPr>
          <w:p w14:paraId="622F4EDF" w14:textId="77777777" w:rsidR="00EA317E" w:rsidRPr="00236CE7" w:rsidRDefault="00216590" w:rsidP="00216590">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w:t>
            </w:r>
            <w:r w:rsidR="00EA317E" w:rsidRPr="00236CE7">
              <w:rPr>
                <w:color w:val="auto"/>
              </w:rPr>
              <w:t xml:space="preserve"> collection of </w:t>
            </w:r>
            <w:commentRangeStart w:id="8"/>
            <w:commentRangeStart w:id="9"/>
            <w:r w:rsidR="00EA317E" w:rsidRPr="00236CE7">
              <w:rPr>
                <w:color w:val="auto"/>
              </w:rPr>
              <w:t xml:space="preserve">installable </w:t>
            </w:r>
            <w:commentRangeEnd w:id="8"/>
            <w:r w:rsidR="0084263D" w:rsidRPr="00236CE7">
              <w:rPr>
                <w:rStyle w:val="CommentReference"/>
                <w:color w:val="auto"/>
              </w:rPr>
              <w:commentReference w:id="8"/>
            </w:r>
            <w:commentRangeEnd w:id="9"/>
            <w:r w:rsidR="00FB42D1">
              <w:rPr>
                <w:rStyle w:val="CommentReference"/>
                <w:color w:val="auto"/>
              </w:rPr>
              <w:commentReference w:id="9"/>
            </w:r>
            <w:r w:rsidR="00EA317E" w:rsidRPr="00236CE7">
              <w:rPr>
                <w:color w:val="auto"/>
              </w:rPr>
              <w:t>software distributed under a unique name by a particular vendor or development project.</w:t>
            </w:r>
          </w:p>
        </w:tc>
        <w:tc>
          <w:tcPr>
            <w:tcW w:w="1474" w:type="dxa"/>
          </w:tcPr>
          <w:p w14:paraId="4BF1AB56" w14:textId="77777777" w:rsidR="00EA317E" w:rsidRPr="00D572A6" w:rsidRDefault="00EA317E" w:rsidP="00AA631C">
            <w:pPr>
              <w:cnfStyle w:val="000000000000" w:firstRow="0" w:lastRow="0" w:firstColumn="0" w:lastColumn="0" w:oddVBand="0" w:evenVBand="0" w:oddHBand="0" w:evenHBand="0" w:firstRowFirstColumn="0" w:firstRowLastColumn="0" w:lastRowFirstColumn="0" w:lastRowLastColumn="0"/>
              <w:rPr>
                <w:color w:val="auto"/>
              </w:rPr>
            </w:pPr>
          </w:p>
        </w:tc>
      </w:tr>
      <w:tr w:rsidR="004D0AB6" w:rsidRPr="00D572A6" w14:paraId="6BCDE83D"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650313FB" w14:textId="77777777" w:rsidR="00EA317E" w:rsidRPr="008A60F5" w:rsidRDefault="00956DAF" w:rsidP="00DE1C02">
            <w:pPr>
              <w:rPr>
                <w:i/>
                <w:color w:val="auto"/>
              </w:rPr>
            </w:pPr>
            <w:r w:rsidRPr="00DE0F48">
              <w:rPr>
                <w:color w:val="auto"/>
              </w:rPr>
              <w:t>Software Version</w:t>
            </w:r>
          </w:p>
        </w:tc>
        <w:tc>
          <w:tcPr>
            <w:tcW w:w="6533" w:type="dxa"/>
          </w:tcPr>
          <w:p w14:paraId="42227E77" w14:textId="77777777" w:rsidR="00EA317E" w:rsidRPr="00236CE7" w:rsidRDefault="00EA317E" w:rsidP="00956DAF">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 unique name for a particular revision of computer software. This includes commit IDs and other versioning identifiers. Within the CVE process, the specific version or versions affected by a vulnerability are key factors in the counting process.</w:t>
            </w:r>
          </w:p>
        </w:tc>
        <w:tc>
          <w:tcPr>
            <w:tcW w:w="1474" w:type="dxa"/>
          </w:tcPr>
          <w:p w14:paraId="405A85DB"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225A98" w:rsidRPr="00D572A6" w14:paraId="7E486980"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0BD05A1F" w14:textId="5CDF1D3D" w:rsidR="00225A98" w:rsidRPr="004D0AB6" w:rsidRDefault="00225A98" w:rsidP="00DE1C02">
            <w:pPr>
              <w:rPr>
                <w:color w:val="auto"/>
              </w:rPr>
            </w:pPr>
            <w:r w:rsidRPr="004D0AB6">
              <w:rPr>
                <w:color w:val="auto"/>
              </w:rPr>
              <w:t>Source</w:t>
            </w:r>
          </w:p>
        </w:tc>
        <w:tc>
          <w:tcPr>
            <w:tcW w:w="6533" w:type="dxa"/>
          </w:tcPr>
          <w:p w14:paraId="531E0B43" w14:textId="114BDC7D" w:rsidR="00225A98" w:rsidRPr="00236CE7" w:rsidRDefault="002E4A3A" w:rsidP="002E4A3A">
            <w:pPr>
              <w:cnfStyle w:val="000000000000" w:firstRow="0" w:lastRow="0" w:firstColumn="0" w:lastColumn="0" w:oddVBand="0" w:evenVBand="0" w:oddHBand="0" w:evenHBand="0" w:firstRowFirstColumn="0" w:firstRowLastColumn="0" w:lastRowFirstColumn="0" w:lastRowLastColumn="0"/>
              <w:rPr>
                <w:color w:val="auto"/>
              </w:rPr>
            </w:pPr>
            <w:r>
              <w:rPr>
                <w:color w:val="auto"/>
              </w:rPr>
              <w:t>D</w:t>
            </w:r>
            <w:r w:rsidRPr="002E4A3A">
              <w:rPr>
                <w:color w:val="auto"/>
              </w:rPr>
              <w:t>isclose</w:t>
            </w:r>
            <w:r>
              <w:rPr>
                <w:color w:val="auto"/>
              </w:rPr>
              <w:t>r of</w:t>
            </w:r>
            <w:r w:rsidRPr="002E4A3A">
              <w:rPr>
                <w:color w:val="auto"/>
              </w:rPr>
              <w:t xml:space="preserve"> vulnerability information</w:t>
            </w:r>
            <w:r>
              <w:rPr>
                <w:color w:val="auto"/>
              </w:rPr>
              <w:t>. A</w:t>
            </w:r>
            <w:r w:rsidRPr="002E4A3A">
              <w:rPr>
                <w:color w:val="auto"/>
              </w:rPr>
              <w:t>ssociated with a vendor or primary maintainer of a product or set of products</w:t>
            </w:r>
            <w:r>
              <w:rPr>
                <w:color w:val="auto"/>
              </w:rPr>
              <w:t xml:space="preserve">; or </w:t>
            </w:r>
            <w:r w:rsidRPr="002E4A3A">
              <w:rPr>
                <w:color w:val="auto"/>
              </w:rPr>
              <w:t>vulnerability databases, mailing lists</w:t>
            </w:r>
            <w:r>
              <w:rPr>
                <w:color w:val="auto"/>
              </w:rPr>
              <w:t>,</w:t>
            </w:r>
            <w:r w:rsidRPr="002E4A3A">
              <w:rPr>
                <w:color w:val="auto"/>
              </w:rPr>
              <w:t xml:space="preserve"> and advisories from coordination centers, which tend to disclose vulnerability information from many different vendors.</w:t>
            </w:r>
          </w:p>
        </w:tc>
        <w:tc>
          <w:tcPr>
            <w:tcW w:w="1474" w:type="dxa"/>
          </w:tcPr>
          <w:p w14:paraId="42A2E56D" w14:textId="77777777" w:rsidR="00225A98" w:rsidRPr="00D572A6" w:rsidRDefault="00225A98" w:rsidP="00AA631C">
            <w:pPr>
              <w:cnfStyle w:val="000000000000" w:firstRow="0" w:lastRow="0" w:firstColumn="0" w:lastColumn="0" w:oddVBand="0" w:evenVBand="0" w:oddHBand="0" w:evenHBand="0" w:firstRowFirstColumn="0" w:firstRowLastColumn="0" w:lastRowFirstColumn="0" w:lastRowLastColumn="0"/>
            </w:pPr>
          </w:p>
        </w:tc>
      </w:tr>
      <w:tr w:rsidR="00225A98" w:rsidRPr="00D572A6" w14:paraId="4B10839A"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55536984" w14:textId="77777777" w:rsidR="00EA317E" w:rsidRPr="008A60F5" w:rsidRDefault="00BB68B2" w:rsidP="00DE1C02">
            <w:pPr>
              <w:rPr>
                <w:i/>
                <w:color w:val="auto"/>
              </w:rPr>
            </w:pPr>
            <w:r w:rsidRPr="00DE0F48">
              <w:rPr>
                <w:color w:val="auto"/>
              </w:rPr>
              <w:t>Sub-CNA</w:t>
            </w:r>
          </w:p>
        </w:tc>
        <w:tc>
          <w:tcPr>
            <w:tcW w:w="6533" w:type="dxa"/>
          </w:tcPr>
          <w:p w14:paraId="7C03C271" w14:textId="77777777" w:rsidR="00EA317E" w:rsidRPr="00236CE7" w:rsidRDefault="00BB68B2" w:rsidP="00BB68B2">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Organization that a</w:t>
            </w:r>
            <w:r w:rsidR="00EA317E" w:rsidRPr="00236CE7">
              <w:rPr>
                <w:color w:val="auto"/>
              </w:rPr>
              <w:t>ssign</w:t>
            </w:r>
            <w:r w:rsidRPr="00236CE7">
              <w:rPr>
                <w:color w:val="auto"/>
              </w:rPr>
              <w:t>s</w:t>
            </w:r>
            <w:r w:rsidR="00EA317E" w:rsidRPr="00236CE7">
              <w:rPr>
                <w:color w:val="auto"/>
              </w:rPr>
              <w:t xml:space="preserve"> CVEs for vulnerabilities in their scope, and operate under the management of Root CNAs.</w:t>
            </w:r>
          </w:p>
        </w:tc>
        <w:tc>
          <w:tcPr>
            <w:tcW w:w="1474" w:type="dxa"/>
          </w:tcPr>
          <w:p w14:paraId="374772EB"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r w:rsidR="00225A98" w:rsidRPr="00D572A6" w14:paraId="0279D91E" w14:textId="77777777" w:rsidTr="00C65CF5">
        <w:tc>
          <w:tcPr>
            <w:cnfStyle w:val="001000000000" w:firstRow="0" w:lastRow="0" w:firstColumn="1" w:lastColumn="0" w:oddVBand="0" w:evenVBand="0" w:oddHBand="0" w:evenHBand="0" w:firstRowFirstColumn="0" w:firstRowLastColumn="0" w:lastRowFirstColumn="0" w:lastRowLastColumn="0"/>
            <w:tcW w:w="1817" w:type="dxa"/>
          </w:tcPr>
          <w:p w14:paraId="539589CE" w14:textId="57C477CA" w:rsidR="00EA317E" w:rsidRPr="008A60F5" w:rsidRDefault="00956DAF" w:rsidP="00DE1C02">
            <w:pPr>
              <w:rPr>
                <w:i/>
                <w:color w:val="auto"/>
              </w:rPr>
            </w:pPr>
            <w:commentRangeStart w:id="10"/>
            <w:commentRangeStart w:id="11"/>
            <w:commentRangeStart w:id="12"/>
            <w:commentRangeStart w:id="13"/>
            <w:r w:rsidRPr="00DE0F48">
              <w:rPr>
                <w:color w:val="auto"/>
              </w:rPr>
              <w:t>U.S. Information Technology (IT) Sector</w:t>
            </w:r>
            <w:commentRangeEnd w:id="10"/>
            <w:r w:rsidR="0021379E">
              <w:rPr>
                <w:rStyle w:val="CommentReference"/>
                <w:b w:val="0"/>
                <w:bCs w:val="0"/>
                <w:color w:val="auto"/>
              </w:rPr>
              <w:commentReference w:id="10"/>
            </w:r>
            <w:commentRangeEnd w:id="12"/>
            <w:r w:rsidR="00AF3ACC">
              <w:rPr>
                <w:rStyle w:val="CommentReference"/>
                <w:b w:val="0"/>
                <w:bCs w:val="0"/>
                <w:color w:val="auto"/>
              </w:rPr>
              <w:commentReference w:id="12"/>
            </w:r>
          </w:p>
        </w:tc>
        <w:tc>
          <w:tcPr>
            <w:tcW w:w="6533" w:type="dxa"/>
          </w:tcPr>
          <w:p w14:paraId="2AD47C07" w14:textId="77777777" w:rsidR="00EA317E" w:rsidRPr="00236CE7" w:rsidRDefault="003E71B9" w:rsidP="003E71B9">
            <w:pPr>
              <w:cnfStyle w:val="000000000000" w:firstRow="0" w:lastRow="0" w:firstColumn="0" w:lastColumn="0" w:oddVBand="0" w:evenVBand="0" w:oddHBand="0" w:evenHBand="0" w:firstRowFirstColumn="0" w:firstRowLastColumn="0" w:lastRowFirstColumn="0" w:lastRowLastColumn="0"/>
              <w:rPr>
                <w:color w:val="auto"/>
              </w:rPr>
            </w:pPr>
            <w:r w:rsidRPr="00236CE7">
              <w:rPr>
                <w:color w:val="auto"/>
              </w:rPr>
              <w:t>A sector d</w:t>
            </w:r>
            <w:r w:rsidR="00EA317E" w:rsidRPr="00236CE7">
              <w:rPr>
                <w:color w:val="auto"/>
              </w:rPr>
              <w:t xml:space="preserve">efined by a set of functions performed by the entities that comprise </w:t>
            </w:r>
            <w:r w:rsidRPr="00236CE7">
              <w:rPr>
                <w:color w:val="auto"/>
              </w:rPr>
              <w:t>it</w:t>
            </w:r>
            <w:r w:rsidR="00EA317E" w:rsidRPr="00236CE7">
              <w:rPr>
                <w:color w:val="auto"/>
              </w:rPr>
              <w:t xml:space="preserve">. Those functions provide: a) IT products and services; b) incident management capabilities; c) domain name resolution services; d) identity management and associated trust </w:t>
            </w:r>
            <w:r w:rsidR="00EA317E" w:rsidRPr="00236CE7">
              <w:rPr>
                <w:color w:val="auto"/>
              </w:rPr>
              <w:lastRenderedPageBreak/>
              <w:t>support services; e) Internet-based content, information, and communications services; and f) Internet routing, access, and connection services.</w:t>
            </w:r>
          </w:p>
        </w:tc>
        <w:commentRangeEnd w:id="11"/>
        <w:tc>
          <w:tcPr>
            <w:tcW w:w="1474" w:type="dxa"/>
          </w:tcPr>
          <w:p w14:paraId="34A6EA5E" w14:textId="77777777" w:rsidR="00EA317E" w:rsidRPr="00D572A6" w:rsidRDefault="0084263D" w:rsidP="00AA631C">
            <w:pPr>
              <w:cnfStyle w:val="000000000000" w:firstRow="0" w:lastRow="0" w:firstColumn="0" w:lastColumn="0" w:oddVBand="0" w:evenVBand="0" w:oddHBand="0" w:evenHBand="0" w:firstRowFirstColumn="0" w:firstRowLastColumn="0" w:lastRowFirstColumn="0" w:lastRowLastColumn="0"/>
              <w:rPr>
                <w:color w:val="auto"/>
              </w:rPr>
            </w:pPr>
            <w:r>
              <w:rPr>
                <w:rStyle w:val="CommentReference"/>
                <w:color w:val="auto"/>
              </w:rPr>
              <w:lastRenderedPageBreak/>
              <w:commentReference w:id="11"/>
            </w:r>
            <w:r w:rsidR="00AF3ACC">
              <w:rPr>
                <w:rStyle w:val="CommentReference"/>
                <w:color w:val="auto"/>
              </w:rPr>
              <w:commentReference w:id="13"/>
            </w:r>
          </w:p>
        </w:tc>
      </w:tr>
      <w:tr w:rsidR="00225A98" w:rsidRPr="00D572A6" w14:paraId="173AD30B" w14:textId="77777777" w:rsidTr="00C6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dxa"/>
          </w:tcPr>
          <w:p w14:paraId="178AF385" w14:textId="21C3285C" w:rsidR="00EA317E" w:rsidRPr="008A60F5" w:rsidRDefault="00956DAF" w:rsidP="00DE1C02">
            <w:pPr>
              <w:rPr>
                <w:i/>
                <w:color w:val="auto"/>
              </w:rPr>
            </w:pPr>
            <w:commentRangeStart w:id="14"/>
            <w:commentRangeStart w:id="15"/>
            <w:commentRangeEnd w:id="13"/>
            <w:r w:rsidRPr="00DE0F48">
              <w:rPr>
                <w:color w:val="auto"/>
              </w:rPr>
              <w:t>Vulnerability</w:t>
            </w:r>
            <w:commentRangeEnd w:id="14"/>
            <w:r w:rsidR="0021379E">
              <w:rPr>
                <w:rStyle w:val="CommentReference"/>
                <w:b w:val="0"/>
                <w:bCs w:val="0"/>
                <w:color w:val="auto"/>
              </w:rPr>
              <w:commentReference w:id="14"/>
            </w:r>
            <w:commentRangeEnd w:id="15"/>
            <w:r w:rsidR="00AF3ACC">
              <w:rPr>
                <w:rStyle w:val="CommentReference"/>
                <w:b w:val="0"/>
                <w:bCs w:val="0"/>
                <w:color w:val="auto"/>
              </w:rPr>
              <w:commentReference w:id="15"/>
            </w:r>
          </w:p>
        </w:tc>
        <w:tc>
          <w:tcPr>
            <w:tcW w:w="6533" w:type="dxa"/>
          </w:tcPr>
          <w:p w14:paraId="48AD01D2" w14:textId="77777777" w:rsidR="00EA317E" w:rsidRPr="00236CE7" w:rsidRDefault="003E71B9" w:rsidP="003E71B9">
            <w:pPr>
              <w:cnfStyle w:val="000000100000" w:firstRow="0" w:lastRow="0" w:firstColumn="0" w:lastColumn="0" w:oddVBand="0" w:evenVBand="0" w:oddHBand="1" w:evenHBand="0" w:firstRowFirstColumn="0" w:firstRowLastColumn="0" w:lastRowFirstColumn="0" w:lastRowLastColumn="0"/>
              <w:rPr>
                <w:color w:val="auto"/>
              </w:rPr>
            </w:pPr>
            <w:r w:rsidRPr="00236CE7">
              <w:rPr>
                <w:color w:val="auto"/>
              </w:rPr>
              <w:t>A</w:t>
            </w:r>
            <w:r w:rsidR="00EA317E" w:rsidRPr="00236CE7">
              <w:rPr>
                <w:color w:val="auto"/>
              </w:rPr>
              <w:t xml:space="preserve"> weakness in the computational logic (e.g., code) found in software and some hardware components (e.g., firmware) 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tc>
        <w:tc>
          <w:tcPr>
            <w:tcW w:w="1474" w:type="dxa"/>
          </w:tcPr>
          <w:p w14:paraId="302BB13A" w14:textId="77777777" w:rsidR="00EA317E" w:rsidRPr="00D572A6" w:rsidRDefault="00EA317E" w:rsidP="00AA631C">
            <w:pPr>
              <w:cnfStyle w:val="000000100000" w:firstRow="0" w:lastRow="0" w:firstColumn="0" w:lastColumn="0" w:oddVBand="0" w:evenVBand="0" w:oddHBand="1" w:evenHBand="0" w:firstRowFirstColumn="0" w:firstRowLastColumn="0" w:lastRowFirstColumn="0" w:lastRowLastColumn="0"/>
              <w:rPr>
                <w:color w:val="auto"/>
              </w:rPr>
            </w:pPr>
          </w:p>
        </w:tc>
      </w:tr>
    </w:tbl>
    <w:p w14:paraId="46BEFFB9" w14:textId="77777777" w:rsidR="00CA2EB4" w:rsidRPr="00D572A6" w:rsidRDefault="0082704B" w:rsidP="003929F5"/>
    <w:p w14:paraId="286534ED" w14:textId="77777777" w:rsidR="008736D3" w:rsidRPr="00D572A6" w:rsidRDefault="008736D3" w:rsidP="003929F5"/>
    <w:sectPr w:rsidR="008736D3" w:rsidRPr="00D572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s, Jonathan L." w:date="2017-01-18T08:24:00Z" w:initials="EJL">
    <w:p w14:paraId="6F8CB86E" w14:textId="14F05351" w:rsidR="004F228A" w:rsidRDefault="0021379E">
      <w:pPr>
        <w:pStyle w:val="CommentText"/>
      </w:pPr>
      <w:r>
        <w:rPr>
          <w:rStyle w:val="CommentReference"/>
        </w:rPr>
        <w:annotationRef/>
      </w:r>
      <w:r>
        <w:t>Is this necessary?  Where do we use it?</w:t>
      </w:r>
    </w:p>
  </w:comment>
  <w:comment w:id="1" w:author="Bergeron, Tiffany" w:date="2017-01-24T11:27:00Z" w:initials="BT">
    <w:p w14:paraId="70CE579C" w14:textId="6DDBB719" w:rsidR="004F228A" w:rsidRDefault="004F228A">
      <w:pPr>
        <w:pStyle w:val="CommentText"/>
      </w:pPr>
      <w:r>
        <w:rPr>
          <w:rStyle w:val="CommentReference"/>
        </w:rPr>
        <w:annotationRef/>
      </w:r>
      <w:r>
        <w:t xml:space="preserve">It was in the </w:t>
      </w:r>
      <w:r w:rsidRPr="004F228A">
        <w:t>A</w:t>
      </w:r>
      <w:r>
        <w:t xml:space="preserve">ppendix A of CNA Rules v1.1 (4): </w:t>
      </w:r>
      <w:hyperlink r:id="rId1" w:history="1">
        <w:r>
          <w:rPr>
            <w:rStyle w:val="Hyperlink"/>
            <w:rFonts w:ascii="Times" w:hAnsi="Times" w:cs="Times"/>
          </w:rPr>
          <w:t>http://cveproject.github.io/docs/cna/CNA%20Rules%20v1.1.docx</w:t>
        </w:r>
      </w:hyperlink>
      <w:r>
        <w:t xml:space="preserve"> </w:t>
      </w:r>
    </w:p>
  </w:comment>
  <w:comment w:id="2" w:author="Evans, Jonathan L." w:date="2017-01-18T08:25:00Z" w:initials="EJL">
    <w:p w14:paraId="6EB44717" w14:textId="77777777" w:rsidR="0021379E" w:rsidRDefault="0021379E">
      <w:pPr>
        <w:pStyle w:val="CommentText"/>
      </w:pPr>
      <w:r>
        <w:rPr>
          <w:rStyle w:val="CommentReference"/>
        </w:rPr>
        <w:annotationRef/>
      </w:r>
      <w:r>
        <w:t>I don’t think we need a definition for this.  “Independently fixable” is short hand for CNT1.  It is not meant to be an independent term.</w:t>
      </w:r>
    </w:p>
  </w:comment>
  <w:comment w:id="3" w:author="Bergeron, Tiffany" w:date="2017-01-24T11:30:00Z" w:initials="BT">
    <w:p w14:paraId="7A21C14E" w14:textId="2D812526" w:rsidR="004F228A" w:rsidRDefault="004F228A">
      <w:pPr>
        <w:pStyle w:val="CommentText"/>
      </w:pPr>
      <w:r>
        <w:rPr>
          <w:rStyle w:val="CommentReference"/>
        </w:rPr>
        <w:annotationRef/>
      </w:r>
      <w:r>
        <w:t xml:space="preserve">It was in the </w:t>
      </w:r>
      <w:r w:rsidRPr="004F228A">
        <w:t>A</w:t>
      </w:r>
      <w:r>
        <w:t xml:space="preserve">ppendix A of CNA Rules v1.1 (4): </w:t>
      </w:r>
      <w:hyperlink r:id="rId2" w:history="1">
        <w:r>
          <w:rPr>
            <w:rStyle w:val="Hyperlink"/>
            <w:rFonts w:ascii="Times" w:hAnsi="Times" w:cs="Times"/>
          </w:rPr>
          <w:t>http://cveproject.github.io/docs/cna/CNA%20Rules%20v1.1.docx</w:t>
        </w:r>
      </w:hyperlink>
      <w:r>
        <w:t xml:space="preserve"> </w:t>
      </w:r>
    </w:p>
  </w:comment>
  <w:comment w:id="4" w:author="Evans, Jonathan L." w:date="2017-01-18T08:27:00Z" w:initials="EJL">
    <w:p w14:paraId="5B694671" w14:textId="77777777" w:rsidR="0021379E" w:rsidRDefault="0021379E">
      <w:pPr>
        <w:pStyle w:val="CommentText"/>
      </w:pPr>
      <w:r>
        <w:rPr>
          <w:rStyle w:val="CommentReference"/>
        </w:rPr>
        <w:annotationRef/>
      </w:r>
      <w:r>
        <w:t>In the counting rules, I believe we say “bug,” as it has not been deemed a vulnerability yet.</w:t>
      </w:r>
    </w:p>
  </w:comment>
  <w:comment w:id="5" w:author="Bergeron, Tiffany" w:date="2017-01-24T11:30:00Z" w:initials="BT">
    <w:p w14:paraId="4E7AFDFE" w14:textId="5B327532" w:rsidR="004F228A" w:rsidRDefault="004F228A">
      <w:pPr>
        <w:pStyle w:val="CommentText"/>
      </w:pPr>
      <w:r>
        <w:rPr>
          <w:rStyle w:val="CommentReference"/>
        </w:rPr>
        <w:annotationRef/>
      </w:r>
      <w:r w:rsidR="00FB42D1">
        <w:t>This l</w:t>
      </w:r>
      <w:r>
        <w:t>anguage taken from the CNA Rules v1.1 (4) Appendix A.</w:t>
      </w:r>
    </w:p>
  </w:comment>
  <w:comment w:id="6" w:author="Evans, Jonathan L." w:date="2017-01-18T08:29:00Z" w:initials="EJL">
    <w:p w14:paraId="1F54DCFA" w14:textId="77777777" w:rsidR="0021379E" w:rsidRDefault="0021379E">
      <w:pPr>
        <w:pStyle w:val="CommentText"/>
      </w:pPr>
      <w:r>
        <w:rPr>
          <w:rStyle w:val="CommentReference"/>
        </w:rPr>
        <w:annotationRef/>
      </w:r>
      <w:r>
        <w:t>This part is specific to the counting rules, and is not part of the definition we use when we normally refer to something as publicly known.</w:t>
      </w:r>
    </w:p>
  </w:comment>
  <w:comment w:id="7" w:author="Bergeron, Tiffany" w:date="2017-01-24T11:31:00Z" w:initials="BT">
    <w:p w14:paraId="7A30AFF1" w14:textId="642A0BD9" w:rsidR="00E04345" w:rsidRDefault="00E04345">
      <w:pPr>
        <w:pStyle w:val="CommentText"/>
      </w:pPr>
      <w:r>
        <w:rPr>
          <w:rStyle w:val="CommentReference"/>
        </w:rPr>
        <w:annotationRef/>
      </w:r>
      <w:r>
        <w:t>These definitions are for CNAs and this l</w:t>
      </w:r>
      <w:r>
        <w:t xml:space="preserve">anguage </w:t>
      </w:r>
      <w:r>
        <w:t xml:space="preserve">was </w:t>
      </w:r>
      <w:r>
        <w:t>taken from the CNA Rules v1.1 (4)</w:t>
      </w:r>
      <w:r>
        <w:t xml:space="preserve"> Appendix A. We need to settle on consistent terminology; please advise.</w:t>
      </w:r>
    </w:p>
  </w:comment>
  <w:comment w:id="8" w:author="Daniel Adinolfi" w:date="2017-01-19T15:36:00Z" w:initials="DRA">
    <w:p w14:paraId="54E3A82C" w14:textId="08B4E6CB" w:rsidR="0084263D" w:rsidRDefault="0084263D">
      <w:pPr>
        <w:pStyle w:val="CommentText"/>
      </w:pPr>
      <w:r>
        <w:rPr>
          <w:rStyle w:val="CommentReference"/>
        </w:rPr>
        <w:annotationRef/>
      </w:r>
      <w:r>
        <w:t>Does it have to be installable? If so, we should define “installable”. Also, we should definite “software” to make it clear that we are talking about everything from a word processor to a IoT device.</w:t>
      </w:r>
    </w:p>
  </w:comment>
  <w:comment w:id="9" w:author="Bergeron, Tiffany" w:date="2017-01-24T11:33:00Z" w:initials="BT">
    <w:p w14:paraId="1423CE64" w14:textId="77777777" w:rsidR="00FB42D1" w:rsidRDefault="00FB42D1">
      <w:pPr>
        <w:pStyle w:val="CommentText"/>
      </w:pPr>
      <w:r>
        <w:rPr>
          <w:rStyle w:val="CommentReference"/>
        </w:rPr>
        <w:annotationRef/>
      </w:r>
      <w:r>
        <w:t>This language taken from the CNA Rules v1.1 (4) Appendix A.</w:t>
      </w:r>
    </w:p>
    <w:p w14:paraId="250DFE81" w14:textId="78EFF501" w:rsidR="00FB42D1" w:rsidRDefault="00FB42D1">
      <w:pPr>
        <w:pStyle w:val="CommentText"/>
      </w:pPr>
      <w:r>
        <w:t>Also, a definition for “Software” has now been included; please review.</w:t>
      </w:r>
    </w:p>
  </w:comment>
  <w:comment w:id="10" w:author="Evans, Jonathan L." w:date="2017-01-18T08:31:00Z" w:initials="EJL">
    <w:p w14:paraId="27347041" w14:textId="77777777" w:rsidR="0021379E" w:rsidRDefault="0021379E">
      <w:pPr>
        <w:pStyle w:val="CommentText"/>
      </w:pPr>
      <w:r>
        <w:rPr>
          <w:rStyle w:val="CommentReference"/>
        </w:rPr>
        <w:annotationRef/>
      </w:r>
      <w:r>
        <w:t>Do we still need this definition?  Is there any reason for us to use it?</w:t>
      </w:r>
    </w:p>
  </w:comment>
  <w:comment w:id="12" w:author="Bergeron, Tiffany" w:date="2017-01-24T11:34:00Z" w:initials="BT">
    <w:p w14:paraId="68F7654C" w14:textId="486B264E" w:rsidR="00AF3ACC" w:rsidRDefault="00AF3ACC">
      <w:pPr>
        <w:pStyle w:val="CommentText"/>
        <w:rPr>
          <w:rFonts w:ascii="Times" w:hAnsi="Times" w:cs="Times"/>
        </w:rPr>
      </w:pPr>
      <w:r>
        <w:rPr>
          <w:rStyle w:val="CommentReference"/>
        </w:rPr>
        <w:annotationRef/>
      </w:r>
      <w:r>
        <w:t xml:space="preserve">It was in the </w:t>
      </w:r>
      <w:r w:rsidRPr="004F228A">
        <w:t>A</w:t>
      </w:r>
      <w:r>
        <w:t xml:space="preserve">ppendix A of CNA Rules v1.1 (4): </w:t>
      </w:r>
      <w:hyperlink r:id="rId3" w:history="1">
        <w:r>
          <w:rPr>
            <w:rStyle w:val="Hyperlink"/>
            <w:rFonts w:ascii="Times" w:hAnsi="Times" w:cs="Times"/>
          </w:rPr>
          <w:t>http://cveproject.github.io/docs/cna/CNA%20Rules%20v1.1.docx</w:t>
        </w:r>
      </w:hyperlink>
    </w:p>
    <w:p w14:paraId="51A96C1B" w14:textId="1338DE0B" w:rsidR="00AF3ACC" w:rsidRDefault="00AF3ACC">
      <w:pPr>
        <w:pStyle w:val="CommentText"/>
      </w:pPr>
      <w:r>
        <w:rPr>
          <w:rFonts w:ascii="Times" w:hAnsi="Times" w:cs="Times"/>
        </w:rPr>
        <w:t>I see no reason to keep it anymore.</w:t>
      </w:r>
    </w:p>
  </w:comment>
  <w:comment w:id="11" w:author="Daniel Adinolfi" w:date="2017-01-19T15:37:00Z" w:initials="DRA">
    <w:p w14:paraId="1F06BAA3" w14:textId="3C2B7B15" w:rsidR="0084263D" w:rsidRDefault="0084263D">
      <w:pPr>
        <w:pStyle w:val="CommentText"/>
      </w:pPr>
      <w:r>
        <w:rPr>
          <w:rStyle w:val="CommentReference"/>
        </w:rPr>
        <w:annotationRef/>
      </w:r>
      <w:r>
        <w:t>Do we need this defined if we are moving our scope out to “everything”?</w:t>
      </w:r>
    </w:p>
  </w:comment>
  <w:comment w:id="13" w:author="Bergeron, Tiffany" w:date="2017-01-24T11:35:00Z" w:initials="BT">
    <w:p w14:paraId="408BBEF4" w14:textId="77777777" w:rsidR="00AF3ACC" w:rsidRDefault="00AF3ACC" w:rsidP="00AF3ACC">
      <w:pPr>
        <w:pStyle w:val="CommentText"/>
        <w:rPr>
          <w:rFonts w:ascii="Times" w:hAnsi="Times" w:cs="Times"/>
        </w:rPr>
      </w:pPr>
      <w:r>
        <w:rPr>
          <w:rStyle w:val="CommentReference"/>
        </w:rPr>
        <w:annotationRef/>
      </w:r>
      <w:r>
        <w:rPr>
          <w:rStyle w:val="CommentReference"/>
        </w:rPr>
        <w:annotationRef/>
      </w:r>
      <w:r>
        <w:t xml:space="preserve">It was in the </w:t>
      </w:r>
      <w:r w:rsidRPr="004F228A">
        <w:t>A</w:t>
      </w:r>
      <w:r>
        <w:t xml:space="preserve">ppendix A of CNA Rules v1.1 (4): </w:t>
      </w:r>
      <w:hyperlink r:id="rId4" w:history="1">
        <w:r>
          <w:rPr>
            <w:rStyle w:val="Hyperlink"/>
            <w:rFonts w:ascii="Times" w:hAnsi="Times" w:cs="Times"/>
          </w:rPr>
          <w:t>http://cveproject.github.io/docs/cna/CNA%20Rules%20v1.1.docx</w:t>
        </w:r>
      </w:hyperlink>
    </w:p>
    <w:p w14:paraId="7A1EF274" w14:textId="4C297CB1" w:rsidR="00AF3ACC" w:rsidRDefault="00AF3ACC" w:rsidP="00AF3ACC">
      <w:pPr>
        <w:pStyle w:val="CommentText"/>
      </w:pPr>
      <w:r>
        <w:rPr>
          <w:rFonts w:ascii="Times" w:hAnsi="Times" w:cs="Times"/>
        </w:rPr>
        <w:t>I see no reason to keep it anymore.</w:t>
      </w:r>
    </w:p>
  </w:comment>
  <w:comment w:id="14" w:author="Evans, Jonathan L." w:date="2017-01-18T08:32:00Z" w:initials="EJL">
    <w:p w14:paraId="56F0147B" w14:textId="77777777" w:rsidR="0021379E" w:rsidRDefault="0021379E">
      <w:pPr>
        <w:pStyle w:val="CommentText"/>
      </w:pPr>
      <w:r>
        <w:rPr>
          <w:rStyle w:val="CommentReference"/>
        </w:rPr>
        <w:annotationRef/>
      </w:r>
      <w:r>
        <w:t>I hate that we have a definition for this.</w:t>
      </w:r>
    </w:p>
  </w:comment>
  <w:comment w:id="15" w:author="Bergeron, Tiffany" w:date="2017-01-24T11:35:00Z" w:initials="BT">
    <w:p w14:paraId="1B9161FA" w14:textId="77777777" w:rsidR="00AF3ACC" w:rsidRDefault="00AF3ACC" w:rsidP="00AF3ACC">
      <w:pPr>
        <w:pStyle w:val="CommentText"/>
        <w:rPr>
          <w:rFonts w:ascii="Times" w:hAnsi="Times" w:cs="Times"/>
        </w:rPr>
      </w:pPr>
      <w:r>
        <w:rPr>
          <w:rStyle w:val="CommentReference"/>
        </w:rPr>
        <w:annotationRef/>
      </w:r>
      <w:r>
        <w:t xml:space="preserve">I hate trying to define it as well. </w:t>
      </w:r>
      <w:r>
        <w:rPr>
          <w:rStyle w:val="CommentReference"/>
        </w:rPr>
        <w:annotationRef/>
      </w:r>
      <w:r>
        <w:t xml:space="preserve">It was in the </w:t>
      </w:r>
      <w:r w:rsidRPr="004F228A">
        <w:t>A</w:t>
      </w:r>
      <w:r>
        <w:t xml:space="preserve">ppendix A of CNA Rules v1.1 (4): </w:t>
      </w:r>
      <w:hyperlink r:id="rId5" w:history="1">
        <w:r>
          <w:rPr>
            <w:rStyle w:val="Hyperlink"/>
            <w:rFonts w:ascii="Times" w:hAnsi="Times" w:cs="Times"/>
          </w:rPr>
          <w:t>http://cveproject.github.io/docs/cna/CNA%20Rules%20v1.1.docx</w:t>
        </w:r>
      </w:hyperlink>
    </w:p>
    <w:p w14:paraId="6EA17B46" w14:textId="63F99038" w:rsidR="0082704B" w:rsidRPr="00AF3ACC" w:rsidRDefault="0082704B" w:rsidP="00AF3ACC">
      <w:pPr>
        <w:pStyle w:val="CommentText"/>
        <w:rPr>
          <w:rFonts w:ascii="Times" w:hAnsi="Times" w:cs="Times"/>
        </w:rPr>
      </w:pPr>
      <w:r>
        <w:rPr>
          <w:rFonts w:ascii="Times" w:hAnsi="Times" w:cs="Times"/>
        </w:rPr>
        <w:t xml:space="preserve">Please </w:t>
      </w:r>
      <w:r>
        <w:rPr>
          <w:rFonts w:ascii="Times" w:hAnsi="Times" w:cs="Times"/>
        </w:rPr>
        <w:t>advise.</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CB86E" w15:done="0"/>
  <w15:commentEx w15:paraId="70CE579C" w15:paraIdParent="6F8CB86E" w15:done="0"/>
  <w15:commentEx w15:paraId="6EB44717" w15:done="0"/>
  <w15:commentEx w15:paraId="7A21C14E" w15:paraIdParent="6EB44717" w15:done="0"/>
  <w15:commentEx w15:paraId="5B694671" w15:done="0"/>
  <w15:commentEx w15:paraId="4E7AFDFE" w15:paraIdParent="5B694671" w15:done="0"/>
  <w15:commentEx w15:paraId="1F54DCFA" w15:done="0"/>
  <w15:commentEx w15:paraId="7A30AFF1" w15:paraIdParent="1F54DCFA" w15:done="0"/>
  <w15:commentEx w15:paraId="54E3A82C" w15:done="0"/>
  <w15:commentEx w15:paraId="250DFE81" w15:paraIdParent="54E3A82C" w15:done="0"/>
  <w15:commentEx w15:paraId="27347041" w15:done="0"/>
  <w15:commentEx w15:paraId="51A96C1B" w15:paraIdParent="27347041" w15:done="0"/>
  <w15:commentEx w15:paraId="1F06BAA3" w15:done="0"/>
  <w15:commentEx w15:paraId="7A1EF274" w15:paraIdParent="1F06BAA3" w15:done="0"/>
  <w15:commentEx w15:paraId="56F0147B" w15:done="0"/>
  <w15:commentEx w15:paraId="6EA17B46" w15:paraIdParent="56F014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s, Jonathan L.">
    <w15:presenceInfo w15:providerId="AD" w15:userId="S-1-5-21-1940666338-227100268-1349548132-163518"/>
  </w15:person>
  <w15:person w15:author="Bergeron, Tiffany">
    <w15:presenceInfo w15:providerId="AD" w15:userId="S-1-5-21-1940666338-227100268-1349548132-182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F5"/>
    <w:rsid w:val="000663B8"/>
    <w:rsid w:val="00066721"/>
    <w:rsid w:val="000922E7"/>
    <w:rsid w:val="000B654A"/>
    <w:rsid w:val="000C0DAF"/>
    <w:rsid w:val="00102351"/>
    <w:rsid w:val="00110750"/>
    <w:rsid w:val="00121FEC"/>
    <w:rsid w:val="001436A6"/>
    <w:rsid w:val="001639C2"/>
    <w:rsid w:val="00165020"/>
    <w:rsid w:val="0021379E"/>
    <w:rsid w:val="00216590"/>
    <w:rsid w:val="00225A98"/>
    <w:rsid w:val="00233468"/>
    <w:rsid w:val="00236CE7"/>
    <w:rsid w:val="002E4A3A"/>
    <w:rsid w:val="00334AB3"/>
    <w:rsid w:val="00370C1B"/>
    <w:rsid w:val="003929F5"/>
    <w:rsid w:val="003E71B9"/>
    <w:rsid w:val="00403BBB"/>
    <w:rsid w:val="004172F8"/>
    <w:rsid w:val="004236AC"/>
    <w:rsid w:val="004448EA"/>
    <w:rsid w:val="00447A38"/>
    <w:rsid w:val="00471AE2"/>
    <w:rsid w:val="00492F85"/>
    <w:rsid w:val="004A2EC0"/>
    <w:rsid w:val="004C26B7"/>
    <w:rsid w:val="004D0AB6"/>
    <w:rsid w:val="004F228A"/>
    <w:rsid w:val="00586EB5"/>
    <w:rsid w:val="005A739F"/>
    <w:rsid w:val="005F01CC"/>
    <w:rsid w:val="00685944"/>
    <w:rsid w:val="006C73A2"/>
    <w:rsid w:val="006F45A4"/>
    <w:rsid w:val="00743F30"/>
    <w:rsid w:val="0082704B"/>
    <w:rsid w:val="0083037B"/>
    <w:rsid w:val="0084263D"/>
    <w:rsid w:val="008736D3"/>
    <w:rsid w:val="008A60F5"/>
    <w:rsid w:val="008C1EC3"/>
    <w:rsid w:val="009456DB"/>
    <w:rsid w:val="00956DAF"/>
    <w:rsid w:val="00985D41"/>
    <w:rsid w:val="009E1B7C"/>
    <w:rsid w:val="009F7D71"/>
    <w:rsid w:val="00A769C9"/>
    <w:rsid w:val="00AA7FDC"/>
    <w:rsid w:val="00AF3ACC"/>
    <w:rsid w:val="00BB68B2"/>
    <w:rsid w:val="00BE6A17"/>
    <w:rsid w:val="00C018B8"/>
    <w:rsid w:val="00C06B4F"/>
    <w:rsid w:val="00C65CF5"/>
    <w:rsid w:val="00C952D7"/>
    <w:rsid w:val="00CC513F"/>
    <w:rsid w:val="00CC6E82"/>
    <w:rsid w:val="00D2199C"/>
    <w:rsid w:val="00D572A6"/>
    <w:rsid w:val="00D85E74"/>
    <w:rsid w:val="00DE0F48"/>
    <w:rsid w:val="00DE1C02"/>
    <w:rsid w:val="00E04345"/>
    <w:rsid w:val="00E336FB"/>
    <w:rsid w:val="00E82BC6"/>
    <w:rsid w:val="00E947A3"/>
    <w:rsid w:val="00EA317E"/>
    <w:rsid w:val="00EE3505"/>
    <w:rsid w:val="00FA734F"/>
    <w:rsid w:val="00FB42D1"/>
    <w:rsid w:val="00FB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A3EF"/>
  <w15:chartTrackingRefBased/>
  <w15:docId w15:val="{9A82ED70-C9B1-4DEF-A067-A1E1701F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0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F01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9456D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D0A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37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D0AB6"/>
    <w:rPr>
      <w:sz w:val="18"/>
      <w:szCs w:val="18"/>
    </w:rPr>
  </w:style>
  <w:style w:type="paragraph" w:styleId="CommentText">
    <w:name w:val="annotation text"/>
    <w:basedOn w:val="Normal"/>
    <w:link w:val="CommentTextChar"/>
    <w:uiPriority w:val="99"/>
    <w:semiHidden/>
    <w:unhideWhenUsed/>
    <w:rsid w:val="004D0AB6"/>
    <w:pPr>
      <w:spacing w:line="240" w:lineRule="auto"/>
    </w:pPr>
    <w:rPr>
      <w:sz w:val="24"/>
      <w:szCs w:val="24"/>
    </w:rPr>
  </w:style>
  <w:style w:type="character" w:customStyle="1" w:styleId="CommentTextChar">
    <w:name w:val="Comment Text Char"/>
    <w:basedOn w:val="DefaultParagraphFont"/>
    <w:link w:val="CommentText"/>
    <w:uiPriority w:val="99"/>
    <w:semiHidden/>
    <w:rsid w:val="0084263D"/>
    <w:rPr>
      <w:sz w:val="24"/>
      <w:szCs w:val="24"/>
    </w:rPr>
  </w:style>
  <w:style w:type="paragraph" w:styleId="CommentSubject">
    <w:name w:val="annotation subject"/>
    <w:basedOn w:val="CommentText"/>
    <w:next w:val="CommentText"/>
    <w:link w:val="CommentSubjectChar"/>
    <w:uiPriority w:val="99"/>
    <w:semiHidden/>
    <w:unhideWhenUsed/>
    <w:rsid w:val="004D0AB6"/>
    <w:rPr>
      <w:b/>
      <w:bCs/>
      <w:sz w:val="20"/>
      <w:szCs w:val="20"/>
    </w:rPr>
  </w:style>
  <w:style w:type="character" w:customStyle="1" w:styleId="CommentSubjectChar">
    <w:name w:val="Comment Subject Char"/>
    <w:basedOn w:val="CommentTextChar"/>
    <w:link w:val="CommentSubject"/>
    <w:uiPriority w:val="99"/>
    <w:semiHidden/>
    <w:rsid w:val="0084263D"/>
    <w:rPr>
      <w:b/>
      <w:bCs/>
      <w:sz w:val="20"/>
      <w:szCs w:val="20"/>
    </w:rPr>
  </w:style>
  <w:style w:type="character" w:styleId="Hyperlink">
    <w:name w:val="Hyperlink"/>
    <w:basedOn w:val="DefaultParagraphFont"/>
    <w:uiPriority w:val="99"/>
    <w:semiHidden/>
    <w:unhideWhenUsed/>
    <w:rsid w:val="004F228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3636">
      <w:bodyDiv w:val="1"/>
      <w:marLeft w:val="0"/>
      <w:marRight w:val="0"/>
      <w:marTop w:val="0"/>
      <w:marBottom w:val="0"/>
      <w:divBdr>
        <w:top w:val="none" w:sz="0" w:space="0" w:color="auto"/>
        <w:left w:val="none" w:sz="0" w:space="0" w:color="auto"/>
        <w:bottom w:val="none" w:sz="0" w:space="0" w:color="auto"/>
        <w:right w:val="none" w:sz="0" w:space="0" w:color="auto"/>
      </w:divBdr>
    </w:div>
    <w:div w:id="917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veproject.github.io/docs/cna/CNA%20Rules%20v1.1.docx" TargetMode="External"/><Relationship Id="rId2" Type="http://schemas.openxmlformats.org/officeDocument/2006/relationships/hyperlink" Target="http://cveproject.github.io/docs/cna/CNA%20Rules%20v1.1.docx" TargetMode="External"/><Relationship Id="rId1" Type="http://schemas.openxmlformats.org/officeDocument/2006/relationships/hyperlink" Target="http://cveproject.github.io/docs/cna/CNA%20Rules%20v1.1.docx" TargetMode="External"/><Relationship Id="rId5" Type="http://schemas.openxmlformats.org/officeDocument/2006/relationships/hyperlink" Target="http://cveproject.github.io/docs/cna/CNA%20Rules%20v1.1.docx" TargetMode="External"/><Relationship Id="rId4" Type="http://schemas.openxmlformats.org/officeDocument/2006/relationships/hyperlink" Target="http://cveproject.github.io/docs/cna/CNA%20Rules%20v1.1.docx"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Bergeron, Tiffany</dc:creator>
  <cp:keywords/>
  <dc:description/>
  <cp:lastModifiedBy>Bergeron, Tiffany</cp:lastModifiedBy>
  <cp:revision>18</cp:revision>
  <dcterms:created xsi:type="dcterms:W3CDTF">2017-01-22T00:08:00Z</dcterms:created>
  <dcterms:modified xsi:type="dcterms:W3CDTF">2017-01-24T17:35:00Z</dcterms:modified>
</cp:coreProperties>
</file>