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87BB9" w14:textId="7F1E92BB" w:rsidR="004A0C92" w:rsidRPr="00AB375F" w:rsidRDefault="74DA8887" w:rsidP="00C31172">
      <w:pPr>
        <w:pStyle w:val="Default"/>
        <w:contextualSpacing/>
        <w:jc w:val="center"/>
        <w:rPr>
          <w:rFonts w:asciiTheme="minorHAnsi" w:eastAsiaTheme="minorEastAsia" w:hAnsiTheme="minorHAnsi" w:cstheme="minorBidi"/>
          <w:b/>
          <w:bCs/>
          <w:color w:val="000000" w:themeColor="text1"/>
          <w:szCs w:val="24"/>
        </w:rPr>
      </w:pPr>
      <w:r w:rsidRPr="00AB375F">
        <w:rPr>
          <w:rFonts w:asciiTheme="minorHAnsi" w:eastAsiaTheme="minorEastAsia" w:hAnsiTheme="minorHAnsi" w:cstheme="minorBidi"/>
          <w:b/>
          <w:bCs/>
          <w:color w:val="000000" w:themeColor="text1"/>
          <w:szCs w:val="24"/>
        </w:rPr>
        <w:t>RETROSPECTIVE CHART/RECORD REVIEW</w:t>
      </w:r>
    </w:p>
    <w:p w14:paraId="27F16A7F" w14:textId="40FF55FA" w:rsidR="00F320CE" w:rsidRPr="00AB375F" w:rsidRDefault="74DA8887" w:rsidP="00C31172">
      <w:pPr>
        <w:pStyle w:val="Default"/>
        <w:contextualSpacing/>
        <w:jc w:val="center"/>
        <w:rPr>
          <w:rFonts w:asciiTheme="minorHAnsi" w:eastAsiaTheme="minorEastAsia" w:hAnsiTheme="minorHAnsi" w:cstheme="minorBidi"/>
          <w:b/>
          <w:bCs/>
          <w:color w:val="000000" w:themeColor="text1"/>
          <w:szCs w:val="24"/>
        </w:rPr>
      </w:pPr>
      <w:r w:rsidRPr="00AB375F">
        <w:rPr>
          <w:rFonts w:asciiTheme="minorHAnsi" w:eastAsiaTheme="minorEastAsia" w:hAnsiTheme="minorHAnsi" w:cstheme="minorBidi"/>
          <w:b/>
          <w:bCs/>
          <w:color w:val="000000" w:themeColor="text1"/>
          <w:szCs w:val="24"/>
        </w:rPr>
        <w:t>PROTOCOL TEMPLATE</w:t>
      </w:r>
    </w:p>
    <w:p w14:paraId="05E6C613" w14:textId="13CBBD0E" w:rsidR="00462036" w:rsidRPr="00AB375F" w:rsidRDefault="74DA8887" w:rsidP="00C31172">
      <w:pPr>
        <w:pStyle w:val="Default"/>
        <w:contextualSpacing/>
        <w:jc w:val="center"/>
        <w:rPr>
          <w:rFonts w:asciiTheme="minorHAnsi" w:eastAsiaTheme="minorEastAsia" w:hAnsiTheme="minorHAnsi" w:cstheme="minorBidi"/>
          <w:szCs w:val="24"/>
        </w:rPr>
      </w:pPr>
      <w:r w:rsidRPr="00AB375F">
        <w:rPr>
          <w:rFonts w:asciiTheme="minorHAnsi" w:eastAsiaTheme="minorEastAsia" w:hAnsiTheme="minorHAnsi" w:cstheme="minorBidi"/>
          <w:i/>
          <w:iCs/>
          <w:szCs w:val="24"/>
        </w:rPr>
        <w:t>(HRP-503c)</w:t>
      </w:r>
      <w:r w:rsidRPr="00AB375F">
        <w:rPr>
          <w:rFonts w:asciiTheme="minorHAnsi" w:eastAsiaTheme="minorEastAsia" w:hAnsiTheme="minorHAnsi" w:cstheme="minorBidi"/>
          <w:szCs w:val="24"/>
        </w:rPr>
        <w:t xml:space="preserve"> </w:t>
      </w:r>
    </w:p>
    <w:p w14:paraId="0EA5941A" w14:textId="707719F9" w:rsidR="00F320CE" w:rsidRPr="00AB375F" w:rsidRDefault="00F320CE" w:rsidP="00C31172">
      <w:pPr>
        <w:pBdr>
          <w:bottom w:val="single" w:sz="12" w:space="1" w:color="auto"/>
        </w:pBdr>
        <w:spacing w:after="0" w:line="240" w:lineRule="auto"/>
        <w:contextualSpacing/>
        <w:rPr>
          <w:rFonts w:eastAsiaTheme="minorEastAsia"/>
          <w:i/>
          <w:iCs/>
          <w:sz w:val="24"/>
          <w:szCs w:val="24"/>
        </w:rPr>
      </w:pPr>
    </w:p>
    <w:p w14:paraId="7169A971" w14:textId="62F38147" w:rsidR="00E8559F" w:rsidRPr="00AB375F" w:rsidRDefault="00E8559F" w:rsidP="00C31172">
      <w:pPr>
        <w:spacing w:after="0" w:line="240" w:lineRule="auto"/>
        <w:contextualSpacing/>
        <w:rPr>
          <w:rFonts w:eastAsiaTheme="minorEastAsia" w:cstheme="minorHAnsi"/>
          <w:b/>
          <w:bCs/>
          <w:sz w:val="24"/>
          <w:szCs w:val="24"/>
        </w:rPr>
      </w:pPr>
    </w:p>
    <w:p w14:paraId="4798A2E5" w14:textId="77777777" w:rsidR="008225B7" w:rsidRPr="00AB375F" w:rsidRDefault="008225B7" w:rsidP="00C31172">
      <w:pPr>
        <w:pStyle w:val="List"/>
        <w:numPr>
          <w:ilvl w:val="0"/>
          <w:numId w:val="0"/>
        </w:numPr>
        <w:spacing w:before="0" w:beforeAutospacing="0" w:after="0" w:afterAutospacing="0"/>
        <w:ind w:left="1440"/>
        <w:contextualSpacing/>
        <w:rPr>
          <w:rFonts w:asciiTheme="minorHAnsi" w:hAnsiTheme="minorHAnsi"/>
        </w:rPr>
      </w:pPr>
    </w:p>
    <w:p w14:paraId="66FA099A" w14:textId="380BB9F5" w:rsidR="00E8559F" w:rsidRPr="00AB375F" w:rsidRDefault="74DA8887" w:rsidP="00C31172">
      <w:pPr>
        <w:spacing w:after="0" w:line="240" w:lineRule="auto"/>
        <w:contextualSpacing/>
        <w:rPr>
          <w:sz w:val="24"/>
          <w:szCs w:val="24"/>
        </w:rPr>
      </w:pPr>
      <w:r w:rsidRPr="00AB375F">
        <w:rPr>
          <w:rFonts w:eastAsiaTheme="minorEastAsia" w:cstheme="minorEastAsia"/>
          <w:b/>
          <w:bCs/>
          <w:sz w:val="24"/>
          <w:szCs w:val="24"/>
        </w:rPr>
        <w:t>STUDY INFORMATION</w:t>
      </w:r>
    </w:p>
    <w:p w14:paraId="7F524E01" w14:textId="494EB004" w:rsidR="00E8559F" w:rsidRPr="00AB375F" w:rsidRDefault="74DA8887" w:rsidP="00C31172">
      <w:pPr>
        <w:pStyle w:val="ListParagraph"/>
        <w:numPr>
          <w:ilvl w:val="1"/>
          <w:numId w:val="4"/>
        </w:numPr>
        <w:spacing w:after="0" w:line="240" w:lineRule="auto"/>
        <w:ind w:left="1080"/>
        <w:rPr>
          <w:rFonts w:eastAsiaTheme="minorEastAsia" w:cstheme="minorEastAsia"/>
          <w:b/>
          <w:bCs/>
          <w:sz w:val="24"/>
          <w:szCs w:val="24"/>
        </w:rPr>
      </w:pPr>
      <w:r w:rsidRPr="00AB375F">
        <w:rPr>
          <w:rFonts w:eastAsiaTheme="minorEastAsia" w:cstheme="minorEastAsia"/>
          <w:b/>
          <w:bCs/>
          <w:sz w:val="24"/>
          <w:szCs w:val="24"/>
        </w:rPr>
        <w:t>Title of Project:</w:t>
      </w:r>
      <w:r w:rsidR="0024544D" w:rsidRPr="00AB375F">
        <w:rPr>
          <w:rFonts w:eastAsiaTheme="minorEastAsia" w:cstheme="minorEastAsia"/>
          <w:b/>
          <w:bCs/>
          <w:sz w:val="24"/>
          <w:szCs w:val="24"/>
        </w:rPr>
        <w:t xml:space="preserve">  </w:t>
      </w:r>
      <w:r w:rsidR="00BB1D4A">
        <w:rPr>
          <w:b/>
          <w:sz w:val="24"/>
          <w:szCs w:val="24"/>
        </w:rPr>
        <w:t xml:space="preserve">Incidence, management and outcomes of </w:t>
      </w:r>
      <w:r w:rsidR="0076644B">
        <w:rPr>
          <w:b/>
          <w:sz w:val="24"/>
          <w:szCs w:val="24"/>
        </w:rPr>
        <w:t xml:space="preserve">acute myocardial infarction </w:t>
      </w:r>
      <w:r w:rsidR="00BB1D4A">
        <w:rPr>
          <w:b/>
          <w:sz w:val="24"/>
          <w:szCs w:val="24"/>
        </w:rPr>
        <w:t xml:space="preserve">among </w:t>
      </w:r>
      <w:r w:rsidR="0076644B">
        <w:rPr>
          <w:b/>
          <w:sz w:val="24"/>
          <w:szCs w:val="24"/>
        </w:rPr>
        <w:t>young adults.</w:t>
      </w:r>
    </w:p>
    <w:p w14:paraId="52D2CBB0" w14:textId="77777777" w:rsidR="00E8559F" w:rsidRPr="00AB375F" w:rsidRDefault="00126E30" w:rsidP="00C31172">
      <w:pPr>
        <w:pStyle w:val="ListParagraph"/>
        <w:numPr>
          <w:ilvl w:val="1"/>
          <w:numId w:val="4"/>
        </w:numPr>
        <w:spacing w:after="0" w:line="240" w:lineRule="auto"/>
        <w:ind w:left="1080"/>
        <w:rPr>
          <w:rFonts w:eastAsiaTheme="minorEastAsia" w:cstheme="minorEastAsia"/>
          <w:b/>
          <w:bCs/>
          <w:sz w:val="24"/>
          <w:szCs w:val="24"/>
        </w:rPr>
      </w:pPr>
      <w:r w:rsidRPr="00AB375F">
        <w:rPr>
          <w:rFonts w:eastAsiaTheme="minorEastAsia" w:cstheme="minorEastAsia"/>
          <w:b/>
          <w:bCs/>
          <w:sz w:val="24"/>
          <w:szCs w:val="24"/>
        </w:rPr>
        <w:t>Principal Investigator:</w:t>
      </w:r>
      <w:r w:rsidRPr="00AB375F">
        <w:rPr>
          <w:rFonts w:cstheme="minorHAnsi"/>
          <w:b/>
          <w:sz w:val="24"/>
          <w:szCs w:val="24"/>
        </w:rPr>
        <w:tab/>
      </w:r>
      <w:r w:rsidRPr="00AB375F">
        <w:rPr>
          <w:rFonts w:cstheme="minorHAnsi"/>
          <w:b/>
          <w:sz w:val="24"/>
          <w:szCs w:val="24"/>
        </w:rPr>
        <w:tab/>
      </w:r>
    </w:p>
    <w:p w14:paraId="772DD19B" w14:textId="575F63F3" w:rsidR="00E8559F" w:rsidRPr="00AB375F" w:rsidRDefault="74DA8887" w:rsidP="00C31172">
      <w:pPr>
        <w:pStyle w:val="ListParagraph"/>
        <w:numPr>
          <w:ilvl w:val="2"/>
          <w:numId w:val="4"/>
        </w:numPr>
        <w:spacing w:after="0" w:line="240" w:lineRule="auto"/>
        <w:ind w:left="1620"/>
        <w:rPr>
          <w:rFonts w:eastAsiaTheme="minorEastAsia" w:cstheme="minorEastAsia"/>
          <w:b/>
          <w:bCs/>
          <w:sz w:val="24"/>
          <w:szCs w:val="24"/>
        </w:rPr>
      </w:pPr>
      <w:r w:rsidRPr="00AB375F">
        <w:rPr>
          <w:rFonts w:eastAsiaTheme="minorEastAsia" w:cstheme="minorEastAsia"/>
          <w:i/>
          <w:iCs/>
          <w:color w:val="000000" w:themeColor="text1"/>
          <w:sz w:val="24"/>
          <w:szCs w:val="24"/>
        </w:rPr>
        <w:t xml:space="preserve">Name: </w:t>
      </w:r>
      <w:r w:rsidR="00CB117B">
        <w:rPr>
          <w:b/>
          <w:sz w:val="24"/>
          <w:szCs w:val="24"/>
        </w:rPr>
        <w:t xml:space="preserve">John B. Kostis, MD, </w:t>
      </w:r>
      <w:proofErr w:type="spellStart"/>
      <w:r w:rsidR="00CB117B">
        <w:rPr>
          <w:b/>
          <w:sz w:val="24"/>
          <w:szCs w:val="24"/>
        </w:rPr>
        <w:t>DPhill</w:t>
      </w:r>
      <w:proofErr w:type="spellEnd"/>
    </w:p>
    <w:p w14:paraId="4EF98601" w14:textId="3E2DD128" w:rsidR="00E8559F" w:rsidRPr="00AB375F" w:rsidRDefault="74DA8887" w:rsidP="00C31172">
      <w:pPr>
        <w:pStyle w:val="ListParagraph"/>
        <w:numPr>
          <w:ilvl w:val="2"/>
          <w:numId w:val="4"/>
        </w:numPr>
        <w:spacing w:after="0" w:line="240" w:lineRule="auto"/>
        <w:ind w:left="1620"/>
        <w:rPr>
          <w:rFonts w:eastAsiaTheme="minorEastAsia" w:cstheme="minorEastAsia"/>
          <w:b/>
          <w:bCs/>
          <w:sz w:val="24"/>
          <w:szCs w:val="24"/>
        </w:rPr>
      </w:pPr>
      <w:r w:rsidRPr="00AB375F">
        <w:rPr>
          <w:rFonts w:eastAsiaTheme="minorEastAsia" w:cstheme="minorEastAsia"/>
          <w:i/>
          <w:iCs/>
          <w:color w:val="000000" w:themeColor="text1"/>
          <w:sz w:val="24"/>
          <w:szCs w:val="24"/>
        </w:rPr>
        <w:t xml:space="preserve">Department: </w:t>
      </w:r>
      <w:r w:rsidR="0024544D" w:rsidRPr="00AB375F">
        <w:rPr>
          <w:b/>
          <w:sz w:val="24"/>
          <w:szCs w:val="24"/>
        </w:rPr>
        <w:t>Cardiovascular Institute</w:t>
      </w:r>
    </w:p>
    <w:p w14:paraId="261015D3" w14:textId="7EBDCB23" w:rsidR="00E8559F" w:rsidRPr="00AB375F" w:rsidRDefault="74DA8887" w:rsidP="00C31172">
      <w:pPr>
        <w:pStyle w:val="ListParagraph"/>
        <w:numPr>
          <w:ilvl w:val="2"/>
          <w:numId w:val="4"/>
        </w:numPr>
        <w:spacing w:after="0" w:line="240" w:lineRule="auto"/>
        <w:ind w:left="1620"/>
        <w:rPr>
          <w:rFonts w:eastAsiaTheme="minorEastAsia" w:cstheme="minorEastAsia"/>
          <w:sz w:val="24"/>
          <w:szCs w:val="24"/>
        </w:rPr>
      </w:pPr>
      <w:r w:rsidRPr="00AB375F">
        <w:rPr>
          <w:rFonts w:eastAsiaTheme="minorEastAsia" w:cstheme="minorEastAsia"/>
          <w:i/>
          <w:iCs/>
          <w:color w:val="000000" w:themeColor="text1"/>
          <w:sz w:val="24"/>
          <w:szCs w:val="24"/>
        </w:rPr>
        <w:t xml:space="preserve">Telephone Number: </w:t>
      </w:r>
      <w:r w:rsidR="0024544D" w:rsidRPr="00AB375F">
        <w:rPr>
          <w:b/>
          <w:sz w:val="24"/>
          <w:szCs w:val="24"/>
        </w:rPr>
        <w:t>732-235-6546</w:t>
      </w:r>
    </w:p>
    <w:p w14:paraId="464F36A4" w14:textId="018A3547" w:rsidR="00E8559F" w:rsidRPr="00AB375F" w:rsidRDefault="74DA8887" w:rsidP="00C31172">
      <w:pPr>
        <w:pStyle w:val="ListParagraph"/>
        <w:numPr>
          <w:ilvl w:val="2"/>
          <w:numId w:val="4"/>
        </w:numPr>
        <w:spacing w:after="0" w:line="240" w:lineRule="auto"/>
        <w:ind w:left="1620"/>
        <w:rPr>
          <w:b/>
          <w:sz w:val="24"/>
          <w:szCs w:val="24"/>
        </w:rPr>
      </w:pPr>
      <w:r w:rsidRPr="00AB375F">
        <w:rPr>
          <w:rFonts w:eastAsiaTheme="minorEastAsia" w:cstheme="minorEastAsia"/>
          <w:i/>
          <w:iCs/>
          <w:color w:val="000000" w:themeColor="text1"/>
          <w:sz w:val="24"/>
          <w:szCs w:val="24"/>
        </w:rPr>
        <w:t xml:space="preserve">Email Address: </w:t>
      </w:r>
      <w:r w:rsidR="0024544D" w:rsidRPr="00AB375F">
        <w:rPr>
          <w:rFonts w:eastAsiaTheme="minorEastAsia" w:cstheme="minorEastAsia"/>
          <w:i/>
          <w:iCs/>
          <w:color w:val="000000" w:themeColor="text1"/>
          <w:sz w:val="24"/>
          <w:szCs w:val="24"/>
        </w:rPr>
        <w:t>kostis@rutgers.edu</w:t>
      </w:r>
    </w:p>
    <w:p w14:paraId="376F1916" w14:textId="77777777" w:rsidR="008225B7" w:rsidRPr="00AB375F" w:rsidRDefault="008225B7" w:rsidP="00C31172">
      <w:pPr>
        <w:pStyle w:val="ListParagraph"/>
        <w:spacing w:after="0" w:line="240" w:lineRule="auto"/>
        <w:ind w:left="2160"/>
        <w:rPr>
          <w:b/>
          <w:sz w:val="24"/>
          <w:szCs w:val="24"/>
        </w:rPr>
      </w:pPr>
    </w:p>
    <w:p w14:paraId="52ED037B" w14:textId="35EBB97C" w:rsidR="00883215" w:rsidRPr="00AB375F" w:rsidRDefault="005818DE" w:rsidP="00C31172">
      <w:pPr>
        <w:spacing w:after="0" w:line="240" w:lineRule="auto"/>
        <w:contextualSpacing/>
        <w:rPr>
          <w:rFonts w:eastAsiaTheme="minorEastAsia" w:cstheme="minorEastAsia"/>
          <w:b/>
          <w:bCs/>
          <w:sz w:val="24"/>
          <w:szCs w:val="24"/>
        </w:rPr>
      </w:pPr>
      <w:r w:rsidRPr="00AB375F">
        <w:rPr>
          <w:rFonts w:eastAsiaTheme="minorEastAsia" w:cstheme="minorEastAsia"/>
          <w:b/>
          <w:bCs/>
          <w:color w:val="000000"/>
          <w:sz w:val="24"/>
          <w:szCs w:val="24"/>
        </w:rPr>
        <w:t xml:space="preserve">PROTOCOL </w:t>
      </w:r>
      <w:r w:rsidR="00E8559F" w:rsidRPr="00AB375F">
        <w:rPr>
          <w:rFonts w:eastAsiaTheme="minorEastAsia" w:cstheme="minorEastAsia"/>
          <w:b/>
          <w:bCs/>
          <w:color w:val="000000"/>
          <w:sz w:val="24"/>
          <w:szCs w:val="24"/>
        </w:rPr>
        <w:t xml:space="preserve">VERSION NUMBER: </w:t>
      </w:r>
      <w:r w:rsidR="00126E30" w:rsidRPr="00AB375F">
        <w:rPr>
          <w:rFonts w:cstheme="minorHAnsi"/>
          <w:b/>
          <w:sz w:val="24"/>
          <w:szCs w:val="24"/>
        </w:rPr>
        <w:tab/>
      </w:r>
      <w:r w:rsidR="0042740F">
        <w:rPr>
          <w:rFonts w:cstheme="minorHAnsi"/>
          <w:b/>
          <w:sz w:val="24"/>
          <w:szCs w:val="24"/>
        </w:rPr>
        <w:t xml:space="preserve">May </w:t>
      </w:r>
      <w:r w:rsidR="005F4D24">
        <w:rPr>
          <w:rFonts w:cstheme="minorHAnsi"/>
          <w:b/>
          <w:sz w:val="24"/>
          <w:szCs w:val="24"/>
        </w:rPr>
        <w:t>14</w:t>
      </w:r>
      <w:r w:rsidR="005317FC">
        <w:rPr>
          <w:rFonts w:cstheme="minorHAnsi"/>
          <w:b/>
          <w:sz w:val="24"/>
          <w:szCs w:val="24"/>
        </w:rPr>
        <w:t>, 2019</w:t>
      </w:r>
    </w:p>
    <w:p w14:paraId="2384E6BF" w14:textId="77777777" w:rsidR="008225B7" w:rsidRPr="00AB375F" w:rsidRDefault="008225B7" w:rsidP="00C31172">
      <w:pPr>
        <w:pStyle w:val="ListParagraph"/>
        <w:spacing w:after="0" w:line="240" w:lineRule="auto"/>
        <w:rPr>
          <w:rFonts w:eastAsiaTheme="minorEastAsia"/>
          <w:b/>
          <w:bCs/>
          <w:sz w:val="24"/>
          <w:szCs w:val="24"/>
        </w:rPr>
      </w:pPr>
    </w:p>
    <w:p w14:paraId="6917AAE0" w14:textId="77777777" w:rsidR="00DA1522" w:rsidRPr="00AB375F" w:rsidRDefault="00DA1522" w:rsidP="00C31172">
      <w:pPr>
        <w:spacing w:after="0" w:line="240" w:lineRule="auto"/>
        <w:contextualSpacing/>
        <w:rPr>
          <w:rFonts w:eastAsiaTheme="minorEastAsia" w:cstheme="minorEastAsia"/>
          <w:b/>
          <w:bCs/>
          <w:sz w:val="24"/>
          <w:szCs w:val="24"/>
        </w:rPr>
      </w:pPr>
    </w:p>
    <w:p w14:paraId="3B7A2CF5" w14:textId="77777777" w:rsidR="00D0219D" w:rsidRPr="00AB375F" w:rsidRDefault="00D0219D" w:rsidP="00C31172">
      <w:pPr>
        <w:spacing w:after="0" w:line="240" w:lineRule="auto"/>
        <w:contextualSpacing/>
        <w:rPr>
          <w:rFonts w:eastAsiaTheme="minorEastAsia"/>
          <w:b/>
          <w:bCs/>
          <w:sz w:val="24"/>
          <w:szCs w:val="24"/>
        </w:rPr>
      </w:pPr>
    </w:p>
    <w:p w14:paraId="3DF0B458" w14:textId="77777777" w:rsidR="008225B7" w:rsidRPr="00AB375F" w:rsidRDefault="008225B7" w:rsidP="00C31172">
      <w:pPr>
        <w:spacing w:after="0" w:line="240" w:lineRule="auto"/>
        <w:contextualSpacing/>
        <w:rPr>
          <w:rFonts w:eastAsiaTheme="minorEastAsia"/>
          <w:b/>
          <w:bCs/>
          <w:sz w:val="24"/>
          <w:szCs w:val="24"/>
        </w:rPr>
      </w:pPr>
    </w:p>
    <w:p w14:paraId="7F7FB3E5" w14:textId="176C39C4" w:rsidR="0004384A" w:rsidRPr="00AB375F" w:rsidRDefault="0004384A" w:rsidP="00C31172">
      <w:pPr>
        <w:spacing w:after="0" w:line="240" w:lineRule="auto"/>
        <w:contextualSpacing/>
        <w:rPr>
          <w:rFonts w:eastAsiaTheme="minorEastAsia"/>
          <w:b/>
          <w:bCs/>
          <w:sz w:val="24"/>
          <w:szCs w:val="24"/>
        </w:rPr>
      </w:pPr>
    </w:p>
    <w:p w14:paraId="42C1948A" w14:textId="1B3B4F81" w:rsidR="004D3C1D" w:rsidRPr="00AB375F" w:rsidRDefault="004D3C1D">
      <w:pPr>
        <w:rPr>
          <w:rFonts w:eastAsiaTheme="minorEastAsia"/>
          <w:b/>
          <w:bCs/>
          <w:sz w:val="24"/>
          <w:szCs w:val="24"/>
        </w:rPr>
      </w:pPr>
      <w:r w:rsidRPr="00AB375F">
        <w:rPr>
          <w:rFonts w:eastAsiaTheme="minorEastAsia"/>
          <w:b/>
          <w:bCs/>
          <w:sz w:val="24"/>
          <w:szCs w:val="24"/>
        </w:rPr>
        <w:br w:type="page"/>
      </w: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Caption w:val=""/>
        <w:tblDescription w:val=""/>
      </w:tblPr>
      <w:tblGrid>
        <w:gridCol w:w="276"/>
        <w:gridCol w:w="643"/>
        <w:gridCol w:w="9674"/>
        <w:gridCol w:w="423"/>
      </w:tblGrid>
      <w:tr w:rsidR="00723D49" w:rsidRPr="00AB375F" w14:paraId="197A0725" w14:textId="77777777" w:rsidTr="00723D49">
        <w:tc>
          <w:tcPr>
            <w:tcW w:w="5000" w:type="pct"/>
            <w:gridSpan w:val="4"/>
          </w:tcPr>
          <w:p w14:paraId="3F4C5610" w14:textId="0B74711A" w:rsidR="00723D49" w:rsidRPr="00AB375F" w:rsidRDefault="00723D49" w:rsidP="00C31172">
            <w:pPr>
              <w:contextualSpacing/>
              <w:jc w:val="center"/>
              <w:rPr>
                <w:b/>
                <w:bCs/>
                <w:sz w:val="24"/>
                <w:szCs w:val="24"/>
              </w:rPr>
            </w:pPr>
            <w:r w:rsidRPr="00AB375F">
              <w:rPr>
                <w:b/>
                <w:bCs/>
                <w:sz w:val="24"/>
                <w:szCs w:val="24"/>
              </w:rPr>
              <w:lastRenderedPageBreak/>
              <w:t>Table of Contents</w:t>
            </w:r>
          </w:p>
          <w:p w14:paraId="06161D98" w14:textId="6E8E6BF7" w:rsidR="00723D49" w:rsidRPr="00AB375F" w:rsidRDefault="00723D49" w:rsidP="00C31172">
            <w:pPr>
              <w:contextualSpacing/>
              <w:jc w:val="center"/>
              <w:rPr>
                <w:b/>
                <w:bCs/>
                <w:i/>
                <w:iCs/>
                <w:sz w:val="24"/>
                <w:szCs w:val="24"/>
              </w:rPr>
            </w:pPr>
            <w:r w:rsidRPr="00AB375F">
              <w:rPr>
                <w:i/>
                <w:iCs/>
                <w:sz w:val="24"/>
                <w:szCs w:val="24"/>
              </w:rPr>
              <w:t>Skip To Section:</w:t>
            </w:r>
            <w:r w:rsidRPr="00AB375F">
              <w:rPr>
                <w:b/>
                <w:bCs/>
                <w:i/>
                <w:iCs/>
                <w:sz w:val="24"/>
                <w:szCs w:val="24"/>
              </w:rPr>
              <w:t xml:space="preserve"> </w:t>
            </w:r>
            <w:r w:rsidRPr="00AB375F">
              <w:rPr>
                <w:i/>
                <w:iCs/>
                <w:sz w:val="24"/>
                <w:szCs w:val="24"/>
              </w:rPr>
              <w:t xml:space="preserve">Hold </w:t>
            </w:r>
            <w:r w:rsidRPr="00AB375F">
              <w:rPr>
                <w:b/>
                <w:bCs/>
                <w:i/>
                <w:iCs/>
                <w:sz w:val="24"/>
                <w:szCs w:val="24"/>
              </w:rPr>
              <w:t>CTRL</w:t>
            </w:r>
            <w:r w:rsidRPr="00AB375F">
              <w:rPr>
                <w:i/>
                <w:iCs/>
                <w:sz w:val="24"/>
                <w:szCs w:val="24"/>
              </w:rPr>
              <w:t xml:space="preserve"> + </w:t>
            </w:r>
            <w:r w:rsidRPr="00AB375F">
              <w:rPr>
                <w:b/>
                <w:bCs/>
                <w:i/>
                <w:iCs/>
                <w:sz w:val="24"/>
                <w:szCs w:val="24"/>
              </w:rPr>
              <w:t>Click (Below)</w:t>
            </w:r>
            <w:r w:rsidRPr="00AB375F">
              <w:rPr>
                <w:i/>
                <w:iCs/>
                <w:sz w:val="24"/>
                <w:szCs w:val="24"/>
              </w:rPr>
              <w:t xml:space="preserve"> To Follow Link in </w:t>
            </w:r>
            <w:r w:rsidRPr="00AB375F">
              <w:rPr>
                <w:b/>
                <w:bCs/>
                <w:i/>
                <w:iCs/>
                <w:color w:val="0000FF"/>
                <w:sz w:val="24"/>
                <w:szCs w:val="24"/>
              </w:rPr>
              <w:t>Blue</w:t>
            </w:r>
          </w:p>
        </w:tc>
      </w:tr>
      <w:tr w:rsidR="00723D49" w:rsidRPr="00AB375F" w14:paraId="48F5666F" w14:textId="265C9771" w:rsidTr="00723D49">
        <w:tc>
          <w:tcPr>
            <w:tcW w:w="125" w:type="pct"/>
            <w:shd w:val="clear" w:color="auto" w:fill="9CC2E5" w:themeFill="accent1" w:themeFillTint="99"/>
          </w:tcPr>
          <w:p w14:paraId="5AFBB582"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37CEC68B" w14:textId="2E785FB0" w:rsidR="00723D49" w:rsidRPr="00AB375F" w:rsidRDefault="00723D49" w:rsidP="00C31172">
            <w:pPr>
              <w:pStyle w:val="ListParagraph"/>
              <w:ind w:left="-32" w:firstLine="32"/>
              <w:jc w:val="center"/>
              <w:rPr>
                <w:sz w:val="24"/>
                <w:szCs w:val="24"/>
              </w:rPr>
            </w:pPr>
            <w:r w:rsidRPr="00AB375F">
              <w:rPr>
                <w:sz w:val="24"/>
                <w:szCs w:val="24"/>
              </w:rPr>
              <w:t>1.0</w:t>
            </w:r>
          </w:p>
        </w:tc>
        <w:tc>
          <w:tcPr>
            <w:tcW w:w="4391" w:type="pct"/>
            <w:shd w:val="clear" w:color="auto" w:fill="9CC2E5" w:themeFill="accent1" w:themeFillTint="99"/>
            <w:vAlign w:val="center"/>
          </w:tcPr>
          <w:p w14:paraId="3617C536" w14:textId="4156BE49" w:rsidR="00723D49" w:rsidRPr="00AB375F" w:rsidRDefault="00603DF9" w:rsidP="00C31172">
            <w:pPr>
              <w:pStyle w:val="ListParagraph"/>
              <w:ind w:left="0"/>
              <w:rPr>
                <w:b/>
                <w:bCs/>
                <w:sz w:val="24"/>
                <w:szCs w:val="24"/>
              </w:rPr>
            </w:pPr>
            <w:hyperlink w:anchor="Research_Intro" w:history="1">
              <w:r w:rsidR="00723D49" w:rsidRPr="00AB375F">
                <w:rPr>
                  <w:rStyle w:val="Hyperlink"/>
                  <w:b/>
                  <w:bCs/>
                  <w:sz w:val="24"/>
                  <w:szCs w:val="24"/>
                </w:rPr>
                <w:t>Research Introduction</w:t>
              </w:r>
            </w:hyperlink>
          </w:p>
        </w:tc>
        <w:tc>
          <w:tcPr>
            <w:tcW w:w="192" w:type="pct"/>
            <w:shd w:val="clear" w:color="auto" w:fill="9CC2E5" w:themeFill="accent1" w:themeFillTint="99"/>
            <w:vAlign w:val="center"/>
          </w:tcPr>
          <w:p w14:paraId="492A920E" w14:textId="6506DD18" w:rsidR="00723D49" w:rsidRPr="00AB375F" w:rsidRDefault="00723D49" w:rsidP="00C31172">
            <w:pPr>
              <w:pStyle w:val="ListParagraph"/>
              <w:ind w:left="0"/>
              <w:rPr>
                <w:b/>
                <w:bCs/>
                <w:sz w:val="24"/>
                <w:szCs w:val="24"/>
              </w:rPr>
            </w:pPr>
          </w:p>
        </w:tc>
      </w:tr>
      <w:tr w:rsidR="00723D49" w:rsidRPr="00AB375F" w14:paraId="6354A8A1" w14:textId="4805FECC" w:rsidTr="00723D49">
        <w:tc>
          <w:tcPr>
            <w:tcW w:w="125" w:type="pct"/>
          </w:tcPr>
          <w:p w14:paraId="12A590BB" w14:textId="77777777" w:rsidR="00723D49" w:rsidRPr="00AB375F" w:rsidRDefault="00723D49" w:rsidP="00C31172">
            <w:pPr>
              <w:ind w:left="-32" w:firstLine="32"/>
              <w:contextualSpacing/>
              <w:jc w:val="center"/>
              <w:rPr>
                <w:sz w:val="24"/>
                <w:szCs w:val="24"/>
              </w:rPr>
            </w:pPr>
          </w:p>
        </w:tc>
        <w:tc>
          <w:tcPr>
            <w:tcW w:w="292" w:type="pct"/>
            <w:shd w:val="clear" w:color="auto" w:fill="auto"/>
            <w:vAlign w:val="center"/>
          </w:tcPr>
          <w:p w14:paraId="29A5E16F" w14:textId="056F1C83" w:rsidR="00723D49" w:rsidRPr="00AB375F" w:rsidRDefault="00723D49" w:rsidP="00C31172">
            <w:pPr>
              <w:ind w:left="-32" w:firstLine="32"/>
              <w:contextualSpacing/>
              <w:jc w:val="center"/>
              <w:rPr>
                <w:sz w:val="24"/>
                <w:szCs w:val="24"/>
              </w:rPr>
            </w:pPr>
            <w:r w:rsidRPr="00AB375F">
              <w:rPr>
                <w:sz w:val="24"/>
                <w:szCs w:val="24"/>
              </w:rPr>
              <w:t>1.1</w:t>
            </w:r>
          </w:p>
        </w:tc>
        <w:tc>
          <w:tcPr>
            <w:tcW w:w="4391" w:type="pct"/>
            <w:shd w:val="clear" w:color="auto" w:fill="auto"/>
            <w:vAlign w:val="center"/>
          </w:tcPr>
          <w:p w14:paraId="0967848C" w14:textId="12A39C0A" w:rsidR="00723D49" w:rsidRPr="00AB375F" w:rsidRDefault="00603DF9" w:rsidP="00C31172">
            <w:pPr>
              <w:contextualSpacing/>
              <w:rPr>
                <w:bCs/>
                <w:sz w:val="24"/>
                <w:szCs w:val="24"/>
              </w:rPr>
            </w:pPr>
            <w:hyperlink w:anchor="Purpose_Specific" w:history="1">
              <w:r w:rsidR="00723D49" w:rsidRPr="00AB375F">
                <w:rPr>
                  <w:rStyle w:val="Hyperlink"/>
                  <w:bCs/>
                  <w:sz w:val="24"/>
                  <w:szCs w:val="24"/>
                </w:rPr>
                <w:t>Purpose/Specific Aims</w:t>
              </w:r>
            </w:hyperlink>
          </w:p>
        </w:tc>
        <w:tc>
          <w:tcPr>
            <w:tcW w:w="192" w:type="pct"/>
            <w:shd w:val="clear" w:color="auto" w:fill="auto"/>
            <w:vAlign w:val="center"/>
          </w:tcPr>
          <w:p w14:paraId="290CA98F" w14:textId="535CDD20" w:rsidR="00723D49" w:rsidRPr="00AB375F" w:rsidRDefault="00723D49" w:rsidP="00C31172">
            <w:pPr>
              <w:pStyle w:val="ListParagraph"/>
              <w:ind w:left="0"/>
              <w:rPr>
                <w:b/>
                <w:bCs/>
                <w:sz w:val="24"/>
                <w:szCs w:val="24"/>
              </w:rPr>
            </w:pPr>
          </w:p>
        </w:tc>
      </w:tr>
      <w:tr w:rsidR="00723D49" w:rsidRPr="00AB375F" w14:paraId="4A663F36" w14:textId="2C5876A3" w:rsidTr="00723D49">
        <w:tc>
          <w:tcPr>
            <w:tcW w:w="125" w:type="pct"/>
            <w:shd w:val="clear" w:color="auto" w:fill="9CC2E5" w:themeFill="accent1" w:themeFillTint="99"/>
          </w:tcPr>
          <w:p w14:paraId="523BE35F"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5B333878" w14:textId="74ADFFD1" w:rsidR="00723D49" w:rsidRPr="00AB375F" w:rsidRDefault="00723D49" w:rsidP="00C31172">
            <w:pPr>
              <w:pStyle w:val="ListParagraph"/>
              <w:ind w:left="-32" w:firstLine="32"/>
              <w:jc w:val="center"/>
              <w:rPr>
                <w:sz w:val="24"/>
                <w:szCs w:val="24"/>
              </w:rPr>
            </w:pPr>
            <w:r w:rsidRPr="00AB375F">
              <w:rPr>
                <w:sz w:val="24"/>
                <w:szCs w:val="24"/>
              </w:rPr>
              <w:t>2.0</w:t>
            </w:r>
          </w:p>
        </w:tc>
        <w:tc>
          <w:tcPr>
            <w:tcW w:w="4391" w:type="pct"/>
            <w:shd w:val="clear" w:color="auto" w:fill="9CC2E5" w:themeFill="accent1" w:themeFillTint="99"/>
            <w:vAlign w:val="center"/>
          </w:tcPr>
          <w:p w14:paraId="41D6040D" w14:textId="5BC622D5" w:rsidR="00723D49" w:rsidRPr="00AB375F" w:rsidRDefault="00603DF9" w:rsidP="00C31172">
            <w:pPr>
              <w:contextualSpacing/>
              <w:rPr>
                <w:b/>
                <w:bCs/>
                <w:sz w:val="24"/>
                <w:szCs w:val="24"/>
              </w:rPr>
            </w:pPr>
            <w:hyperlink w:anchor="Research_Significance" w:history="1">
              <w:r w:rsidR="00723D49" w:rsidRPr="00AB375F">
                <w:rPr>
                  <w:rStyle w:val="Hyperlink"/>
                  <w:b/>
                  <w:bCs/>
                  <w:sz w:val="24"/>
                  <w:szCs w:val="24"/>
                </w:rPr>
                <w:t>Research Significance</w:t>
              </w:r>
            </w:hyperlink>
          </w:p>
        </w:tc>
        <w:tc>
          <w:tcPr>
            <w:tcW w:w="192" w:type="pct"/>
            <w:shd w:val="clear" w:color="auto" w:fill="9CC2E5" w:themeFill="accent1" w:themeFillTint="99"/>
            <w:vAlign w:val="center"/>
          </w:tcPr>
          <w:p w14:paraId="58CC21C1" w14:textId="2C9BF4AF" w:rsidR="00723D49" w:rsidRPr="00AB375F" w:rsidRDefault="00723D49" w:rsidP="00C31172">
            <w:pPr>
              <w:pStyle w:val="ListParagraph"/>
              <w:ind w:left="0"/>
              <w:rPr>
                <w:b/>
                <w:bCs/>
                <w:sz w:val="24"/>
                <w:szCs w:val="24"/>
              </w:rPr>
            </w:pPr>
          </w:p>
        </w:tc>
      </w:tr>
      <w:tr w:rsidR="00723D49" w:rsidRPr="00AB375F" w14:paraId="78441BE7" w14:textId="30891BF4" w:rsidTr="00723D49">
        <w:tc>
          <w:tcPr>
            <w:tcW w:w="125" w:type="pct"/>
          </w:tcPr>
          <w:p w14:paraId="1C561871" w14:textId="77777777" w:rsidR="00723D49" w:rsidRPr="00AB375F" w:rsidRDefault="00723D49" w:rsidP="00C31172">
            <w:pPr>
              <w:pStyle w:val="ListParagraph"/>
              <w:ind w:left="-32" w:firstLine="32"/>
              <w:jc w:val="center"/>
              <w:rPr>
                <w:sz w:val="24"/>
                <w:szCs w:val="24"/>
              </w:rPr>
            </w:pPr>
          </w:p>
        </w:tc>
        <w:tc>
          <w:tcPr>
            <w:tcW w:w="292" w:type="pct"/>
            <w:vAlign w:val="center"/>
          </w:tcPr>
          <w:p w14:paraId="3C7DCCFF" w14:textId="5E8E8375" w:rsidR="00723D49" w:rsidRPr="00AB375F" w:rsidRDefault="00723D49" w:rsidP="00C31172">
            <w:pPr>
              <w:pStyle w:val="ListParagraph"/>
              <w:ind w:left="-32" w:firstLine="32"/>
              <w:jc w:val="center"/>
              <w:rPr>
                <w:sz w:val="24"/>
                <w:szCs w:val="24"/>
              </w:rPr>
            </w:pPr>
            <w:r w:rsidRPr="00AB375F">
              <w:rPr>
                <w:sz w:val="24"/>
                <w:szCs w:val="24"/>
              </w:rPr>
              <w:t>2.1</w:t>
            </w:r>
          </w:p>
        </w:tc>
        <w:tc>
          <w:tcPr>
            <w:tcW w:w="4391" w:type="pct"/>
            <w:vAlign w:val="center"/>
          </w:tcPr>
          <w:p w14:paraId="4F93E850" w14:textId="570A2D6F" w:rsidR="00723D49" w:rsidRPr="00AB375F" w:rsidRDefault="00603DF9" w:rsidP="00E41FFB">
            <w:pPr>
              <w:rPr>
                <w:bCs/>
                <w:sz w:val="24"/>
                <w:szCs w:val="24"/>
              </w:rPr>
            </w:pPr>
            <w:hyperlink w:anchor="Research_Design" w:history="1">
              <w:r w:rsidR="00723D49" w:rsidRPr="00AB375F">
                <w:rPr>
                  <w:rStyle w:val="Hyperlink"/>
                  <w:bCs/>
                  <w:sz w:val="24"/>
                  <w:szCs w:val="24"/>
                </w:rPr>
                <w:t>Research Design and Methods</w:t>
              </w:r>
            </w:hyperlink>
          </w:p>
        </w:tc>
        <w:tc>
          <w:tcPr>
            <w:tcW w:w="192" w:type="pct"/>
            <w:vAlign w:val="center"/>
          </w:tcPr>
          <w:p w14:paraId="17022CE5" w14:textId="7606B22A" w:rsidR="00723D49" w:rsidRPr="00AB375F" w:rsidRDefault="00723D49" w:rsidP="00C31172">
            <w:pPr>
              <w:pStyle w:val="ListParagraph"/>
              <w:ind w:left="0"/>
              <w:rPr>
                <w:b/>
                <w:bCs/>
                <w:sz w:val="24"/>
                <w:szCs w:val="24"/>
              </w:rPr>
            </w:pPr>
          </w:p>
        </w:tc>
      </w:tr>
      <w:tr w:rsidR="00723D49" w:rsidRPr="00AB375F" w14:paraId="10E9731D" w14:textId="77777777" w:rsidTr="00723D49">
        <w:tc>
          <w:tcPr>
            <w:tcW w:w="125" w:type="pct"/>
          </w:tcPr>
          <w:p w14:paraId="1338F399" w14:textId="77777777" w:rsidR="00723D49" w:rsidRPr="00AB375F" w:rsidRDefault="00723D49" w:rsidP="00C31172">
            <w:pPr>
              <w:pStyle w:val="ListParagraph"/>
              <w:ind w:left="-32" w:firstLine="32"/>
              <w:jc w:val="center"/>
              <w:rPr>
                <w:sz w:val="24"/>
                <w:szCs w:val="24"/>
              </w:rPr>
            </w:pPr>
          </w:p>
        </w:tc>
        <w:tc>
          <w:tcPr>
            <w:tcW w:w="292" w:type="pct"/>
            <w:vAlign w:val="center"/>
          </w:tcPr>
          <w:p w14:paraId="235BD6C5" w14:textId="2DF460F9" w:rsidR="00723D49" w:rsidRPr="00AB375F" w:rsidRDefault="00723D49" w:rsidP="00C31172">
            <w:pPr>
              <w:pStyle w:val="ListParagraph"/>
              <w:ind w:left="-32" w:firstLine="32"/>
              <w:jc w:val="center"/>
              <w:rPr>
                <w:sz w:val="24"/>
                <w:szCs w:val="24"/>
              </w:rPr>
            </w:pPr>
            <w:r w:rsidRPr="00AB375F">
              <w:rPr>
                <w:sz w:val="24"/>
                <w:szCs w:val="24"/>
              </w:rPr>
              <w:t>2.2</w:t>
            </w:r>
          </w:p>
        </w:tc>
        <w:tc>
          <w:tcPr>
            <w:tcW w:w="4391" w:type="pct"/>
            <w:vAlign w:val="center"/>
          </w:tcPr>
          <w:p w14:paraId="306C3A9E" w14:textId="412E2C07" w:rsidR="00723D49" w:rsidRPr="00AB375F" w:rsidRDefault="00603DF9" w:rsidP="00E41FFB">
            <w:pPr>
              <w:rPr>
                <w:bCs/>
                <w:sz w:val="24"/>
                <w:szCs w:val="24"/>
              </w:rPr>
            </w:pPr>
            <w:hyperlink w:anchor="Date_Range" w:history="1">
              <w:r w:rsidR="00723D49" w:rsidRPr="00AB375F">
                <w:rPr>
                  <w:rStyle w:val="Hyperlink"/>
                  <w:bCs/>
                  <w:sz w:val="24"/>
                  <w:szCs w:val="24"/>
                </w:rPr>
                <w:t>Date Range For Record Review</w:t>
              </w:r>
            </w:hyperlink>
          </w:p>
        </w:tc>
        <w:tc>
          <w:tcPr>
            <w:tcW w:w="192" w:type="pct"/>
            <w:vAlign w:val="center"/>
          </w:tcPr>
          <w:p w14:paraId="43117CB1" w14:textId="79EDF83B" w:rsidR="00723D49" w:rsidRPr="00AB375F" w:rsidRDefault="00723D49" w:rsidP="00C31172">
            <w:pPr>
              <w:pStyle w:val="ListParagraph"/>
              <w:ind w:left="0"/>
              <w:rPr>
                <w:b/>
                <w:bCs/>
                <w:sz w:val="24"/>
                <w:szCs w:val="24"/>
              </w:rPr>
            </w:pPr>
          </w:p>
        </w:tc>
      </w:tr>
      <w:tr w:rsidR="00723D49" w:rsidRPr="00AB375F" w14:paraId="5194FD10" w14:textId="77777777" w:rsidTr="00723D49">
        <w:tc>
          <w:tcPr>
            <w:tcW w:w="125" w:type="pct"/>
          </w:tcPr>
          <w:p w14:paraId="2F9469AD" w14:textId="77777777" w:rsidR="00723D49" w:rsidRPr="00AB375F" w:rsidRDefault="00723D49" w:rsidP="00C31172">
            <w:pPr>
              <w:pStyle w:val="ListParagraph"/>
              <w:ind w:left="-32" w:firstLine="32"/>
              <w:jc w:val="center"/>
              <w:rPr>
                <w:sz w:val="24"/>
                <w:szCs w:val="24"/>
              </w:rPr>
            </w:pPr>
          </w:p>
        </w:tc>
        <w:tc>
          <w:tcPr>
            <w:tcW w:w="292" w:type="pct"/>
            <w:vAlign w:val="center"/>
          </w:tcPr>
          <w:p w14:paraId="7B9788C3" w14:textId="0AE5DE78" w:rsidR="00723D49" w:rsidRPr="00AB375F" w:rsidRDefault="00723D49" w:rsidP="00C31172">
            <w:pPr>
              <w:pStyle w:val="ListParagraph"/>
              <w:ind w:left="-32" w:firstLine="32"/>
              <w:jc w:val="center"/>
              <w:rPr>
                <w:sz w:val="24"/>
                <w:szCs w:val="24"/>
              </w:rPr>
            </w:pPr>
            <w:r w:rsidRPr="00AB375F">
              <w:rPr>
                <w:sz w:val="24"/>
                <w:szCs w:val="24"/>
              </w:rPr>
              <w:t>2.3</w:t>
            </w:r>
          </w:p>
        </w:tc>
        <w:tc>
          <w:tcPr>
            <w:tcW w:w="4391" w:type="pct"/>
            <w:vAlign w:val="center"/>
          </w:tcPr>
          <w:p w14:paraId="3F411DA1" w14:textId="154B0F52" w:rsidR="00723D49" w:rsidRPr="00AB375F" w:rsidRDefault="00603DF9" w:rsidP="00E41FFB">
            <w:pPr>
              <w:rPr>
                <w:bCs/>
                <w:sz w:val="24"/>
                <w:szCs w:val="24"/>
              </w:rPr>
            </w:pPr>
            <w:hyperlink w:anchor="Record_Selection" w:history="1">
              <w:r w:rsidR="00723D49" w:rsidRPr="00AB375F">
                <w:rPr>
                  <w:rStyle w:val="Hyperlink"/>
                  <w:bCs/>
                  <w:sz w:val="24"/>
                  <w:szCs w:val="24"/>
                </w:rPr>
                <w:t>Record Selection</w:t>
              </w:r>
            </w:hyperlink>
          </w:p>
        </w:tc>
        <w:tc>
          <w:tcPr>
            <w:tcW w:w="192" w:type="pct"/>
            <w:vAlign w:val="center"/>
          </w:tcPr>
          <w:p w14:paraId="401A7205" w14:textId="3958DCC1" w:rsidR="00723D49" w:rsidRPr="00AB375F" w:rsidRDefault="00723D49" w:rsidP="00C31172">
            <w:pPr>
              <w:pStyle w:val="ListParagraph"/>
              <w:ind w:left="0"/>
              <w:rPr>
                <w:b/>
                <w:bCs/>
                <w:sz w:val="24"/>
                <w:szCs w:val="24"/>
              </w:rPr>
            </w:pPr>
          </w:p>
        </w:tc>
      </w:tr>
      <w:tr w:rsidR="00723D49" w:rsidRPr="00AB375F" w14:paraId="3FEC6629" w14:textId="77777777" w:rsidTr="00723D49">
        <w:tc>
          <w:tcPr>
            <w:tcW w:w="125" w:type="pct"/>
            <w:shd w:val="clear" w:color="auto" w:fill="9CC2E5" w:themeFill="accent1" w:themeFillTint="99"/>
          </w:tcPr>
          <w:p w14:paraId="7C2B61F0"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204B2897" w14:textId="6BA6E1A5" w:rsidR="00723D49" w:rsidRPr="00AB375F" w:rsidRDefault="00723D49" w:rsidP="00C31172">
            <w:pPr>
              <w:pStyle w:val="ListParagraph"/>
              <w:ind w:left="-32" w:firstLine="32"/>
              <w:jc w:val="center"/>
              <w:rPr>
                <w:sz w:val="24"/>
                <w:szCs w:val="24"/>
              </w:rPr>
            </w:pPr>
            <w:r w:rsidRPr="00AB375F">
              <w:rPr>
                <w:sz w:val="24"/>
                <w:szCs w:val="24"/>
              </w:rPr>
              <w:t>3.0</w:t>
            </w:r>
          </w:p>
        </w:tc>
        <w:tc>
          <w:tcPr>
            <w:tcW w:w="4391" w:type="pct"/>
            <w:shd w:val="clear" w:color="auto" w:fill="9CC2E5" w:themeFill="accent1" w:themeFillTint="99"/>
            <w:vAlign w:val="center"/>
          </w:tcPr>
          <w:p w14:paraId="53E26ABF" w14:textId="7F66A815" w:rsidR="00723D49" w:rsidRPr="00AB375F" w:rsidRDefault="00603DF9" w:rsidP="00C31172">
            <w:pPr>
              <w:pStyle w:val="ListParagraph"/>
              <w:ind w:left="0"/>
              <w:rPr>
                <w:b/>
                <w:bCs/>
                <w:sz w:val="24"/>
                <w:szCs w:val="24"/>
              </w:rPr>
            </w:pPr>
            <w:hyperlink w:anchor="Study_Variables" w:history="1">
              <w:r w:rsidR="00723D49" w:rsidRPr="00AB375F">
                <w:rPr>
                  <w:rStyle w:val="Hyperlink"/>
                  <w:b/>
                  <w:bCs/>
                  <w:sz w:val="24"/>
                  <w:szCs w:val="24"/>
                </w:rPr>
                <w:t>Study Variables</w:t>
              </w:r>
            </w:hyperlink>
          </w:p>
        </w:tc>
        <w:tc>
          <w:tcPr>
            <w:tcW w:w="192" w:type="pct"/>
            <w:shd w:val="clear" w:color="auto" w:fill="9CC2E5" w:themeFill="accent1" w:themeFillTint="99"/>
            <w:vAlign w:val="center"/>
          </w:tcPr>
          <w:p w14:paraId="3026147A" w14:textId="2119B28E" w:rsidR="00723D49" w:rsidRPr="00AB375F" w:rsidRDefault="00723D49" w:rsidP="00C31172">
            <w:pPr>
              <w:pStyle w:val="ListParagraph"/>
              <w:ind w:left="0"/>
              <w:rPr>
                <w:b/>
                <w:bCs/>
                <w:sz w:val="24"/>
                <w:szCs w:val="24"/>
              </w:rPr>
            </w:pPr>
          </w:p>
        </w:tc>
      </w:tr>
      <w:tr w:rsidR="00723D49" w:rsidRPr="00AB375F" w14:paraId="7D5355F3" w14:textId="77777777" w:rsidTr="00723D49">
        <w:tc>
          <w:tcPr>
            <w:tcW w:w="125" w:type="pct"/>
          </w:tcPr>
          <w:p w14:paraId="20AF5AF2" w14:textId="77777777" w:rsidR="00723D49" w:rsidRPr="00AB375F" w:rsidRDefault="00723D49" w:rsidP="00C31172">
            <w:pPr>
              <w:pStyle w:val="ListParagraph"/>
              <w:ind w:left="-32" w:firstLine="32"/>
              <w:jc w:val="center"/>
              <w:rPr>
                <w:sz w:val="24"/>
                <w:szCs w:val="24"/>
              </w:rPr>
            </w:pPr>
          </w:p>
        </w:tc>
        <w:tc>
          <w:tcPr>
            <w:tcW w:w="292" w:type="pct"/>
            <w:vAlign w:val="center"/>
          </w:tcPr>
          <w:p w14:paraId="655EB5A2" w14:textId="27591CB7" w:rsidR="00723D49" w:rsidRPr="00AB375F" w:rsidRDefault="00723D49" w:rsidP="00C31172">
            <w:pPr>
              <w:pStyle w:val="ListParagraph"/>
              <w:ind w:left="-32" w:firstLine="32"/>
              <w:jc w:val="center"/>
              <w:rPr>
                <w:sz w:val="24"/>
                <w:szCs w:val="24"/>
              </w:rPr>
            </w:pPr>
            <w:r w:rsidRPr="00AB375F">
              <w:rPr>
                <w:sz w:val="24"/>
                <w:szCs w:val="24"/>
              </w:rPr>
              <w:t>3.1</w:t>
            </w:r>
          </w:p>
        </w:tc>
        <w:tc>
          <w:tcPr>
            <w:tcW w:w="4391" w:type="pct"/>
            <w:vAlign w:val="center"/>
          </w:tcPr>
          <w:p w14:paraId="6EF00DE3" w14:textId="7E60DF2D" w:rsidR="00723D49" w:rsidRPr="00AB375F" w:rsidRDefault="00603DF9" w:rsidP="00E41FFB">
            <w:pPr>
              <w:rPr>
                <w:bCs/>
                <w:sz w:val="24"/>
                <w:szCs w:val="24"/>
              </w:rPr>
            </w:pPr>
            <w:hyperlink w:anchor="Independent_Variables" w:history="1">
              <w:r w:rsidR="00723D49" w:rsidRPr="00AB375F">
                <w:rPr>
                  <w:rStyle w:val="Hyperlink"/>
                  <w:bCs/>
                  <w:sz w:val="24"/>
                  <w:szCs w:val="24"/>
                </w:rPr>
                <w:t>Independent Variables</w:t>
              </w:r>
            </w:hyperlink>
          </w:p>
        </w:tc>
        <w:tc>
          <w:tcPr>
            <w:tcW w:w="192" w:type="pct"/>
            <w:vAlign w:val="center"/>
          </w:tcPr>
          <w:p w14:paraId="0A51C085" w14:textId="71E3AE46" w:rsidR="00723D49" w:rsidRPr="00AB375F" w:rsidRDefault="00723D49" w:rsidP="00C31172">
            <w:pPr>
              <w:pStyle w:val="ListParagraph"/>
              <w:ind w:left="0"/>
              <w:rPr>
                <w:b/>
                <w:bCs/>
                <w:sz w:val="24"/>
                <w:szCs w:val="24"/>
              </w:rPr>
            </w:pPr>
          </w:p>
        </w:tc>
      </w:tr>
      <w:tr w:rsidR="00723D49" w:rsidRPr="00AB375F" w14:paraId="3582D606" w14:textId="77777777" w:rsidTr="00723D49">
        <w:tc>
          <w:tcPr>
            <w:tcW w:w="125" w:type="pct"/>
          </w:tcPr>
          <w:p w14:paraId="0658CB60" w14:textId="77777777" w:rsidR="00723D49" w:rsidRPr="00AB375F" w:rsidRDefault="00723D49" w:rsidP="00C31172">
            <w:pPr>
              <w:pStyle w:val="ListParagraph"/>
              <w:ind w:left="-32" w:firstLine="32"/>
              <w:jc w:val="center"/>
              <w:rPr>
                <w:sz w:val="24"/>
                <w:szCs w:val="24"/>
              </w:rPr>
            </w:pPr>
          </w:p>
        </w:tc>
        <w:tc>
          <w:tcPr>
            <w:tcW w:w="292" w:type="pct"/>
            <w:vAlign w:val="center"/>
          </w:tcPr>
          <w:p w14:paraId="0D96D8F8" w14:textId="0240ADD1" w:rsidR="00723D49" w:rsidRPr="00AB375F" w:rsidRDefault="00723D49" w:rsidP="00C31172">
            <w:pPr>
              <w:pStyle w:val="ListParagraph"/>
              <w:ind w:left="-32" w:firstLine="32"/>
              <w:jc w:val="center"/>
              <w:rPr>
                <w:sz w:val="24"/>
                <w:szCs w:val="24"/>
              </w:rPr>
            </w:pPr>
            <w:r w:rsidRPr="00AB375F">
              <w:rPr>
                <w:sz w:val="24"/>
                <w:szCs w:val="24"/>
              </w:rPr>
              <w:t>3.2</w:t>
            </w:r>
          </w:p>
        </w:tc>
        <w:tc>
          <w:tcPr>
            <w:tcW w:w="4391" w:type="pct"/>
            <w:vAlign w:val="center"/>
          </w:tcPr>
          <w:p w14:paraId="0180D735" w14:textId="7D6B0474" w:rsidR="00723D49" w:rsidRPr="00AB375F" w:rsidRDefault="00603DF9" w:rsidP="00E41FFB">
            <w:pPr>
              <w:rPr>
                <w:bCs/>
                <w:sz w:val="24"/>
                <w:szCs w:val="24"/>
              </w:rPr>
            </w:pPr>
            <w:hyperlink w:anchor="Dependent_Variables" w:history="1">
              <w:r w:rsidR="00723D49" w:rsidRPr="00AB375F">
                <w:rPr>
                  <w:rStyle w:val="Hyperlink"/>
                  <w:bCs/>
                  <w:sz w:val="24"/>
                  <w:szCs w:val="24"/>
                </w:rPr>
                <w:t>Dependent Variables</w:t>
              </w:r>
            </w:hyperlink>
          </w:p>
        </w:tc>
        <w:tc>
          <w:tcPr>
            <w:tcW w:w="192" w:type="pct"/>
            <w:vAlign w:val="center"/>
          </w:tcPr>
          <w:p w14:paraId="46CCAFD8" w14:textId="46A1B894" w:rsidR="00723D49" w:rsidRPr="00AB375F" w:rsidRDefault="00723D49" w:rsidP="00C31172">
            <w:pPr>
              <w:pStyle w:val="ListParagraph"/>
              <w:ind w:left="0"/>
              <w:rPr>
                <w:b/>
                <w:bCs/>
                <w:sz w:val="24"/>
                <w:szCs w:val="24"/>
              </w:rPr>
            </w:pPr>
          </w:p>
        </w:tc>
      </w:tr>
      <w:tr w:rsidR="00723D49" w:rsidRPr="00AB375F" w14:paraId="042BA750" w14:textId="1CCA2AA1" w:rsidTr="00723D49">
        <w:tc>
          <w:tcPr>
            <w:tcW w:w="125" w:type="pct"/>
            <w:shd w:val="clear" w:color="auto" w:fill="9CC2E5" w:themeFill="accent1" w:themeFillTint="99"/>
          </w:tcPr>
          <w:p w14:paraId="75C93D82"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14D009E3" w14:textId="177EC7F2" w:rsidR="00723D49" w:rsidRPr="00AB375F" w:rsidRDefault="00723D49" w:rsidP="00C31172">
            <w:pPr>
              <w:pStyle w:val="ListParagraph"/>
              <w:ind w:left="-32" w:firstLine="32"/>
              <w:jc w:val="center"/>
              <w:rPr>
                <w:sz w:val="24"/>
                <w:szCs w:val="24"/>
              </w:rPr>
            </w:pPr>
            <w:r w:rsidRPr="00AB375F">
              <w:rPr>
                <w:sz w:val="24"/>
                <w:szCs w:val="24"/>
              </w:rPr>
              <w:t>4.0</w:t>
            </w:r>
          </w:p>
        </w:tc>
        <w:tc>
          <w:tcPr>
            <w:tcW w:w="4391" w:type="pct"/>
            <w:shd w:val="clear" w:color="auto" w:fill="9CC2E5" w:themeFill="accent1" w:themeFillTint="99"/>
            <w:vAlign w:val="center"/>
          </w:tcPr>
          <w:p w14:paraId="302485BE" w14:textId="6F0E5B43" w:rsidR="00723D49" w:rsidRPr="00AB375F" w:rsidRDefault="00603DF9" w:rsidP="00C31172">
            <w:pPr>
              <w:pStyle w:val="ListParagraph"/>
              <w:ind w:left="0"/>
              <w:rPr>
                <w:b/>
                <w:bCs/>
                <w:sz w:val="24"/>
                <w:szCs w:val="24"/>
              </w:rPr>
            </w:pPr>
            <w:hyperlink w:anchor="Project_Management" w:history="1">
              <w:r w:rsidR="00723D49" w:rsidRPr="00AB375F">
                <w:rPr>
                  <w:rStyle w:val="Hyperlink"/>
                  <w:b/>
                  <w:bCs/>
                  <w:sz w:val="24"/>
                  <w:szCs w:val="24"/>
                </w:rPr>
                <w:t>Project Management</w:t>
              </w:r>
            </w:hyperlink>
          </w:p>
        </w:tc>
        <w:tc>
          <w:tcPr>
            <w:tcW w:w="192" w:type="pct"/>
            <w:shd w:val="clear" w:color="auto" w:fill="9CC2E5" w:themeFill="accent1" w:themeFillTint="99"/>
            <w:vAlign w:val="center"/>
          </w:tcPr>
          <w:p w14:paraId="12D22E05" w14:textId="4532D710" w:rsidR="00723D49" w:rsidRPr="00AB375F" w:rsidRDefault="00723D49" w:rsidP="00C31172">
            <w:pPr>
              <w:pStyle w:val="ListParagraph"/>
              <w:ind w:left="0"/>
              <w:rPr>
                <w:b/>
                <w:bCs/>
                <w:sz w:val="24"/>
                <w:szCs w:val="24"/>
              </w:rPr>
            </w:pPr>
          </w:p>
        </w:tc>
      </w:tr>
      <w:tr w:rsidR="00723D49" w:rsidRPr="00AB375F" w14:paraId="379C655D" w14:textId="26B63284" w:rsidTr="00723D49">
        <w:tc>
          <w:tcPr>
            <w:tcW w:w="125" w:type="pct"/>
          </w:tcPr>
          <w:p w14:paraId="55D02D48" w14:textId="77777777" w:rsidR="00723D49" w:rsidRPr="00AB375F" w:rsidRDefault="00723D49" w:rsidP="00C31172">
            <w:pPr>
              <w:pStyle w:val="ListParagraph"/>
              <w:ind w:left="-32" w:firstLine="32"/>
              <w:jc w:val="center"/>
              <w:rPr>
                <w:sz w:val="24"/>
                <w:szCs w:val="24"/>
              </w:rPr>
            </w:pPr>
          </w:p>
        </w:tc>
        <w:tc>
          <w:tcPr>
            <w:tcW w:w="292" w:type="pct"/>
            <w:vAlign w:val="center"/>
          </w:tcPr>
          <w:p w14:paraId="0E52869B" w14:textId="4449946F" w:rsidR="00723D49" w:rsidRPr="00AB375F" w:rsidRDefault="00723D49" w:rsidP="00C31172">
            <w:pPr>
              <w:pStyle w:val="ListParagraph"/>
              <w:ind w:left="-32" w:firstLine="32"/>
              <w:jc w:val="center"/>
              <w:rPr>
                <w:sz w:val="24"/>
                <w:szCs w:val="24"/>
              </w:rPr>
            </w:pPr>
            <w:r w:rsidRPr="00AB375F">
              <w:rPr>
                <w:sz w:val="24"/>
                <w:szCs w:val="24"/>
              </w:rPr>
              <w:t>4.1</w:t>
            </w:r>
          </w:p>
        </w:tc>
        <w:tc>
          <w:tcPr>
            <w:tcW w:w="4391" w:type="pct"/>
            <w:vAlign w:val="center"/>
          </w:tcPr>
          <w:p w14:paraId="19BE6103" w14:textId="0C17F65A" w:rsidR="00723D49" w:rsidRPr="00AB375F" w:rsidRDefault="00603DF9" w:rsidP="00E41FFB">
            <w:pPr>
              <w:rPr>
                <w:bCs/>
                <w:sz w:val="24"/>
                <w:szCs w:val="24"/>
              </w:rPr>
            </w:pPr>
            <w:hyperlink w:anchor="Research_Staff" w:history="1">
              <w:r w:rsidR="00723D49" w:rsidRPr="00AB375F">
                <w:rPr>
                  <w:rStyle w:val="Hyperlink"/>
                  <w:bCs/>
                  <w:sz w:val="24"/>
                  <w:szCs w:val="24"/>
                </w:rPr>
                <w:t>Research Staff and Qualifications</w:t>
              </w:r>
            </w:hyperlink>
          </w:p>
        </w:tc>
        <w:tc>
          <w:tcPr>
            <w:tcW w:w="192" w:type="pct"/>
            <w:vAlign w:val="center"/>
          </w:tcPr>
          <w:p w14:paraId="36BCABCC" w14:textId="4A715DB9" w:rsidR="00723D49" w:rsidRPr="00AB375F" w:rsidRDefault="00723D49" w:rsidP="00C31172">
            <w:pPr>
              <w:pStyle w:val="ListParagraph"/>
              <w:ind w:left="0"/>
              <w:rPr>
                <w:b/>
                <w:bCs/>
                <w:sz w:val="24"/>
                <w:szCs w:val="24"/>
              </w:rPr>
            </w:pPr>
          </w:p>
        </w:tc>
      </w:tr>
      <w:tr w:rsidR="00723D49" w:rsidRPr="00AB375F" w14:paraId="78452F8C" w14:textId="77777777" w:rsidTr="00723D49">
        <w:tc>
          <w:tcPr>
            <w:tcW w:w="125" w:type="pct"/>
          </w:tcPr>
          <w:p w14:paraId="19BBB368" w14:textId="77777777" w:rsidR="00723D49" w:rsidRPr="00AB375F" w:rsidRDefault="00723D49" w:rsidP="00C31172">
            <w:pPr>
              <w:pStyle w:val="ListParagraph"/>
              <w:ind w:left="-32" w:firstLine="32"/>
              <w:jc w:val="center"/>
              <w:rPr>
                <w:sz w:val="24"/>
                <w:szCs w:val="24"/>
              </w:rPr>
            </w:pPr>
          </w:p>
        </w:tc>
        <w:tc>
          <w:tcPr>
            <w:tcW w:w="292" w:type="pct"/>
            <w:vAlign w:val="center"/>
          </w:tcPr>
          <w:p w14:paraId="74A8E276" w14:textId="2E65FD85" w:rsidR="00723D49" w:rsidRPr="00AB375F" w:rsidRDefault="00723D49" w:rsidP="00C31172">
            <w:pPr>
              <w:pStyle w:val="ListParagraph"/>
              <w:ind w:left="-32" w:firstLine="32"/>
              <w:jc w:val="center"/>
              <w:rPr>
                <w:sz w:val="24"/>
                <w:szCs w:val="24"/>
              </w:rPr>
            </w:pPr>
            <w:r w:rsidRPr="00AB375F">
              <w:rPr>
                <w:sz w:val="24"/>
                <w:szCs w:val="24"/>
              </w:rPr>
              <w:t>4.2</w:t>
            </w:r>
          </w:p>
        </w:tc>
        <w:tc>
          <w:tcPr>
            <w:tcW w:w="4391" w:type="pct"/>
            <w:vAlign w:val="center"/>
          </w:tcPr>
          <w:p w14:paraId="7F8070A1" w14:textId="0F02ACB9" w:rsidR="00723D49" w:rsidRPr="00AB375F" w:rsidRDefault="00603DF9" w:rsidP="00E41FFB">
            <w:pPr>
              <w:rPr>
                <w:bCs/>
                <w:sz w:val="24"/>
                <w:szCs w:val="24"/>
              </w:rPr>
            </w:pPr>
            <w:hyperlink w:anchor="Research_Sites" w:history="1">
              <w:r w:rsidR="00723D49" w:rsidRPr="00AB375F">
                <w:rPr>
                  <w:rStyle w:val="Hyperlink"/>
                  <w:bCs/>
                  <w:sz w:val="24"/>
                  <w:szCs w:val="24"/>
                </w:rPr>
                <w:t>Research Sites</w:t>
              </w:r>
            </w:hyperlink>
          </w:p>
        </w:tc>
        <w:tc>
          <w:tcPr>
            <w:tcW w:w="192" w:type="pct"/>
            <w:vAlign w:val="center"/>
          </w:tcPr>
          <w:p w14:paraId="7D6DCC57" w14:textId="7A256509" w:rsidR="00723D49" w:rsidRPr="00AB375F" w:rsidRDefault="00723D49" w:rsidP="00C31172">
            <w:pPr>
              <w:pStyle w:val="ListParagraph"/>
              <w:ind w:left="0"/>
              <w:rPr>
                <w:b/>
                <w:bCs/>
                <w:sz w:val="24"/>
                <w:szCs w:val="24"/>
              </w:rPr>
            </w:pPr>
          </w:p>
        </w:tc>
      </w:tr>
      <w:tr w:rsidR="00723D49" w:rsidRPr="00AB375F" w14:paraId="5063BF8A" w14:textId="77777777" w:rsidTr="00723D49">
        <w:tc>
          <w:tcPr>
            <w:tcW w:w="125" w:type="pct"/>
          </w:tcPr>
          <w:p w14:paraId="7D1595FF" w14:textId="77777777" w:rsidR="00723D49" w:rsidRPr="00AB375F" w:rsidRDefault="00723D49" w:rsidP="00C31172">
            <w:pPr>
              <w:pStyle w:val="ListParagraph"/>
              <w:ind w:left="-32" w:firstLine="32"/>
              <w:jc w:val="center"/>
              <w:rPr>
                <w:sz w:val="24"/>
                <w:szCs w:val="24"/>
              </w:rPr>
            </w:pPr>
          </w:p>
        </w:tc>
        <w:tc>
          <w:tcPr>
            <w:tcW w:w="292" w:type="pct"/>
            <w:vAlign w:val="center"/>
          </w:tcPr>
          <w:p w14:paraId="66F91C6D" w14:textId="50DE5953" w:rsidR="00723D49" w:rsidRPr="00AB375F" w:rsidRDefault="00723D49" w:rsidP="00C31172">
            <w:pPr>
              <w:pStyle w:val="ListParagraph"/>
              <w:ind w:left="-32" w:firstLine="32"/>
              <w:jc w:val="center"/>
              <w:rPr>
                <w:sz w:val="24"/>
                <w:szCs w:val="24"/>
              </w:rPr>
            </w:pPr>
            <w:r w:rsidRPr="00AB375F">
              <w:rPr>
                <w:sz w:val="24"/>
                <w:szCs w:val="24"/>
              </w:rPr>
              <w:t>4.3</w:t>
            </w:r>
          </w:p>
        </w:tc>
        <w:tc>
          <w:tcPr>
            <w:tcW w:w="4391" w:type="pct"/>
            <w:vAlign w:val="center"/>
          </w:tcPr>
          <w:p w14:paraId="386DB38C" w14:textId="0E04BDFC" w:rsidR="00723D49" w:rsidRPr="00AB375F" w:rsidRDefault="00603DF9" w:rsidP="00E41FFB">
            <w:pPr>
              <w:rPr>
                <w:bCs/>
                <w:sz w:val="24"/>
                <w:szCs w:val="24"/>
              </w:rPr>
            </w:pPr>
            <w:hyperlink w:anchor="Non_Rutgers_Research_Sites" w:history="1">
              <w:r w:rsidR="00723D49" w:rsidRPr="00AB375F">
                <w:rPr>
                  <w:rStyle w:val="Hyperlink"/>
                  <w:bCs/>
                  <w:sz w:val="24"/>
                  <w:szCs w:val="24"/>
                </w:rPr>
                <w:t>Non-Rutgers Research Sites</w:t>
              </w:r>
            </w:hyperlink>
          </w:p>
        </w:tc>
        <w:tc>
          <w:tcPr>
            <w:tcW w:w="192" w:type="pct"/>
            <w:vAlign w:val="center"/>
          </w:tcPr>
          <w:p w14:paraId="638DC24C" w14:textId="07A1FA84" w:rsidR="00723D49" w:rsidRPr="00AB375F" w:rsidRDefault="00723D49" w:rsidP="00C31172">
            <w:pPr>
              <w:pStyle w:val="ListParagraph"/>
              <w:ind w:left="0"/>
              <w:rPr>
                <w:b/>
                <w:bCs/>
                <w:sz w:val="24"/>
                <w:szCs w:val="24"/>
              </w:rPr>
            </w:pPr>
          </w:p>
        </w:tc>
      </w:tr>
      <w:tr w:rsidR="00723D49" w:rsidRPr="00AB375F" w14:paraId="508925B5" w14:textId="34BBF325" w:rsidTr="00723D49">
        <w:tc>
          <w:tcPr>
            <w:tcW w:w="125" w:type="pct"/>
            <w:shd w:val="clear" w:color="auto" w:fill="9CC2E5" w:themeFill="accent1" w:themeFillTint="99"/>
          </w:tcPr>
          <w:p w14:paraId="66B04592"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715944D5" w14:textId="40285777" w:rsidR="00723D49" w:rsidRPr="00AB375F" w:rsidRDefault="00723D49" w:rsidP="00C31172">
            <w:pPr>
              <w:pStyle w:val="ListParagraph"/>
              <w:ind w:left="-32" w:firstLine="32"/>
              <w:jc w:val="center"/>
              <w:rPr>
                <w:sz w:val="24"/>
                <w:szCs w:val="24"/>
              </w:rPr>
            </w:pPr>
            <w:r w:rsidRPr="00AB375F">
              <w:rPr>
                <w:sz w:val="24"/>
                <w:szCs w:val="24"/>
              </w:rPr>
              <w:t>5.0</w:t>
            </w:r>
          </w:p>
        </w:tc>
        <w:tc>
          <w:tcPr>
            <w:tcW w:w="4391" w:type="pct"/>
            <w:shd w:val="clear" w:color="auto" w:fill="9CC2E5" w:themeFill="accent1" w:themeFillTint="99"/>
            <w:vAlign w:val="center"/>
          </w:tcPr>
          <w:p w14:paraId="37764D88" w14:textId="7DC45E0E" w:rsidR="00723D49" w:rsidRPr="00AB375F" w:rsidRDefault="00603DF9" w:rsidP="00C31172">
            <w:pPr>
              <w:pStyle w:val="ListParagraph"/>
              <w:ind w:left="0"/>
              <w:rPr>
                <w:b/>
                <w:bCs/>
                <w:sz w:val="24"/>
                <w:szCs w:val="24"/>
              </w:rPr>
            </w:pPr>
            <w:hyperlink w:anchor="Research_Data_Sources" w:history="1">
              <w:r w:rsidR="00723D49" w:rsidRPr="00AB375F">
                <w:rPr>
                  <w:rStyle w:val="Hyperlink"/>
                  <w:b/>
                  <w:bCs/>
                  <w:sz w:val="24"/>
                  <w:szCs w:val="24"/>
                </w:rPr>
                <w:t>Research Data Source/s</w:t>
              </w:r>
            </w:hyperlink>
          </w:p>
        </w:tc>
        <w:tc>
          <w:tcPr>
            <w:tcW w:w="192" w:type="pct"/>
            <w:shd w:val="clear" w:color="auto" w:fill="9CC2E5" w:themeFill="accent1" w:themeFillTint="99"/>
            <w:vAlign w:val="center"/>
          </w:tcPr>
          <w:p w14:paraId="296BB054" w14:textId="6C145153" w:rsidR="00723D49" w:rsidRPr="00AB375F" w:rsidRDefault="00723D49" w:rsidP="00C31172">
            <w:pPr>
              <w:pStyle w:val="ListParagraph"/>
              <w:ind w:left="0"/>
              <w:rPr>
                <w:b/>
                <w:bCs/>
                <w:sz w:val="24"/>
                <w:szCs w:val="24"/>
              </w:rPr>
            </w:pPr>
          </w:p>
        </w:tc>
      </w:tr>
      <w:tr w:rsidR="00723D49" w:rsidRPr="00AB375F" w14:paraId="6192471C" w14:textId="75F5C106" w:rsidTr="00723D49">
        <w:tc>
          <w:tcPr>
            <w:tcW w:w="125" w:type="pct"/>
          </w:tcPr>
          <w:p w14:paraId="61DB2D91" w14:textId="77777777" w:rsidR="00723D49" w:rsidRPr="00AB375F" w:rsidRDefault="00723D49" w:rsidP="00C31172">
            <w:pPr>
              <w:pStyle w:val="ListParagraph"/>
              <w:ind w:left="-32" w:firstLine="32"/>
              <w:jc w:val="center"/>
              <w:rPr>
                <w:sz w:val="24"/>
                <w:szCs w:val="24"/>
              </w:rPr>
            </w:pPr>
          </w:p>
        </w:tc>
        <w:tc>
          <w:tcPr>
            <w:tcW w:w="292" w:type="pct"/>
            <w:vAlign w:val="center"/>
          </w:tcPr>
          <w:p w14:paraId="43345BD5" w14:textId="1369EDF9" w:rsidR="00723D49" w:rsidRPr="00AB375F" w:rsidRDefault="00723D49" w:rsidP="00C31172">
            <w:pPr>
              <w:pStyle w:val="ListParagraph"/>
              <w:ind w:left="-32" w:firstLine="32"/>
              <w:jc w:val="center"/>
              <w:rPr>
                <w:sz w:val="24"/>
                <w:szCs w:val="24"/>
              </w:rPr>
            </w:pPr>
            <w:r w:rsidRPr="00AB375F">
              <w:rPr>
                <w:sz w:val="24"/>
                <w:szCs w:val="24"/>
              </w:rPr>
              <w:t>5.1</w:t>
            </w:r>
          </w:p>
        </w:tc>
        <w:tc>
          <w:tcPr>
            <w:tcW w:w="4391" w:type="pct"/>
            <w:vAlign w:val="center"/>
          </w:tcPr>
          <w:p w14:paraId="1AD11152" w14:textId="08B28210" w:rsidR="00723D49" w:rsidRPr="00AB375F" w:rsidRDefault="00603DF9" w:rsidP="009B1DE1">
            <w:pPr>
              <w:rPr>
                <w:bCs/>
                <w:sz w:val="24"/>
                <w:szCs w:val="24"/>
              </w:rPr>
            </w:pPr>
            <w:hyperlink w:anchor="Secondary_Data" w:history="1">
              <w:r w:rsidR="00723D49" w:rsidRPr="00AB375F">
                <w:rPr>
                  <w:rStyle w:val="Hyperlink"/>
                  <w:bCs/>
                  <w:sz w:val="24"/>
                  <w:szCs w:val="24"/>
                </w:rPr>
                <w:t>Secondary Data – Chart Review Process</w:t>
              </w:r>
            </w:hyperlink>
          </w:p>
        </w:tc>
        <w:tc>
          <w:tcPr>
            <w:tcW w:w="192" w:type="pct"/>
            <w:vAlign w:val="center"/>
          </w:tcPr>
          <w:p w14:paraId="6FFB0614" w14:textId="6280BFE8" w:rsidR="00723D49" w:rsidRPr="00AB375F" w:rsidRDefault="00723D49" w:rsidP="00C31172">
            <w:pPr>
              <w:pStyle w:val="ListParagraph"/>
              <w:ind w:left="0"/>
              <w:rPr>
                <w:b/>
                <w:bCs/>
                <w:sz w:val="24"/>
                <w:szCs w:val="24"/>
              </w:rPr>
            </w:pPr>
          </w:p>
        </w:tc>
      </w:tr>
      <w:tr w:rsidR="00723D49" w:rsidRPr="00AB375F" w14:paraId="0F6D302C" w14:textId="67836D93" w:rsidTr="00723D49">
        <w:tc>
          <w:tcPr>
            <w:tcW w:w="125" w:type="pct"/>
          </w:tcPr>
          <w:p w14:paraId="519B8B41" w14:textId="77777777" w:rsidR="00723D49" w:rsidRPr="00AB375F" w:rsidRDefault="00723D49" w:rsidP="00C31172">
            <w:pPr>
              <w:pStyle w:val="ListParagraph"/>
              <w:ind w:left="-32" w:firstLine="32"/>
              <w:jc w:val="center"/>
              <w:rPr>
                <w:sz w:val="24"/>
                <w:szCs w:val="24"/>
              </w:rPr>
            </w:pPr>
          </w:p>
        </w:tc>
        <w:tc>
          <w:tcPr>
            <w:tcW w:w="292" w:type="pct"/>
            <w:vAlign w:val="center"/>
          </w:tcPr>
          <w:p w14:paraId="6CF8BB82" w14:textId="306FF1C9" w:rsidR="00723D49" w:rsidRPr="00AB375F" w:rsidRDefault="00723D49" w:rsidP="00C31172">
            <w:pPr>
              <w:pStyle w:val="ListParagraph"/>
              <w:ind w:left="-32" w:firstLine="32"/>
              <w:jc w:val="center"/>
              <w:rPr>
                <w:sz w:val="24"/>
                <w:szCs w:val="24"/>
              </w:rPr>
            </w:pPr>
            <w:r w:rsidRPr="00AB375F">
              <w:rPr>
                <w:sz w:val="24"/>
                <w:szCs w:val="24"/>
              </w:rPr>
              <w:t>5.2</w:t>
            </w:r>
          </w:p>
        </w:tc>
        <w:tc>
          <w:tcPr>
            <w:tcW w:w="4391" w:type="pct"/>
            <w:vAlign w:val="center"/>
          </w:tcPr>
          <w:p w14:paraId="43BEF296" w14:textId="4AB3C0D0" w:rsidR="00723D49" w:rsidRPr="00AB375F" w:rsidRDefault="00603DF9" w:rsidP="00746226">
            <w:pPr>
              <w:rPr>
                <w:bCs/>
                <w:sz w:val="24"/>
                <w:szCs w:val="24"/>
              </w:rPr>
            </w:pPr>
            <w:hyperlink w:anchor="Data_Abstraction" w:history="1">
              <w:r w:rsidR="00723D49" w:rsidRPr="00AB375F">
                <w:rPr>
                  <w:rStyle w:val="Hyperlink"/>
                  <w:bCs/>
                  <w:sz w:val="24"/>
                  <w:szCs w:val="24"/>
                </w:rPr>
                <w:t>Data Abstraction</w:t>
              </w:r>
            </w:hyperlink>
          </w:p>
        </w:tc>
        <w:tc>
          <w:tcPr>
            <w:tcW w:w="192" w:type="pct"/>
            <w:vAlign w:val="center"/>
          </w:tcPr>
          <w:p w14:paraId="380F8315" w14:textId="004F10B6" w:rsidR="00723D49" w:rsidRPr="00AB375F" w:rsidRDefault="00723D49" w:rsidP="00C31172">
            <w:pPr>
              <w:pStyle w:val="ListParagraph"/>
              <w:ind w:left="0"/>
              <w:rPr>
                <w:b/>
                <w:bCs/>
                <w:sz w:val="24"/>
                <w:szCs w:val="24"/>
              </w:rPr>
            </w:pPr>
          </w:p>
        </w:tc>
      </w:tr>
      <w:tr w:rsidR="00723D49" w:rsidRPr="00AB375F" w14:paraId="5A0E1147" w14:textId="344206BD" w:rsidTr="00723D49">
        <w:tc>
          <w:tcPr>
            <w:tcW w:w="125" w:type="pct"/>
          </w:tcPr>
          <w:p w14:paraId="69B5DABC" w14:textId="77777777" w:rsidR="00723D49" w:rsidRPr="00AB375F" w:rsidRDefault="00723D49" w:rsidP="00C31172">
            <w:pPr>
              <w:pStyle w:val="ListParagraph"/>
              <w:ind w:left="-32" w:firstLine="32"/>
              <w:jc w:val="center"/>
              <w:rPr>
                <w:sz w:val="24"/>
                <w:szCs w:val="24"/>
              </w:rPr>
            </w:pPr>
          </w:p>
        </w:tc>
        <w:tc>
          <w:tcPr>
            <w:tcW w:w="292" w:type="pct"/>
            <w:vAlign w:val="center"/>
          </w:tcPr>
          <w:p w14:paraId="7D6EFC53" w14:textId="573A1148" w:rsidR="00723D49" w:rsidRPr="00AB375F" w:rsidRDefault="00723D49" w:rsidP="00C31172">
            <w:pPr>
              <w:pStyle w:val="ListParagraph"/>
              <w:ind w:left="-32" w:firstLine="32"/>
              <w:jc w:val="center"/>
              <w:rPr>
                <w:sz w:val="24"/>
                <w:szCs w:val="24"/>
              </w:rPr>
            </w:pPr>
            <w:r w:rsidRPr="00AB375F">
              <w:rPr>
                <w:sz w:val="24"/>
                <w:szCs w:val="24"/>
              </w:rPr>
              <w:t>5.3</w:t>
            </w:r>
          </w:p>
        </w:tc>
        <w:tc>
          <w:tcPr>
            <w:tcW w:w="4391" w:type="pct"/>
            <w:vAlign w:val="center"/>
          </w:tcPr>
          <w:p w14:paraId="6ADDCCFE" w14:textId="1D3E632A" w:rsidR="00723D49" w:rsidRPr="00AB375F" w:rsidRDefault="00603DF9" w:rsidP="00746226">
            <w:pPr>
              <w:rPr>
                <w:bCs/>
                <w:sz w:val="24"/>
                <w:szCs w:val="24"/>
              </w:rPr>
            </w:pPr>
            <w:hyperlink w:anchor="Data_Source" w:history="1">
              <w:r w:rsidR="00723D49" w:rsidRPr="00AB375F">
                <w:rPr>
                  <w:rStyle w:val="Hyperlink"/>
                  <w:bCs/>
                  <w:sz w:val="24"/>
                  <w:szCs w:val="24"/>
                </w:rPr>
                <w:t>Data Source</w:t>
              </w:r>
            </w:hyperlink>
          </w:p>
        </w:tc>
        <w:tc>
          <w:tcPr>
            <w:tcW w:w="192" w:type="pct"/>
            <w:vAlign w:val="center"/>
          </w:tcPr>
          <w:p w14:paraId="640952DB" w14:textId="7440B908" w:rsidR="00723D49" w:rsidRPr="00AB375F" w:rsidRDefault="00723D49" w:rsidP="00C31172">
            <w:pPr>
              <w:pStyle w:val="ListParagraph"/>
              <w:ind w:left="0"/>
              <w:rPr>
                <w:b/>
                <w:bCs/>
                <w:sz w:val="24"/>
                <w:szCs w:val="24"/>
              </w:rPr>
            </w:pPr>
          </w:p>
        </w:tc>
      </w:tr>
      <w:tr w:rsidR="00723D49" w:rsidRPr="00AB375F" w14:paraId="010B6F77" w14:textId="77777777" w:rsidTr="00723D49">
        <w:tc>
          <w:tcPr>
            <w:tcW w:w="125" w:type="pct"/>
          </w:tcPr>
          <w:p w14:paraId="79E7F163" w14:textId="77777777" w:rsidR="00723D49" w:rsidRPr="00AB375F" w:rsidRDefault="00723D49" w:rsidP="00C31172">
            <w:pPr>
              <w:pStyle w:val="ListParagraph"/>
              <w:ind w:left="-32" w:firstLine="32"/>
              <w:jc w:val="center"/>
              <w:rPr>
                <w:sz w:val="24"/>
                <w:szCs w:val="24"/>
              </w:rPr>
            </w:pPr>
          </w:p>
        </w:tc>
        <w:tc>
          <w:tcPr>
            <w:tcW w:w="292" w:type="pct"/>
            <w:vAlign w:val="center"/>
          </w:tcPr>
          <w:p w14:paraId="06206D70" w14:textId="54EF42F1" w:rsidR="00723D49" w:rsidRPr="00AB375F" w:rsidRDefault="00723D49" w:rsidP="00C31172">
            <w:pPr>
              <w:pStyle w:val="ListParagraph"/>
              <w:ind w:left="-32" w:firstLine="32"/>
              <w:jc w:val="center"/>
              <w:rPr>
                <w:sz w:val="24"/>
                <w:szCs w:val="24"/>
              </w:rPr>
            </w:pPr>
            <w:r w:rsidRPr="00AB375F">
              <w:rPr>
                <w:sz w:val="24"/>
                <w:szCs w:val="24"/>
              </w:rPr>
              <w:t>5.5</w:t>
            </w:r>
          </w:p>
        </w:tc>
        <w:tc>
          <w:tcPr>
            <w:tcW w:w="4391" w:type="pct"/>
            <w:vAlign w:val="center"/>
          </w:tcPr>
          <w:p w14:paraId="73C8F694" w14:textId="758839DB" w:rsidR="00723D49" w:rsidRPr="00AB375F" w:rsidRDefault="00603DF9" w:rsidP="00746226">
            <w:pPr>
              <w:rPr>
                <w:bCs/>
                <w:sz w:val="24"/>
                <w:szCs w:val="24"/>
              </w:rPr>
            </w:pPr>
            <w:hyperlink w:anchor="Data_Management_Services" w:history="1">
              <w:r w:rsidR="00723D49" w:rsidRPr="00AB375F">
                <w:rPr>
                  <w:rStyle w:val="Hyperlink"/>
                  <w:bCs/>
                  <w:sz w:val="24"/>
                  <w:szCs w:val="24"/>
                </w:rPr>
                <w:t>Data Management Services</w:t>
              </w:r>
            </w:hyperlink>
          </w:p>
        </w:tc>
        <w:tc>
          <w:tcPr>
            <w:tcW w:w="192" w:type="pct"/>
            <w:vAlign w:val="center"/>
          </w:tcPr>
          <w:p w14:paraId="7FA8928F" w14:textId="1F26B1D8" w:rsidR="00723D49" w:rsidRPr="00AB375F" w:rsidRDefault="00723D49" w:rsidP="00C31172">
            <w:pPr>
              <w:pStyle w:val="ListParagraph"/>
              <w:ind w:left="0"/>
              <w:rPr>
                <w:b/>
                <w:bCs/>
                <w:sz w:val="24"/>
                <w:szCs w:val="24"/>
              </w:rPr>
            </w:pPr>
          </w:p>
        </w:tc>
      </w:tr>
      <w:tr w:rsidR="00723D49" w:rsidRPr="00AB375F" w14:paraId="3DE209C2" w14:textId="77777777" w:rsidTr="00723D49">
        <w:tc>
          <w:tcPr>
            <w:tcW w:w="125" w:type="pct"/>
          </w:tcPr>
          <w:p w14:paraId="57C3E88A" w14:textId="77777777" w:rsidR="00723D49" w:rsidRPr="00AB375F" w:rsidRDefault="00723D49" w:rsidP="00C31172">
            <w:pPr>
              <w:pStyle w:val="ListParagraph"/>
              <w:ind w:left="-32" w:firstLine="32"/>
              <w:jc w:val="center"/>
              <w:rPr>
                <w:sz w:val="24"/>
                <w:szCs w:val="24"/>
              </w:rPr>
            </w:pPr>
          </w:p>
        </w:tc>
        <w:tc>
          <w:tcPr>
            <w:tcW w:w="292" w:type="pct"/>
            <w:vAlign w:val="center"/>
          </w:tcPr>
          <w:p w14:paraId="6A6463CE" w14:textId="52245B00" w:rsidR="00723D49" w:rsidRPr="00AB375F" w:rsidRDefault="00723D49" w:rsidP="00C31172">
            <w:pPr>
              <w:pStyle w:val="ListParagraph"/>
              <w:ind w:left="-32" w:firstLine="32"/>
              <w:jc w:val="center"/>
              <w:rPr>
                <w:sz w:val="24"/>
                <w:szCs w:val="24"/>
              </w:rPr>
            </w:pPr>
            <w:r w:rsidRPr="00AB375F">
              <w:rPr>
                <w:sz w:val="24"/>
                <w:szCs w:val="24"/>
              </w:rPr>
              <w:t>5.6</w:t>
            </w:r>
          </w:p>
        </w:tc>
        <w:tc>
          <w:tcPr>
            <w:tcW w:w="4391" w:type="pct"/>
            <w:vAlign w:val="center"/>
          </w:tcPr>
          <w:p w14:paraId="2A3BD98D" w14:textId="2513244D" w:rsidR="00723D49" w:rsidRPr="00AB375F" w:rsidRDefault="00603DF9" w:rsidP="00746226">
            <w:pPr>
              <w:rPr>
                <w:bCs/>
                <w:sz w:val="24"/>
                <w:szCs w:val="24"/>
              </w:rPr>
            </w:pPr>
            <w:hyperlink w:anchor="Data_Collection_Form" w:history="1">
              <w:r w:rsidR="00723D49" w:rsidRPr="00AB375F">
                <w:rPr>
                  <w:rStyle w:val="Hyperlink"/>
                  <w:bCs/>
                  <w:sz w:val="24"/>
                  <w:szCs w:val="24"/>
                </w:rPr>
                <w:t>Data Collection Form</w:t>
              </w:r>
            </w:hyperlink>
          </w:p>
        </w:tc>
        <w:tc>
          <w:tcPr>
            <w:tcW w:w="192" w:type="pct"/>
            <w:vAlign w:val="center"/>
          </w:tcPr>
          <w:p w14:paraId="5515BC34" w14:textId="2A8175E0" w:rsidR="00723D49" w:rsidRPr="00AB375F" w:rsidRDefault="00723D49" w:rsidP="00C31172">
            <w:pPr>
              <w:pStyle w:val="ListParagraph"/>
              <w:ind w:left="0"/>
              <w:rPr>
                <w:b/>
                <w:bCs/>
                <w:sz w:val="24"/>
                <w:szCs w:val="24"/>
              </w:rPr>
            </w:pPr>
          </w:p>
        </w:tc>
      </w:tr>
      <w:tr w:rsidR="00723D49" w:rsidRPr="00AB375F" w14:paraId="3A9B1FC0" w14:textId="77777777" w:rsidTr="00723D49">
        <w:tc>
          <w:tcPr>
            <w:tcW w:w="125" w:type="pct"/>
            <w:shd w:val="clear" w:color="auto" w:fill="9CC2E5" w:themeFill="accent1" w:themeFillTint="99"/>
          </w:tcPr>
          <w:p w14:paraId="13DC711F"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7BEABE60" w14:textId="11BCD24C" w:rsidR="00723D49" w:rsidRPr="00AB375F" w:rsidRDefault="00723D49" w:rsidP="00C31172">
            <w:pPr>
              <w:pStyle w:val="ListParagraph"/>
              <w:ind w:left="-32" w:firstLine="32"/>
              <w:jc w:val="center"/>
              <w:rPr>
                <w:sz w:val="24"/>
                <w:szCs w:val="24"/>
              </w:rPr>
            </w:pPr>
            <w:r w:rsidRPr="00AB375F">
              <w:rPr>
                <w:sz w:val="24"/>
                <w:szCs w:val="24"/>
              </w:rPr>
              <w:t>6.0</w:t>
            </w:r>
          </w:p>
        </w:tc>
        <w:tc>
          <w:tcPr>
            <w:tcW w:w="4391" w:type="pct"/>
            <w:shd w:val="clear" w:color="auto" w:fill="9CC2E5" w:themeFill="accent1" w:themeFillTint="99"/>
            <w:vAlign w:val="center"/>
          </w:tcPr>
          <w:p w14:paraId="2B2C0B65" w14:textId="2855BAC4" w:rsidR="00723D49" w:rsidRPr="00AB375F" w:rsidRDefault="00603DF9" w:rsidP="00C31172">
            <w:pPr>
              <w:pStyle w:val="ListParagraph"/>
              <w:ind w:left="0"/>
              <w:rPr>
                <w:b/>
                <w:bCs/>
                <w:sz w:val="24"/>
                <w:szCs w:val="24"/>
              </w:rPr>
            </w:pPr>
            <w:hyperlink w:anchor="Waiver_Consent_Process" w:history="1">
              <w:r w:rsidR="00723D49" w:rsidRPr="00AB375F">
                <w:rPr>
                  <w:rStyle w:val="Hyperlink"/>
                  <w:b/>
                  <w:bCs/>
                  <w:sz w:val="24"/>
                  <w:szCs w:val="24"/>
                </w:rPr>
                <w:t>Waiver of Alteration of Consent Process</w:t>
              </w:r>
            </w:hyperlink>
          </w:p>
        </w:tc>
        <w:tc>
          <w:tcPr>
            <w:tcW w:w="192" w:type="pct"/>
            <w:shd w:val="clear" w:color="auto" w:fill="9CC2E5" w:themeFill="accent1" w:themeFillTint="99"/>
            <w:vAlign w:val="center"/>
          </w:tcPr>
          <w:p w14:paraId="53BDFCE1" w14:textId="4393D403" w:rsidR="00723D49" w:rsidRPr="00AB375F" w:rsidRDefault="00723D49" w:rsidP="00C31172">
            <w:pPr>
              <w:pStyle w:val="ListParagraph"/>
              <w:ind w:left="0"/>
              <w:rPr>
                <w:b/>
                <w:bCs/>
                <w:sz w:val="24"/>
                <w:szCs w:val="24"/>
              </w:rPr>
            </w:pPr>
          </w:p>
        </w:tc>
      </w:tr>
      <w:tr w:rsidR="00723D49" w:rsidRPr="00AB375F" w14:paraId="12D56BEE" w14:textId="77777777" w:rsidTr="00723D49">
        <w:tc>
          <w:tcPr>
            <w:tcW w:w="125" w:type="pct"/>
          </w:tcPr>
          <w:p w14:paraId="2DD089C0" w14:textId="77777777" w:rsidR="00723D49" w:rsidRPr="00AB375F" w:rsidRDefault="00723D49" w:rsidP="00C31172">
            <w:pPr>
              <w:pStyle w:val="ListParagraph"/>
              <w:ind w:left="-32" w:firstLine="32"/>
              <w:jc w:val="center"/>
              <w:rPr>
                <w:sz w:val="24"/>
                <w:szCs w:val="24"/>
              </w:rPr>
            </w:pPr>
          </w:p>
        </w:tc>
        <w:tc>
          <w:tcPr>
            <w:tcW w:w="292" w:type="pct"/>
            <w:vAlign w:val="center"/>
          </w:tcPr>
          <w:p w14:paraId="60CE3010" w14:textId="0AEC7EFE" w:rsidR="00723D49" w:rsidRPr="00AB375F" w:rsidRDefault="00723D49" w:rsidP="00C31172">
            <w:pPr>
              <w:pStyle w:val="ListParagraph"/>
              <w:ind w:left="-32" w:firstLine="32"/>
              <w:jc w:val="center"/>
              <w:rPr>
                <w:sz w:val="24"/>
                <w:szCs w:val="24"/>
              </w:rPr>
            </w:pPr>
            <w:r w:rsidRPr="00AB375F">
              <w:rPr>
                <w:sz w:val="24"/>
                <w:szCs w:val="24"/>
              </w:rPr>
              <w:t>6.1</w:t>
            </w:r>
          </w:p>
        </w:tc>
        <w:tc>
          <w:tcPr>
            <w:tcW w:w="4391" w:type="pct"/>
            <w:vAlign w:val="center"/>
          </w:tcPr>
          <w:p w14:paraId="47696F17" w14:textId="77966C85" w:rsidR="00723D49" w:rsidRPr="00AB375F" w:rsidRDefault="00603DF9" w:rsidP="009B1DE1">
            <w:pPr>
              <w:rPr>
                <w:bCs/>
                <w:sz w:val="24"/>
                <w:szCs w:val="24"/>
              </w:rPr>
            </w:pPr>
            <w:hyperlink w:anchor="Risks_To_Subjects" w:history="1">
              <w:r w:rsidR="00723D49" w:rsidRPr="00AB375F">
                <w:rPr>
                  <w:rStyle w:val="Hyperlink"/>
                  <w:bCs/>
                  <w:sz w:val="24"/>
                  <w:szCs w:val="24"/>
                </w:rPr>
                <w:t>Risks to Subjects</w:t>
              </w:r>
            </w:hyperlink>
          </w:p>
        </w:tc>
        <w:tc>
          <w:tcPr>
            <w:tcW w:w="192" w:type="pct"/>
            <w:vAlign w:val="center"/>
          </w:tcPr>
          <w:p w14:paraId="32D790A9" w14:textId="1939556D" w:rsidR="00723D49" w:rsidRPr="00AB375F" w:rsidRDefault="00723D49" w:rsidP="00C31172">
            <w:pPr>
              <w:pStyle w:val="ListParagraph"/>
              <w:ind w:left="0"/>
              <w:rPr>
                <w:b/>
                <w:bCs/>
                <w:sz w:val="24"/>
                <w:szCs w:val="24"/>
              </w:rPr>
            </w:pPr>
          </w:p>
        </w:tc>
      </w:tr>
      <w:tr w:rsidR="00723D49" w:rsidRPr="00AB375F" w14:paraId="34F9645A" w14:textId="60280B6B" w:rsidTr="00723D49">
        <w:tc>
          <w:tcPr>
            <w:tcW w:w="125" w:type="pct"/>
            <w:shd w:val="clear" w:color="auto" w:fill="9CC2E5" w:themeFill="accent1" w:themeFillTint="99"/>
          </w:tcPr>
          <w:p w14:paraId="4A8374A0"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3FB09C14" w14:textId="34415C6C" w:rsidR="00723D49" w:rsidRPr="00AB375F" w:rsidRDefault="00723D49" w:rsidP="00C31172">
            <w:pPr>
              <w:pStyle w:val="ListParagraph"/>
              <w:ind w:left="-32" w:firstLine="32"/>
              <w:jc w:val="center"/>
              <w:rPr>
                <w:sz w:val="24"/>
                <w:szCs w:val="24"/>
              </w:rPr>
            </w:pPr>
            <w:r w:rsidRPr="00AB375F">
              <w:rPr>
                <w:sz w:val="24"/>
                <w:szCs w:val="24"/>
              </w:rPr>
              <w:t>7.0</w:t>
            </w:r>
          </w:p>
        </w:tc>
        <w:tc>
          <w:tcPr>
            <w:tcW w:w="4391" w:type="pct"/>
            <w:shd w:val="clear" w:color="auto" w:fill="9CC2E5" w:themeFill="accent1" w:themeFillTint="99"/>
            <w:vAlign w:val="center"/>
          </w:tcPr>
          <w:p w14:paraId="68B9A4EF" w14:textId="6116B87E" w:rsidR="00723D49" w:rsidRPr="00AB375F" w:rsidRDefault="00603DF9" w:rsidP="00C31172">
            <w:pPr>
              <w:pStyle w:val="ListParagraph"/>
              <w:ind w:left="0"/>
              <w:rPr>
                <w:b/>
                <w:bCs/>
                <w:sz w:val="24"/>
                <w:szCs w:val="24"/>
              </w:rPr>
            </w:pPr>
            <w:hyperlink w:anchor="Special_Considerations" w:history="1">
              <w:r w:rsidR="00723D49" w:rsidRPr="00AB375F">
                <w:rPr>
                  <w:rStyle w:val="Hyperlink"/>
                  <w:b/>
                  <w:bCs/>
                  <w:sz w:val="24"/>
                  <w:szCs w:val="24"/>
                </w:rPr>
                <w:t>Special Considerations</w:t>
              </w:r>
            </w:hyperlink>
          </w:p>
        </w:tc>
        <w:tc>
          <w:tcPr>
            <w:tcW w:w="192" w:type="pct"/>
            <w:shd w:val="clear" w:color="auto" w:fill="9CC2E5" w:themeFill="accent1" w:themeFillTint="99"/>
            <w:vAlign w:val="center"/>
          </w:tcPr>
          <w:p w14:paraId="7B4AE18F" w14:textId="478F0460" w:rsidR="00723D49" w:rsidRPr="00AB375F" w:rsidRDefault="00723D49" w:rsidP="00C31172">
            <w:pPr>
              <w:pStyle w:val="ListParagraph"/>
              <w:ind w:left="0"/>
              <w:rPr>
                <w:b/>
                <w:bCs/>
                <w:sz w:val="24"/>
                <w:szCs w:val="24"/>
              </w:rPr>
            </w:pPr>
          </w:p>
        </w:tc>
      </w:tr>
      <w:tr w:rsidR="00723D49" w:rsidRPr="00AB375F" w14:paraId="2FFA515B" w14:textId="496333C0" w:rsidTr="00723D49">
        <w:tc>
          <w:tcPr>
            <w:tcW w:w="125" w:type="pct"/>
          </w:tcPr>
          <w:p w14:paraId="07010474" w14:textId="77777777" w:rsidR="00723D49" w:rsidRPr="00AB375F" w:rsidRDefault="00723D49" w:rsidP="00C31172">
            <w:pPr>
              <w:pStyle w:val="ListParagraph"/>
              <w:ind w:left="-32" w:firstLine="32"/>
              <w:jc w:val="center"/>
              <w:rPr>
                <w:sz w:val="24"/>
                <w:szCs w:val="24"/>
              </w:rPr>
            </w:pPr>
          </w:p>
        </w:tc>
        <w:tc>
          <w:tcPr>
            <w:tcW w:w="292" w:type="pct"/>
            <w:vAlign w:val="center"/>
          </w:tcPr>
          <w:p w14:paraId="14AB19CB" w14:textId="301DEC5A" w:rsidR="00723D49" w:rsidRPr="00AB375F" w:rsidRDefault="00723D49" w:rsidP="00C31172">
            <w:pPr>
              <w:pStyle w:val="ListParagraph"/>
              <w:ind w:left="-32" w:firstLine="32"/>
              <w:jc w:val="center"/>
              <w:rPr>
                <w:sz w:val="24"/>
                <w:szCs w:val="24"/>
              </w:rPr>
            </w:pPr>
            <w:r w:rsidRPr="00AB375F">
              <w:rPr>
                <w:sz w:val="24"/>
                <w:szCs w:val="24"/>
              </w:rPr>
              <w:t>7.1</w:t>
            </w:r>
          </w:p>
        </w:tc>
        <w:tc>
          <w:tcPr>
            <w:tcW w:w="4391" w:type="pct"/>
            <w:vAlign w:val="center"/>
          </w:tcPr>
          <w:p w14:paraId="5E8BB061" w14:textId="75609117" w:rsidR="00723D49" w:rsidRPr="00AB375F" w:rsidRDefault="00603DF9" w:rsidP="009B1DE1">
            <w:pPr>
              <w:rPr>
                <w:bCs/>
                <w:sz w:val="24"/>
                <w:szCs w:val="24"/>
              </w:rPr>
            </w:pPr>
            <w:hyperlink w:anchor="HIPAA" w:history="1">
              <w:r w:rsidR="00723D49" w:rsidRPr="00AB375F">
                <w:rPr>
                  <w:rStyle w:val="Hyperlink"/>
                  <w:bCs/>
                  <w:sz w:val="24"/>
                  <w:szCs w:val="24"/>
                </w:rPr>
                <w:t>Health Insurance Portability and Accountability Act (HIPAA)</w:t>
              </w:r>
            </w:hyperlink>
          </w:p>
        </w:tc>
        <w:tc>
          <w:tcPr>
            <w:tcW w:w="192" w:type="pct"/>
            <w:vAlign w:val="center"/>
          </w:tcPr>
          <w:p w14:paraId="7DC53689" w14:textId="54A79F2E" w:rsidR="00723D49" w:rsidRPr="00AB375F" w:rsidRDefault="00723D49" w:rsidP="00C31172">
            <w:pPr>
              <w:pStyle w:val="ListParagraph"/>
              <w:ind w:left="0"/>
              <w:rPr>
                <w:b/>
                <w:bCs/>
                <w:sz w:val="24"/>
                <w:szCs w:val="24"/>
              </w:rPr>
            </w:pPr>
          </w:p>
        </w:tc>
      </w:tr>
      <w:tr w:rsidR="00723D49" w:rsidRPr="00AB375F" w14:paraId="484E0817" w14:textId="785F9DDF" w:rsidTr="00723D49">
        <w:tc>
          <w:tcPr>
            <w:tcW w:w="125" w:type="pct"/>
          </w:tcPr>
          <w:p w14:paraId="25DC7BFF" w14:textId="77777777" w:rsidR="00723D49" w:rsidRPr="00AB375F" w:rsidRDefault="00723D49" w:rsidP="00C31172">
            <w:pPr>
              <w:pStyle w:val="ListParagraph"/>
              <w:ind w:left="-32" w:firstLine="32"/>
              <w:jc w:val="center"/>
              <w:rPr>
                <w:sz w:val="24"/>
                <w:szCs w:val="24"/>
              </w:rPr>
            </w:pPr>
          </w:p>
        </w:tc>
        <w:tc>
          <w:tcPr>
            <w:tcW w:w="292" w:type="pct"/>
            <w:vAlign w:val="center"/>
          </w:tcPr>
          <w:p w14:paraId="1205CD51" w14:textId="4D147BC1" w:rsidR="00723D49" w:rsidRPr="00AB375F" w:rsidRDefault="00723D49" w:rsidP="00C31172">
            <w:pPr>
              <w:pStyle w:val="ListParagraph"/>
              <w:ind w:left="-32" w:firstLine="32"/>
              <w:jc w:val="center"/>
              <w:rPr>
                <w:sz w:val="24"/>
                <w:szCs w:val="24"/>
              </w:rPr>
            </w:pPr>
            <w:r w:rsidRPr="00AB375F">
              <w:rPr>
                <w:sz w:val="24"/>
                <w:szCs w:val="24"/>
              </w:rPr>
              <w:t>7.2</w:t>
            </w:r>
          </w:p>
        </w:tc>
        <w:tc>
          <w:tcPr>
            <w:tcW w:w="4391" w:type="pct"/>
            <w:vAlign w:val="center"/>
          </w:tcPr>
          <w:p w14:paraId="310FDAEA" w14:textId="03092CBC" w:rsidR="00723D49" w:rsidRPr="00AB375F" w:rsidRDefault="00603DF9" w:rsidP="009B1DE1">
            <w:pPr>
              <w:rPr>
                <w:bCs/>
                <w:sz w:val="24"/>
                <w:szCs w:val="24"/>
              </w:rPr>
            </w:pPr>
            <w:hyperlink w:anchor="FERPA" w:history="1">
              <w:r w:rsidR="00723D49" w:rsidRPr="00AB375F">
                <w:rPr>
                  <w:rStyle w:val="Hyperlink"/>
                  <w:bCs/>
                  <w:sz w:val="24"/>
                  <w:szCs w:val="24"/>
                </w:rPr>
                <w:t>Family Educational Rights and Privacy Act (FERPA)</w:t>
              </w:r>
            </w:hyperlink>
          </w:p>
        </w:tc>
        <w:tc>
          <w:tcPr>
            <w:tcW w:w="192" w:type="pct"/>
            <w:vAlign w:val="center"/>
          </w:tcPr>
          <w:p w14:paraId="07387378" w14:textId="3D928C6A" w:rsidR="00723D49" w:rsidRPr="00AB375F" w:rsidRDefault="00723D49" w:rsidP="00C31172">
            <w:pPr>
              <w:pStyle w:val="ListParagraph"/>
              <w:ind w:left="0"/>
              <w:rPr>
                <w:b/>
                <w:bCs/>
                <w:sz w:val="24"/>
                <w:szCs w:val="24"/>
              </w:rPr>
            </w:pPr>
          </w:p>
        </w:tc>
      </w:tr>
      <w:tr w:rsidR="00723D49" w:rsidRPr="00AB375F" w14:paraId="1628E165" w14:textId="77777777" w:rsidTr="00723D49">
        <w:tc>
          <w:tcPr>
            <w:tcW w:w="125" w:type="pct"/>
            <w:shd w:val="clear" w:color="auto" w:fill="9CC2E5" w:themeFill="accent1" w:themeFillTint="99"/>
          </w:tcPr>
          <w:p w14:paraId="562B662C"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03538B72" w14:textId="168DBA29" w:rsidR="00723D49" w:rsidRPr="00AB375F" w:rsidRDefault="00723D49" w:rsidP="00C31172">
            <w:pPr>
              <w:pStyle w:val="ListParagraph"/>
              <w:ind w:left="-32" w:firstLine="32"/>
              <w:jc w:val="center"/>
              <w:rPr>
                <w:sz w:val="24"/>
                <w:szCs w:val="24"/>
              </w:rPr>
            </w:pPr>
            <w:r w:rsidRPr="00AB375F">
              <w:rPr>
                <w:sz w:val="24"/>
                <w:szCs w:val="24"/>
              </w:rPr>
              <w:t>8.0</w:t>
            </w:r>
          </w:p>
        </w:tc>
        <w:tc>
          <w:tcPr>
            <w:tcW w:w="4391" w:type="pct"/>
            <w:shd w:val="clear" w:color="auto" w:fill="9CC2E5" w:themeFill="accent1" w:themeFillTint="99"/>
            <w:vAlign w:val="center"/>
          </w:tcPr>
          <w:p w14:paraId="529ED5FD" w14:textId="03A24591" w:rsidR="00723D49" w:rsidRPr="00AB375F" w:rsidRDefault="00603DF9" w:rsidP="00C31172">
            <w:pPr>
              <w:pStyle w:val="ListParagraph"/>
              <w:ind w:left="0"/>
              <w:rPr>
                <w:b/>
                <w:bCs/>
                <w:sz w:val="24"/>
                <w:szCs w:val="24"/>
              </w:rPr>
            </w:pPr>
            <w:hyperlink w:anchor="Research_Data" w:history="1">
              <w:r w:rsidR="00723D49" w:rsidRPr="00AB375F">
                <w:rPr>
                  <w:rStyle w:val="Hyperlink"/>
                  <w:b/>
                  <w:bCs/>
                  <w:sz w:val="24"/>
                  <w:szCs w:val="24"/>
                </w:rPr>
                <w:t>Research Data Protection and Reporting</w:t>
              </w:r>
            </w:hyperlink>
          </w:p>
        </w:tc>
        <w:tc>
          <w:tcPr>
            <w:tcW w:w="192" w:type="pct"/>
            <w:shd w:val="clear" w:color="auto" w:fill="9CC2E5" w:themeFill="accent1" w:themeFillTint="99"/>
            <w:vAlign w:val="center"/>
          </w:tcPr>
          <w:p w14:paraId="32843D1A" w14:textId="3A219D25" w:rsidR="00723D49" w:rsidRPr="00AB375F" w:rsidRDefault="00723D49" w:rsidP="00C31172">
            <w:pPr>
              <w:pStyle w:val="ListParagraph"/>
              <w:ind w:left="0"/>
              <w:rPr>
                <w:b/>
                <w:bCs/>
                <w:sz w:val="24"/>
                <w:szCs w:val="24"/>
              </w:rPr>
            </w:pPr>
          </w:p>
        </w:tc>
      </w:tr>
      <w:tr w:rsidR="00723D49" w:rsidRPr="00AB375F" w14:paraId="4DF0E565" w14:textId="77777777" w:rsidTr="00723D49">
        <w:tc>
          <w:tcPr>
            <w:tcW w:w="125" w:type="pct"/>
          </w:tcPr>
          <w:p w14:paraId="23ED0A97" w14:textId="77777777" w:rsidR="00723D49" w:rsidRPr="00AB375F" w:rsidRDefault="00723D49" w:rsidP="00C31172">
            <w:pPr>
              <w:pStyle w:val="ListParagraph"/>
              <w:ind w:left="-32" w:firstLine="32"/>
              <w:jc w:val="center"/>
              <w:rPr>
                <w:sz w:val="24"/>
                <w:szCs w:val="24"/>
              </w:rPr>
            </w:pPr>
          </w:p>
        </w:tc>
        <w:tc>
          <w:tcPr>
            <w:tcW w:w="292" w:type="pct"/>
            <w:vAlign w:val="center"/>
          </w:tcPr>
          <w:p w14:paraId="5D780391" w14:textId="59FB976D" w:rsidR="00723D49" w:rsidRPr="00AB375F" w:rsidRDefault="00723D49" w:rsidP="00C31172">
            <w:pPr>
              <w:pStyle w:val="ListParagraph"/>
              <w:ind w:left="-32" w:firstLine="32"/>
              <w:jc w:val="center"/>
              <w:rPr>
                <w:sz w:val="24"/>
                <w:szCs w:val="24"/>
              </w:rPr>
            </w:pPr>
            <w:r w:rsidRPr="00AB375F">
              <w:rPr>
                <w:sz w:val="24"/>
                <w:szCs w:val="24"/>
              </w:rPr>
              <w:t>8.1</w:t>
            </w:r>
          </w:p>
        </w:tc>
        <w:tc>
          <w:tcPr>
            <w:tcW w:w="4391" w:type="pct"/>
            <w:vAlign w:val="center"/>
          </w:tcPr>
          <w:p w14:paraId="2F1EE567" w14:textId="371937A2" w:rsidR="00723D49" w:rsidRPr="00AB375F" w:rsidRDefault="00603DF9" w:rsidP="009B1DE1">
            <w:pPr>
              <w:rPr>
                <w:bCs/>
                <w:sz w:val="24"/>
                <w:szCs w:val="24"/>
              </w:rPr>
            </w:pPr>
            <w:hyperlink w:anchor="Data_Management" w:history="1">
              <w:r w:rsidR="00723D49" w:rsidRPr="00AB375F">
                <w:rPr>
                  <w:rStyle w:val="Hyperlink"/>
                  <w:bCs/>
                  <w:sz w:val="24"/>
                  <w:szCs w:val="24"/>
                </w:rPr>
                <w:t>Data Management</w:t>
              </w:r>
            </w:hyperlink>
          </w:p>
        </w:tc>
        <w:tc>
          <w:tcPr>
            <w:tcW w:w="192" w:type="pct"/>
            <w:vAlign w:val="center"/>
          </w:tcPr>
          <w:p w14:paraId="4F536906" w14:textId="369657BA" w:rsidR="00723D49" w:rsidRPr="00AB375F" w:rsidRDefault="00723D49" w:rsidP="00C31172">
            <w:pPr>
              <w:pStyle w:val="ListParagraph"/>
              <w:ind w:left="0"/>
              <w:rPr>
                <w:b/>
                <w:bCs/>
                <w:sz w:val="24"/>
                <w:szCs w:val="24"/>
              </w:rPr>
            </w:pPr>
          </w:p>
        </w:tc>
      </w:tr>
      <w:tr w:rsidR="00723D49" w:rsidRPr="00AB375F" w14:paraId="416E5AF9" w14:textId="483633F1" w:rsidTr="00723D49">
        <w:tc>
          <w:tcPr>
            <w:tcW w:w="125" w:type="pct"/>
          </w:tcPr>
          <w:p w14:paraId="61C34297" w14:textId="77777777" w:rsidR="00723D49" w:rsidRPr="00AB375F" w:rsidRDefault="00723D49" w:rsidP="00C31172">
            <w:pPr>
              <w:pStyle w:val="ListParagraph"/>
              <w:ind w:left="-32" w:firstLine="32"/>
              <w:jc w:val="center"/>
              <w:rPr>
                <w:sz w:val="24"/>
                <w:szCs w:val="24"/>
              </w:rPr>
            </w:pPr>
          </w:p>
        </w:tc>
        <w:tc>
          <w:tcPr>
            <w:tcW w:w="292" w:type="pct"/>
            <w:vAlign w:val="center"/>
          </w:tcPr>
          <w:p w14:paraId="52843F59" w14:textId="57BBFC19" w:rsidR="00723D49" w:rsidRPr="00AB375F" w:rsidRDefault="00723D49" w:rsidP="00C31172">
            <w:pPr>
              <w:pStyle w:val="ListParagraph"/>
              <w:ind w:left="-32" w:firstLine="32"/>
              <w:jc w:val="center"/>
              <w:rPr>
                <w:sz w:val="24"/>
                <w:szCs w:val="24"/>
              </w:rPr>
            </w:pPr>
            <w:r w:rsidRPr="00AB375F">
              <w:rPr>
                <w:sz w:val="24"/>
                <w:szCs w:val="24"/>
              </w:rPr>
              <w:t>8.2</w:t>
            </w:r>
          </w:p>
        </w:tc>
        <w:tc>
          <w:tcPr>
            <w:tcW w:w="4391" w:type="pct"/>
            <w:vAlign w:val="center"/>
          </w:tcPr>
          <w:p w14:paraId="58C96681" w14:textId="602DA79E" w:rsidR="00723D49" w:rsidRPr="00AB375F" w:rsidRDefault="00603DF9" w:rsidP="009B1DE1">
            <w:pPr>
              <w:rPr>
                <w:bCs/>
                <w:sz w:val="24"/>
                <w:szCs w:val="24"/>
              </w:rPr>
            </w:pPr>
            <w:hyperlink w:anchor="Data_Security" w:history="1">
              <w:r w:rsidR="00723D49" w:rsidRPr="00AB375F">
                <w:rPr>
                  <w:rStyle w:val="Hyperlink"/>
                  <w:bCs/>
                  <w:sz w:val="24"/>
                  <w:szCs w:val="24"/>
                </w:rPr>
                <w:t>Data Security</w:t>
              </w:r>
            </w:hyperlink>
          </w:p>
        </w:tc>
        <w:tc>
          <w:tcPr>
            <w:tcW w:w="192" w:type="pct"/>
            <w:vAlign w:val="center"/>
          </w:tcPr>
          <w:p w14:paraId="62736D61" w14:textId="40B058C1" w:rsidR="00723D49" w:rsidRPr="00AB375F" w:rsidRDefault="00723D49" w:rsidP="00C31172">
            <w:pPr>
              <w:pStyle w:val="ListParagraph"/>
              <w:ind w:left="0"/>
              <w:rPr>
                <w:b/>
                <w:bCs/>
                <w:sz w:val="24"/>
                <w:szCs w:val="24"/>
              </w:rPr>
            </w:pPr>
          </w:p>
        </w:tc>
      </w:tr>
      <w:tr w:rsidR="00723D49" w:rsidRPr="00AB375F" w14:paraId="6D9E3607" w14:textId="6CEDB586" w:rsidTr="00723D49">
        <w:tc>
          <w:tcPr>
            <w:tcW w:w="125" w:type="pct"/>
          </w:tcPr>
          <w:p w14:paraId="674E92DF" w14:textId="77777777" w:rsidR="00723D49" w:rsidRPr="00AB375F" w:rsidRDefault="00723D49" w:rsidP="00C31172">
            <w:pPr>
              <w:pStyle w:val="ListParagraph"/>
              <w:ind w:left="-32" w:firstLine="32"/>
              <w:jc w:val="center"/>
              <w:rPr>
                <w:sz w:val="24"/>
                <w:szCs w:val="24"/>
              </w:rPr>
            </w:pPr>
          </w:p>
        </w:tc>
        <w:tc>
          <w:tcPr>
            <w:tcW w:w="292" w:type="pct"/>
            <w:vAlign w:val="center"/>
          </w:tcPr>
          <w:p w14:paraId="475C6AA2" w14:textId="1ADE9032" w:rsidR="00723D49" w:rsidRPr="00AB375F" w:rsidRDefault="00723D49" w:rsidP="00C31172">
            <w:pPr>
              <w:pStyle w:val="ListParagraph"/>
              <w:ind w:left="-32" w:firstLine="32"/>
              <w:jc w:val="center"/>
              <w:rPr>
                <w:sz w:val="24"/>
                <w:szCs w:val="24"/>
              </w:rPr>
            </w:pPr>
            <w:r w:rsidRPr="00AB375F">
              <w:rPr>
                <w:sz w:val="24"/>
                <w:szCs w:val="24"/>
              </w:rPr>
              <w:t>8.3</w:t>
            </w:r>
          </w:p>
        </w:tc>
        <w:tc>
          <w:tcPr>
            <w:tcW w:w="4391" w:type="pct"/>
            <w:vAlign w:val="center"/>
          </w:tcPr>
          <w:p w14:paraId="41A4E2D1" w14:textId="367F2933" w:rsidR="00723D49" w:rsidRPr="00AB375F" w:rsidRDefault="00603DF9" w:rsidP="009B1DE1">
            <w:pPr>
              <w:rPr>
                <w:bCs/>
                <w:sz w:val="24"/>
                <w:szCs w:val="24"/>
              </w:rPr>
            </w:pPr>
            <w:hyperlink w:anchor="Reporting_Results" w:history="1">
              <w:r w:rsidR="00723D49" w:rsidRPr="00AB375F">
                <w:rPr>
                  <w:rStyle w:val="Hyperlink"/>
                  <w:bCs/>
                  <w:sz w:val="24"/>
                  <w:szCs w:val="24"/>
                </w:rPr>
                <w:t>Reporting Results</w:t>
              </w:r>
            </w:hyperlink>
          </w:p>
        </w:tc>
        <w:tc>
          <w:tcPr>
            <w:tcW w:w="192" w:type="pct"/>
            <w:vAlign w:val="center"/>
          </w:tcPr>
          <w:p w14:paraId="7659CD0A" w14:textId="4849CA51" w:rsidR="00723D49" w:rsidRPr="00AB375F" w:rsidRDefault="00723D49" w:rsidP="00C31172">
            <w:pPr>
              <w:pStyle w:val="ListParagraph"/>
              <w:ind w:left="0"/>
              <w:rPr>
                <w:b/>
                <w:bCs/>
                <w:sz w:val="24"/>
                <w:szCs w:val="24"/>
              </w:rPr>
            </w:pPr>
          </w:p>
        </w:tc>
      </w:tr>
      <w:tr w:rsidR="00723D49" w:rsidRPr="00AB375F" w14:paraId="2C142ABA" w14:textId="1F694AED" w:rsidTr="00723D49">
        <w:tc>
          <w:tcPr>
            <w:tcW w:w="125" w:type="pct"/>
            <w:shd w:val="clear" w:color="auto" w:fill="9CC2E5" w:themeFill="accent1" w:themeFillTint="99"/>
          </w:tcPr>
          <w:p w14:paraId="68CD8D7D"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548B1712" w14:textId="4C656481" w:rsidR="00723D49" w:rsidRPr="00AB375F" w:rsidRDefault="00723D49" w:rsidP="00C31172">
            <w:pPr>
              <w:pStyle w:val="ListParagraph"/>
              <w:ind w:left="-32" w:firstLine="32"/>
              <w:jc w:val="center"/>
              <w:rPr>
                <w:sz w:val="24"/>
                <w:szCs w:val="24"/>
              </w:rPr>
            </w:pPr>
            <w:r w:rsidRPr="00AB375F">
              <w:rPr>
                <w:sz w:val="24"/>
                <w:szCs w:val="24"/>
              </w:rPr>
              <w:t>9.0</w:t>
            </w:r>
          </w:p>
        </w:tc>
        <w:tc>
          <w:tcPr>
            <w:tcW w:w="4391" w:type="pct"/>
            <w:shd w:val="clear" w:color="auto" w:fill="9CC2E5" w:themeFill="accent1" w:themeFillTint="99"/>
            <w:vAlign w:val="center"/>
          </w:tcPr>
          <w:p w14:paraId="698B9D08" w14:textId="3F73B247" w:rsidR="00723D49" w:rsidRPr="00AB375F" w:rsidRDefault="00603DF9" w:rsidP="00C31172">
            <w:pPr>
              <w:pStyle w:val="ListParagraph"/>
              <w:ind w:left="0"/>
              <w:rPr>
                <w:b/>
                <w:bCs/>
                <w:sz w:val="24"/>
                <w:szCs w:val="24"/>
              </w:rPr>
            </w:pPr>
            <w:hyperlink w:anchor="Other_Approvals" w:history="1">
              <w:r w:rsidR="00723D49" w:rsidRPr="00AB375F">
                <w:rPr>
                  <w:rStyle w:val="Hyperlink"/>
                  <w:b/>
                  <w:bCs/>
                  <w:sz w:val="24"/>
                  <w:szCs w:val="24"/>
                </w:rPr>
                <w:t>Other Approvals/Authorizations</w:t>
              </w:r>
            </w:hyperlink>
          </w:p>
        </w:tc>
        <w:tc>
          <w:tcPr>
            <w:tcW w:w="192" w:type="pct"/>
            <w:shd w:val="clear" w:color="auto" w:fill="9CC2E5" w:themeFill="accent1" w:themeFillTint="99"/>
            <w:vAlign w:val="center"/>
          </w:tcPr>
          <w:p w14:paraId="256C2EA1" w14:textId="51E355F9" w:rsidR="00723D49" w:rsidRPr="00AB375F" w:rsidRDefault="00723D49" w:rsidP="00C31172">
            <w:pPr>
              <w:pStyle w:val="ListParagraph"/>
              <w:ind w:left="0"/>
              <w:rPr>
                <w:b/>
                <w:bCs/>
                <w:sz w:val="24"/>
                <w:szCs w:val="24"/>
              </w:rPr>
            </w:pPr>
          </w:p>
        </w:tc>
      </w:tr>
      <w:tr w:rsidR="00723D49" w:rsidRPr="00AB375F" w14:paraId="572C7439" w14:textId="1C319C73" w:rsidTr="00723D49">
        <w:trPr>
          <w:trHeight w:val="50"/>
        </w:trPr>
        <w:tc>
          <w:tcPr>
            <w:tcW w:w="125" w:type="pct"/>
            <w:shd w:val="clear" w:color="auto" w:fill="9CC2E5" w:themeFill="accent1" w:themeFillTint="99"/>
          </w:tcPr>
          <w:p w14:paraId="6896A075" w14:textId="77777777" w:rsidR="00723D49" w:rsidRPr="00AB375F" w:rsidRDefault="00723D49" w:rsidP="00C31172">
            <w:pPr>
              <w:pStyle w:val="ListParagraph"/>
              <w:ind w:left="-32" w:firstLine="32"/>
              <w:jc w:val="center"/>
              <w:rPr>
                <w:sz w:val="24"/>
                <w:szCs w:val="24"/>
              </w:rPr>
            </w:pPr>
          </w:p>
        </w:tc>
        <w:tc>
          <w:tcPr>
            <w:tcW w:w="292" w:type="pct"/>
            <w:shd w:val="clear" w:color="auto" w:fill="9CC2E5" w:themeFill="accent1" w:themeFillTint="99"/>
            <w:vAlign w:val="center"/>
          </w:tcPr>
          <w:p w14:paraId="7C6DDB3B" w14:textId="30B9F271" w:rsidR="00723D49" w:rsidRPr="00AB375F" w:rsidRDefault="00723D49" w:rsidP="00C31172">
            <w:pPr>
              <w:pStyle w:val="ListParagraph"/>
              <w:ind w:left="-32" w:firstLine="32"/>
              <w:jc w:val="center"/>
              <w:rPr>
                <w:sz w:val="24"/>
                <w:szCs w:val="24"/>
              </w:rPr>
            </w:pPr>
            <w:r w:rsidRPr="00AB375F">
              <w:rPr>
                <w:sz w:val="24"/>
                <w:szCs w:val="24"/>
              </w:rPr>
              <w:t>10.0</w:t>
            </w:r>
          </w:p>
        </w:tc>
        <w:tc>
          <w:tcPr>
            <w:tcW w:w="4391" w:type="pct"/>
            <w:shd w:val="clear" w:color="auto" w:fill="9CC2E5" w:themeFill="accent1" w:themeFillTint="99"/>
            <w:vAlign w:val="center"/>
          </w:tcPr>
          <w:p w14:paraId="1CB7EDDA" w14:textId="7701001A" w:rsidR="00723D49" w:rsidRPr="00AB375F" w:rsidRDefault="00603DF9" w:rsidP="00C31172">
            <w:pPr>
              <w:pStyle w:val="ListParagraph"/>
              <w:ind w:left="0"/>
              <w:rPr>
                <w:b/>
                <w:bCs/>
                <w:sz w:val="24"/>
                <w:szCs w:val="24"/>
              </w:rPr>
            </w:pPr>
            <w:hyperlink w:anchor="Bibliography" w:history="1">
              <w:r w:rsidR="00723D49" w:rsidRPr="00AB375F">
                <w:rPr>
                  <w:rStyle w:val="Hyperlink"/>
                  <w:b/>
                  <w:bCs/>
                  <w:sz w:val="24"/>
                  <w:szCs w:val="24"/>
                </w:rPr>
                <w:t>Bibliography</w:t>
              </w:r>
            </w:hyperlink>
          </w:p>
        </w:tc>
        <w:tc>
          <w:tcPr>
            <w:tcW w:w="192" w:type="pct"/>
            <w:shd w:val="clear" w:color="auto" w:fill="9CC2E5" w:themeFill="accent1" w:themeFillTint="99"/>
            <w:vAlign w:val="center"/>
          </w:tcPr>
          <w:p w14:paraId="364BBB66" w14:textId="1966156A" w:rsidR="00723D49" w:rsidRPr="00AB375F" w:rsidRDefault="00723D49" w:rsidP="00C31172">
            <w:pPr>
              <w:pStyle w:val="ListParagraph"/>
              <w:ind w:left="0"/>
              <w:rPr>
                <w:b/>
                <w:bCs/>
                <w:sz w:val="24"/>
                <w:szCs w:val="24"/>
              </w:rPr>
            </w:pPr>
          </w:p>
        </w:tc>
      </w:tr>
    </w:tbl>
    <w:p w14:paraId="7A4FC8A8" w14:textId="77777777" w:rsidR="001D10CD" w:rsidRPr="00AB375F" w:rsidRDefault="001D10CD" w:rsidP="00C31172">
      <w:pPr>
        <w:spacing w:after="0" w:line="240" w:lineRule="auto"/>
        <w:contextualSpacing/>
        <w:jc w:val="both"/>
        <w:rPr>
          <w:rFonts w:eastAsiaTheme="minorEastAsia" w:cstheme="minorHAnsi"/>
          <w:b/>
          <w:sz w:val="24"/>
          <w:szCs w:val="24"/>
        </w:rPr>
      </w:pPr>
    </w:p>
    <w:p w14:paraId="1C5CBA35" w14:textId="4294A69F" w:rsidR="00465163" w:rsidRPr="00AB375F" w:rsidRDefault="00465163" w:rsidP="00C31172">
      <w:pPr>
        <w:spacing w:after="0" w:line="240" w:lineRule="auto"/>
        <w:contextualSpacing/>
        <w:jc w:val="both"/>
        <w:rPr>
          <w:rFonts w:eastAsiaTheme="minorEastAsia" w:cstheme="minorHAnsi"/>
          <w:b/>
          <w:sz w:val="24"/>
          <w:szCs w:val="24"/>
        </w:rPr>
      </w:pPr>
    </w:p>
    <w:p w14:paraId="672177BD" w14:textId="00C3DD10" w:rsidR="00133A1E" w:rsidRPr="00AB375F" w:rsidRDefault="00133A1E" w:rsidP="00C31172">
      <w:pPr>
        <w:spacing w:after="0" w:line="240" w:lineRule="auto"/>
        <w:contextualSpacing/>
        <w:jc w:val="both"/>
        <w:rPr>
          <w:rFonts w:eastAsiaTheme="minorEastAsia" w:cstheme="minorHAnsi"/>
          <w:b/>
          <w:sz w:val="24"/>
          <w:szCs w:val="24"/>
        </w:rPr>
      </w:pPr>
    </w:p>
    <w:p w14:paraId="281D2291" w14:textId="77777777" w:rsidR="00133A1E" w:rsidRPr="00AB375F" w:rsidRDefault="00133A1E" w:rsidP="00C31172">
      <w:pPr>
        <w:spacing w:after="0" w:line="240" w:lineRule="auto"/>
        <w:contextualSpacing/>
        <w:jc w:val="both"/>
        <w:rPr>
          <w:rFonts w:eastAsiaTheme="minorEastAsia" w:cstheme="minorHAnsi"/>
          <w:b/>
          <w:sz w:val="24"/>
          <w:szCs w:val="24"/>
        </w:rPr>
      </w:pPr>
    </w:p>
    <w:p w14:paraId="0117CB93" w14:textId="77777777" w:rsidR="00133A1E" w:rsidRPr="00AB375F" w:rsidRDefault="00133A1E" w:rsidP="00C31172">
      <w:pPr>
        <w:spacing w:after="0" w:line="240" w:lineRule="auto"/>
        <w:contextualSpacing/>
        <w:jc w:val="both"/>
        <w:rPr>
          <w:rFonts w:eastAsiaTheme="minorEastAsia" w:cstheme="minorHAnsi"/>
          <w:b/>
          <w:sz w:val="24"/>
          <w:szCs w:val="24"/>
        </w:rPr>
      </w:pPr>
    </w:p>
    <w:p w14:paraId="70BB31EF" w14:textId="77777777" w:rsidR="00133A1E" w:rsidRPr="00AB375F" w:rsidRDefault="00133A1E" w:rsidP="00C31172">
      <w:pPr>
        <w:spacing w:after="0" w:line="240" w:lineRule="auto"/>
        <w:contextualSpacing/>
        <w:jc w:val="both"/>
        <w:rPr>
          <w:rFonts w:eastAsiaTheme="minorEastAsia" w:cstheme="minorHAnsi"/>
          <w:b/>
          <w:sz w:val="24"/>
          <w:szCs w:val="24"/>
        </w:rPr>
      </w:pPr>
    </w:p>
    <w:p w14:paraId="3F94B724" w14:textId="77777777" w:rsidR="00133A1E" w:rsidRPr="00AB375F" w:rsidRDefault="00133A1E" w:rsidP="00C31172">
      <w:pPr>
        <w:spacing w:after="0" w:line="240" w:lineRule="auto"/>
        <w:contextualSpacing/>
        <w:jc w:val="both"/>
        <w:rPr>
          <w:rFonts w:eastAsiaTheme="minorEastAsia" w:cstheme="minorHAnsi"/>
          <w:b/>
          <w:sz w:val="24"/>
          <w:szCs w:val="24"/>
        </w:rPr>
      </w:pPr>
    </w:p>
    <w:p w14:paraId="191B2867" w14:textId="77777777" w:rsidR="00E853BF" w:rsidRPr="00AB375F" w:rsidRDefault="00E853BF" w:rsidP="00C31172">
      <w:pPr>
        <w:spacing w:after="0" w:line="240" w:lineRule="auto"/>
        <w:contextualSpacing/>
        <w:jc w:val="both"/>
        <w:rPr>
          <w:rFonts w:eastAsiaTheme="minorEastAsia" w:cstheme="minorHAnsi"/>
          <w:b/>
          <w:sz w:val="24"/>
          <w:szCs w:val="24"/>
        </w:rPr>
      </w:pPr>
    </w:p>
    <w:p w14:paraId="64304BDE" w14:textId="77777777" w:rsidR="00C31172" w:rsidRPr="00AB375F" w:rsidRDefault="00C31172" w:rsidP="00C31172">
      <w:pPr>
        <w:spacing w:after="0" w:line="240" w:lineRule="auto"/>
        <w:contextualSpacing/>
        <w:jc w:val="both"/>
        <w:rPr>
          <w:rFonts w:eastAsiaTheme="minorEastAsia" w:cstheme="minorHAnsi"/>
          <w:b/>
          <w:sz w:val="24"/>
          <w:szCs w:val="24"/>
        </w:rPr>
      </w:pPr>
    </w:p>
    <w:p w14:paraId="77A70242" w14:textId="08878516" w:rsidR="005D681F" w:rsidRPr="00AB375F" w:rsidRDefault="00C44332" w:rsidP="00C44332">
      <w:pPr>
        <w:shd w:val="clear" w:color="auto" w:fill="9CC2E5" w:themeFill="accent1" w:themeFillTint="99"/>
        <w:spacing w:after="0" w:line="240" w:lineRule="auto"/>
        <w:jc w:val="both"/>
        <w:rPr>
          <w:rFonts w:eastAsiaTheme="minorEastAsia" w:cstheme="minorEastAsia"/>
          <w:b/>
          <w:bCs/>
          <w:sz w:val="24"/>
          <w:szCs w:val="24"/>
        </w:rPr>
      </w:pPr>
      <w:bookmarkStart w:id="0" w:name="Research_Intro"/>
      <w:r w:rsidRPr="00AB375F">
        <w:rPr>
          <w:rFonts w:eastAsiaTheme="minorEastAsia" w:cstheme="minorEastAsia"/>
          <w:b/>
          <w:bCs/>
          <w:sz w:val="24"/>
          <w:szCs w:val="24"/>
        </w:rPr>
        <w:t xml:space="preserve">1.0 </w:t>
      </w:r>
      <w:r w:rsidR="25DF176C" w:rsidRPr="00AB375F">
        <w:rPr>
          <w:rFonts w:eastAsiaTheme="minorEastAsia" w:cstheme="minorEastAsia"/>
          <w:b/>
          <w:bCs/>
          <w:sz w:val="24"/>
          <w:szCs w:val="24"/>
        </w:rPr>
        <w:t xml:space="preserve">Research </w:t>
      </w:r>
      <w:r w:rsidR="002F28C4" w:rsidRPr="00AB375F">
        <w:rPr>
          <w:rFonts w:eastAsiaTheme="minorEastAsia" w:cstheme="minorEastAsia"/>
          <w:b/>
          <w:bCs/>
          <w:sz w:val="24"/>
          <w:szCs w:val="24"/>
        </w:rPr>
        <w:t>Introduction</w:t>
      </w:r>
    </w:p>
    <w:p w14:paraId="76B4E8CA" w14:textId="77777777" w:rsidR="00C44332" w:rsidRPr="00AB375F" w:rsidRDefault="00C44332" w:rsidP="00642A73">
      <w:pPr>
        <w:spacing w:after="0" w:line="240" w:lineRule="auto"/>
        <w:jc w:val="both"/>
        <w:rPr>
          <w:rFonts w:eastAsiaTheme="minorEastAsia" w:cstheme="minorEastAsia"/>
          <w:b/>
          <w:bCs/>
          <w:sz w:val="24"/>
          <w:szCs w:val="24"/>
        </w:rPr>
      </w:pPr>
      <w:bookmarkStart w:id="1" w:name="Purpose_Specific"/>
      <w:bookmarkEnd w:id="0"/>
    </w:p>
    <w:p w14:paraId="1F45071A" w14:textId="340E9A3E" w:rsidR="00E930D8" w:rsidRPr="00AB375F" w:rsidRDefault="00AD4BDC" w:rsidP="00642A73">
      <w:pPr>
        <w:spacing w:after="0" w:line="240" w:lineRule="auto"/>
        <w:jc w:val="both"/>
        <w:rPr>
          <w:rFonts w:eastAsiaTheme="minorEastAsia" w:cstheme="minorEastAsia"/>
          <w:b/>
          <w:bCs/>
          <w:sz w:val="24"/>
          <w:szCs w:val="24"/>
        </w:rPr>
      </w:pPr>
      <w:r w:rsidRPr="00AB375F">
        <w:rPr>
          <w:rFonts w:eastAsiaTheme="minorEastAsia" w:cstheme="minorEastAsia"/>
          <w:b/>
          <w:bCs/>
          <w:sz w:val="24"/>
          <w:szCs w:val="24"/>
        </w:rPr>
        <w:t xml:space="preserve">1.1 </w:t>
      </w:r>
      <w:r w:rsidR="70288EBC" w:rsidRPr="00AB375F">
        <w:rPr>
          <w:rFonts w:eastAsiaTheme="minorEastAsia" w:cstheme="minorEastAsia"/>
          <w:b/>
          <w:bCs/>
          <w:sz w:val="24"/>
          <w:szCs w:val="24"/>
        </w:rPr>
        <w:t xml:space="preserve">Purpose/Specific Aims </w:t>
      </w:r>
    </w:p>
    <w:bookmarkEnd w:id="1"/>
    <w:p w14:paraId="5079A217" w14:textId="4C39EC3E" w:rsidR="00460C97" w:rsidRPr="00AB375F" w:rsidRDefault="00460C97" w:rsidP="00642A73">
      <w:pPr>
        <w:pStyle w:val="NoSpacing"/>
        <w:ind w:left="360"/>
        <w:jc w:val="both"/>
        <w:rPr>
          <w:rFonts w:asciiTheme="minorHAnsi" w:hAnsiTheme="minorHAnsi" w:cs="Arial"/>
          <w:szCs w:val="24"/>
        </w:rPr>
      </w:pPr>
      <w:r w:rsidRPr="00AB375F">
        <w:rPr>
          <w:rFonts w:asciiTheme="minorHAnsi" w:hAnsiTheme="minorHAnsi" w:cs="Arial"/>
          <w:szCs w:val="24"/>
        </w:rPr>
        <w:t xml:space="preserve">The purpose of this study is to determine the </w:t>
      </w:r>
      <w:r w:rsidR="00326CD1">
        <w:rPr>
          <w:rFonts w:asciiTheme="minorHAnsi" w:hAnsiTheme="minorHAnsi" w:cs="Arial"/>
          <w:szCs w:val="24"/>
        </w:rPr>
        <w:t>occurrence</w:t>
      </w:r>
      <w:r w:rsidR="00652B83">
        <w:rPr>
          <w:rFonts w:asciiTheme="minorHAnsi" w:hAnsiTheme="minorHAnsi" w:cs="Arial"/>
          <w:szCs w:val="24"/>
        </w:rPr>
        <w:t xml:space="preserve">, management and </w:t>
      </w:r>
      <w:r w:rsidR="00326CD1">
        <w:rPr>
          <w:rFonts w:asciiTheme="minorHAnsi" w:hAnsiTheme="minorHAnsi" w:cs="Arial"/>
          <w:szCs w:val="24"/>
        </w:rPr>
        <w:t xml:space="preserve">outcomes </w:t>
      </w:r>
      <w:r w:rsidR="00652B83">
        <w:rPr>
          <w:rFonts w:asciiTheme="minorHAnsi" w:hAnsiTheme="minorHAnsi" w:cs="Arial"/>
          <w:szCs w:val="24"/>
        </w:rPr>
        <w:t xml:space="preserve">of hospitalized acute myocardial infarction </w:t>
      </w:r>
      <w:r w:rsidR="002A11D4">
        <w:rPr>
          <w:rFonts w:asciiTheme="minorHAnsi" w:hAnsiTheme="minorHAnsi" w:cs="Arial"/>
          <w:szCs w:val="24"/>
        </w:rPr>
        <w:t>among patients</w:t>
      </w:r>
      <w:r w:rsidR="00652B83">
        <w:rPr>
          <w:rFonts w:asciiTheme="minorHAnsi" w:hAnsiTheme="minorHAnsi" w:cs="Arial"/>
          <w:szCs w:val="24"/>
        </w:rPr>
        <w:t xml:space="preserve"> aged 1</w:t>
      </w:r>
      <w:r w:rsidR="002A11D4">
        <w:rPr>
          <w:rFonts w:asciiTheme="minorHAnsi" w:hAnsiTheme="minorHAnsi" w:cs="Arial"/>
          <w:szCs w:val="24"/>
        </w:rPr>
        <w:t>8</w:t>
      </w:r>
      <w:r w:rsidR="00652B83">
        <w:rPr>
          <w:rFonts w:asciiTheme="minorHAnsi" w:hAnsiTheme="minorHAnsi" w:cs="Arial"/>
          <w:szCs w:val="24"/>
        </w:rPr>
        <w:t xml:space="preserve"> to 35 </w:t>
      </w:r>
      <w:r w:rsidR="0076644B">
        <w:rPr>
          <w:rFonts w:asciiTheme="minorHAnsi" w:hAnsiTheme="minorHAnsi" w:cs="Arial"/>
          <w:szCs w:val="24"/>
        </w:rPr>
        <w:t>years old (</w:t>
      </w:r>
      <w:proofErr w:type="spellStart"/>
      <w:r w:rsidR="0076644B">
        <w:rPr>
          <w:rFonts w:asciiTheme="minorHAnsi" w:hAnsiTheme="minorHAnsi" w:cs="Arial"/>
          <w:szCs w:val="24"/>
        </w:rPr>
        <w:t>y.o</w:t>
      </w:r>
      <w:proofErr w:type="spellEnd"/>
      <w:r w:rsidR="0076644B">
        <w:rPr>
          <w:rFonts w:asciiTheme="minorHAnsi" w:hAnsiTheme="minorHAnsi" w:cs="Arial"/>
          <w:szCs w:val="24"/>
        </w:rPr>
        <w:t xml:space="preserve">.) </w:t>
      </w:r>
      <w:r w:rsidRPr="00AB375F">
        <w:rPr>
          <w:rFonts w:asciiTheme="minorHAnsi" w:hAnsiTheme="minorHAnsi" w:cs="Arial"/>
          <w:szCs w:val="24"/>
        </w:rPr>
        <w:t xml:space="preserve">from </w:t>
      </w:r>
      <w:r w:rsidR="0076644B">
        <w:rPr>
          <w:rFonts w:asciiTheme="minorHAnsi" w:hAnsiTheme="minorHAnsi" w:cs="Arial"/>
          <w:szCs w:val="24"/>
        </w:rPr>
        <w:t>1/1/</w:t>
      </w:r>
      <w:r w:rsidR="0076644B" w:rsidRPr="00AB375F">
        <w:rPr>
          <w:rFonts w:asciiTheme="minorHAnsi" w:hAnsiTheme="minorHAnsi" w:cs="Arial"/>
          <w:szCs w:val="24"/>
        </w:rPr>
        <w:t>1</w:t>
      </w:r>
      <w:r w:rsidR="0076644B">
        <w:rPr>
          <w:rFonts w:asciiTheme="minorHAnsi" w:hAnsiTheme="minorHAnsi" w:cs="Arial"/>
          <w:szCs w:val="24"/>
        </w:rPr>
        <w:t>986</w:t>
      </w:r>
      <w:r w:rsidR="0076644B" w:rsidRPr="00AB375F">
        <w:rPr>
          <w:rFonts w:asciiTheme="minorHAnsi" w:hAnsiTheme="minorHAnsi" w:cs="Arial"/>
          <w:szCs w:val="24"/>
        </w:rPr>
        <w:t xml:space="preserve"> </w:t>
      </w:r>
      <w:r w:rsidRPr="00AB375F">
        <w:rPr>
          <w:rFonts w:asciiTheme="minorHAnsi" w:hAnsiTheme="minorHAnsi" w:cs="Arial"/>
          <w:szCs w:val="24"/>
        </w:rPr>
        <w:t xml:space="preserve">to </w:t>
      </w:r>
      <w:r w:rsidR="0076644B">
        <w:rPr>
          <w:rFonts w:asciiTheme="minorHAnsi" w:hAnsiTheme="minorHAnsi" w:cs="Arial"/>
          <w:szCs w:val="24"/>
        </w:rPr>
        <w:t>12/31/</w:t>
      </w:r>
      <w:r w:rsidR="00326CD1">
        <w:rPr>
          <w:rFonts w:asciiTheme="minorHAnsi" w:hAnsiTheme="minorHAnsi" w:cs="Arial"/>
          <w:szCs w:val="24"/>
        </w:rPr>
        <w:t>2018</w:t>
      </w:r>
      <w:r w:rsidRPr="00AB375F">
        <w:rPr>
          <w:rFonts w:asciiTheme="minorHAnsi" w:hAnsiTheme="minorHAnsi" w:cs="Arial"/>
          <w:szCs w:val="24"/>
        </w:rPr>
        <w:t xml:space="preserve"> in </w:t>
      </w:r>
      <w:r w:rsidR="00326CD1">
        <w:rPr>
          <w:rFonts w:asciiTheme="minorHAnsi" w:hAnsiTheme="minorHAnsi" w:cs="Arial"/>
          <w:szCs w:val="24"/>
        </w:rPr>
        <w:t>New Jersey</w:t>
      </w:r>
      <w:r w:rsidR="0076644B">
        <w:rPr>
          <w:rFonts w:asciiTheme="minorHAnsi" w:hAnsiTheme="minorHAnsi" w:cs="Arial"/>
          <w:szCs w:val="24"/>
        </w:rPr>
        <w:t>.</w:t>
      </w:r>
    </w:p>
    <w:p w14:paraId="6361D48A" w14:textId="1BACDDAF" w:rsidR="00C4062F" w:rsidRPr="00AB375F" w:rsidRDefault="74DA8887" w:rsidP="00642A73">
      <w:pPr>
        <w:pStyle w:val="BodyTextIndent2"/>
        <w:tabs>
          <w:tab w:val="clear" w:pos="1080"/>
        </w:tabs>
        <w:ind w:left="0" w:firstLine="360"/>
        <w:contextualSpacing/>
        <w:rPr>
          <w:rFonts w:eastAsiaTheme="minorBidi" w:cstheme="minorBidi"/>
          <w:b/>
          <w:bCs/>
          <w:sz w:val="24"/>
          <w:szCs w:val="24"/>
        </w:rPr>
      </w:pPr>
      <w:r w:rsidRPr="00AB375F">
        <w:rPr>
          <w:rFonts w:eastAsiaTheme="minorBidi" w:cstheme="minorBidi"/>
          <w:b/>
          <w:bCs/>
          <w:sz w:val="24"/>
          <w:szCs w:val="24"/>
        </w:rPr>
        <w:t xml:space="preserve">Objectives </w:t>
      </w:r>
    </w:p>
    <w:p w14:paraId="3998AC91" w14:textId="43CE596B" w:rsidR="00460C97" w:rsidRPr="00AB375F" w:rsidRDefault="00460C97" w:rsidP="00642A73">
      <w:pPr>
        <w:numPr>
          <w:ilvl w:val="0"/>
          <w:numId w:val="12"/>
        </w:numPr>
        <w:spacing w:after="0" w:line="240" w:lineRule="auto"/>
        <w:jc w:val="both"/>
        <w:rPr>
          <w:sz w:val="24"/>
          <w:szCs w:val="24"/>
        </w:rPr>
      </w:pPr>
      <w:r w:rsidRPr="00AB375F">
        <w:rPr>
          <w:rFonts w:cs="Arial"/>
          <w:sz w:val="24"/>
          <w:szCs w:val="24"/>
        </w:rPr>
        <w:t>To determine the incidence</w:t>
      </w:r>
      <w:r w:rsidR="000B7E2B">
        <w:rPr>
          <w:rFonts w:cs="Arial"/>
          <w:sz w:val="24"/>
          <w:szCs w:val="24"/>
        </w:rPr>
        <w:t>, management, and outcomes</w:t>
      </w:r>
      <w:r w:rsidRPr="00AB375F">
        <w:rPr>
          <w:rFonts w:cs="Arial"/>
          <w:sz w:val="24"/>
          <w:szCs w:val="24"/>
        </w:rPr>
        <w:t xml:space="preserve"> of</w:t>
      </w:r>
      <w:r w:rsidR="002A11D4">
        <w:rPr>
          <w:rFonts w:cs="Arial"/>
          <w:sz w:val="24"/>
          <w:szCs w:val="24"/>
        </w:rPr>
        <w:t xml:space="preserve"> </w:t>
      </w:r>
      <w:bookmarkStart w:id="2" w:name="_Hlk6481669"/>
      <w:r w:rsidR="002A11D4" w:rsidRPr="002A11D4">
        <w:rPr>
          <w:rFonts w:cs="Arial"/>
          <w:sz w:val="24"/>
          <w:szCs w:val="24"/>
        </w:rPr>
        <w:t>hospitalized acute myocardial infarction</w:t>
      </w:r>
      <w:r w:rsidR="002A11D4" w:rsidRPr="00AB375F">
        <w:rPr>
          <w:rFonts w:cs="Arial"/>
          <w:sz w:val="24"/>
          <w:szCs w:val="24"/>
        </w:rPr>
        <w:t xml:space="preserve"> </w:t>
      </w:r>
      <w:r w:rsidR="002A11D4">
        <w:rPr>
          <w:rFonts w:cs="Arial"/>
          <w:sz w:val="24"/>
          <w:szCs w:val="24"/>
        </w:rPr>
        <w:t>among</w:t>
      </w:r>
      <w:r w:rsidR="002A11D4" w:rsidRPr="00AB375F">
        <w:rPr>
          <w:rFonts w:cs="Arial"/>
          <w:sz w:val="24"/>
          <w:szCs w:val="24"/>
        </w:rPr>
        <w:t xml:space="preserve"> </w:t>
      </w:r>
      <w:r w:rsidR="002A11D4">
        <w:rPr>
          <w:rFonts w:cs="Arial"/>
          <w:sz w:val="24"/>
          <w:szCs w:val="24"/>
        </w:rPr>
        <w:t xml:space="preserve">patients 18 to 35 </w:t>
      </w:r>
      <w:proofErr w:type="spellStart"/>
      <w:r w:rsidR="002A11D4">
        <w:rPr>
          <w:rFonts w:cs="Arial"/>
          <w:sz w:val="24"/>
          <w:szCs w:val="24"/>
        </w:rPr>
        <w:t>y.o</w:t>
      </w:r>
      <w:proofErr w:type="spellEnd"/>
      <w:r w:rsidR="002A11D4">
        <w:rPr>
          <w:rFonts w:cs="Arial"/>
          <w:sz w:val="24"/>
          <w:szCs w:val="24"/>
        </w:rPr>
        <w:t>.</w:t>
      </w:r>
      <w:r w:rsidR="000B7E2B">
        <w:rPr>
          <w:rFonts w:cs="Arial"/>
          <w:sz w:val="24"/>
          <w:szCs w:val="24"/>
        </w:rPr>
        <w:t xml:space="preserve"> </w:t>
      </w:r>
      <w:bookmarkEnd w:id="2"/>
    </w:p>
    <w:p w14:paraId="4ADE11EE" w14:textId="7C35BD7B" w:rsidR="002A7C7E" w:rsidRPr="00AB375F" w:rsidRDefault="00460C97" w:rsidP="00642A73">
      <w:pPr>
        <w:numPr>
          <w:ilvl w:val="0"/>
          <w:numId w:val="12"/>
        </w:numPr>
        <w:spacing w:after="0" w:line="240" w:lineRule="auto"/>
        <w:jc w:val="both"/>
        <w:rPr>
          <w:sz w:val="24"/>
          <w:szCs w:val="24"/>
        </w:rPr>
      </w:pPr>
      <w:r w:rsidRPr="00AB375F">
        <w:rPr>
          <w:rFonts w:cs="Arial"/>
          <w:sz w:val="24"/>
          <w:szCs w:val="24"/>
        </w:rPr>
        <w:t xml:space="preserve">To explore </w:t>
      </w:r>
      <w:r w:rsidR="002A11D4" w:rsidRPr="00AB375F">
        <w:rPr>
          <w:rFonts w:cs="Arial"/>
          <w:sz w:val="24"/>
          <w:szCs w:val="24"/>
        </w:rPr>
        <w:t xml:space="preserve">the </w:t>
      </w:r>
      <w:r w:rsidR="002A11D4">
        <w:rPr>
          <w:rFonts w:cs="Arial"/>
          <w:sz w:val="24"/>
          <w:szCs w:val="24"/>
        </w:rPr>
        <w:t>differences in</w:t>
      </w:r>
      <w:r w:rsidR="002E566A">
        <w:rPr>
          <w:rFonts w:cs="Arial"/>
          <w:sz w:val="24"/>
          <w:szCs w:val="24"/>
        </w:rPr>
        <w:t xml:space="preserve"> the </w:t>
      </w:r>
      <w:r w:rsidR="002E566A" w:rsidRPr="00AB375F">
        <w:rPr>
          <w:rFonts w:cs="Arial"/>
          <w:sz w:val="24"/>
          <w:szCs w:val="24"/>
        </w:rPr>
        <w:t>incidence</w:t>
      </w:r>
      <w:r w:rsidR="002E566A">
        <w:rPr>
          <w:rFonts w:cs="Arial"/>
          <w:sz w:val="24"/>
          <w:szCs w:val="24"/>
        </w:rPr>
        <w:t>, management, and outcomes</w:t>
      </w:r>
      <w:r w:rsidR="002E566A" w:rsidRPr="00AB375F">
        <w:rPr>
          <w:rFonts w:cs="Arial"/>
          <w:sz w:val="24"/>
          <w:szCs w:val="24"/>
        </w:rPr>
        <w:t xml:space="preserve"> of </w:t>
      </w:r>
      <w:r w:rsidR="002A11D4" w:rsidRPr="002A11D4">
        <w:rPr>
          <w:rFonts w:cs="Arial"/>
          <w:sz w:val="24"/>
          <w:szCs w:val="24"/>
        </w:rPr>
        <w:t xml:space="preserve">hospitalized acute myocardial infarction </w:t>
      </w:r>
      <w:r w:rsidR="002A11D4">
        <w:rPr>
          <w:rFonts w:cs="Arial"/>
          <w:sz w:val="24"/>
          <w:szCs w:val="24"/>
        </w:rPr>
        <w:t>patients aged 18 to 35</w:t>
      </w:r>
      <w:r w:rsidR="0076644B">
        <w:rPr>
          <w:rFonts w:cs="Arial"/>
          <w:sz w:val="24"/>
          <w:szCs w:val="24"/>
        </w:rPr>
        <w:t xml:space="preserve"> </w:t>
      </w:r>
      <w:proofErr w:type="spellStart"/>
      <w:r w:rsidR="002A11D4">
        <w:rPr>
          <w:rFonts w:cs="Arial"/>
          <w:sz w:val="24"/>
          <w:szCs w:val="24"/>
        </w:rPr>
        <w:t>y.o</w:t>
      </w:r>
      <w:proofErr w:type="spellEnd"/>
      <w:r w:rsidR="002A11D4">
        <w:rPr>
          <w:rFonts w:cs="Arial"/>
          <w:sz w:val="24"/>
          <w:szCs w:val="24"/>
        </w:rPr>
        <w:t>. compared to older patients</w:t>
      </w:r>
      <w:r w:rsidR="002A7C7E">
        <w:rPr>
          <w:rFonts w:cs="Arial"/>
          <w:sz w:val="24"/>
          <w:szCs w:val="24"/>
        </w:rPr>
        <w:t xml:space="preserve"> </w:t>
      </w:r>
      <w:r w:rsidR="002A11D4">
        <w:rPr>
          <w:rFonts w:cs="Arial"/>
          <w:sz w:val="24"/>
          <w:szCs w:val="24"/>
        </w:rPr>
        <w:t xml:space="preserve">aged </w:t>
      </w:r>
      <w:proofErr w:type="gramStart"/>
      <w:r w:rsidR="002A11D4" w:rsidRPr="00DC6366">
        <w:rPr>
          <w:rFonts w:cs="Arial"/>
          <w:sz w:val="24"/>
          <w:szCs w:val="24"/>
        </w:rPr>
        <w:t xml:space="preserve">65 to 74 </w:t>
      </w:r>
      <w:proofErr w:type="spellStart"/>
      <w:r w:rsidR="002A11D4" w:rsidRPr="00DC6366">
        <w:rPr>
          <w:rFonts w:cs="Arial"/>
          <w:sz w:val="24"/>
          <w:szCs w:val="24"/>
        </w:rPr>
        <w:t>y.o</w:t>
      </w:r>
      <w:proofErr w:type="spellEnd"/>
      <w:r w:rsidR="002A11D4" w:rsidRPr="00DC6366">
        <w:rPr>
          <w:rFonts w:cs="Arial"/>
          <w:sz w:val="24"/>
          <w:szCs w:val="24"/>
        </w:rPr>
        <w:t>.</w:t>
      </w:r>
      <w:r w:rsidR="002A11D4">
        <w:rPr>
          <w:rFonts w:cs="Arial"/>
          <w:sz w:val="24"/>
          <w:szCs w:val="24"/>
        </w:rPr>
        <w:t xml:space="preserve"> </w:t>
      </w:r>
      <w:r w:rsidR="002A7C7E" w:rsidRPr="00AB375F">
        <w:rPr>
          <w:rFonts w:cs="Arial"/>
          <w:sz w:val="24"/>
          <w:szCs w:val="24"/>
        </w:rPr>
        <w:t>in New Jersey</w:t>
      </w:r>
      <w:proofErr w:type="gramEnd"/>
      <w:r w:rsidR="002A7C7E" w:rsidRPr="00AB375F">
        <w:rPr>
          <w:rFonts w:cs="Arial"/>
          <w:sz w:val="24"/>
          <w:szCs w:val="24"/>
        </w:rPr>
        <w:t>.</w:t>
      </w:r>
    </w:p>
    <w:p w14:paraId="2B21EFBC" w14:textId="1DD49849" w:rsidR="002A7C7E" w:rsidRPr="00AB375F" w:rsidRDefault="00460C97" w:rsidP="00642A73">
      <w:pPr>
        <w:numPr>
          <w:ilvl w:val="0"/>
          <w:numId w:val="12"/>
        </w:numPr>
        <w:spacing w:after="0" w:line="240" w:lineRule="auto"/>
        <w:jc w:val="both"/>
        <w:rPr>
          <w:sz w:val="24"/>
          <w:szCs w:val="24"/>
        </w:rPr>
      </w:pPr>
      <w:r w:rsidRPr="00AB375F">
        <w:rPr>
          <w:rFonts w:cs="Arial"/>
          <w:sz w:val="24"/>
          <w:szCs w:val="24"/>
        </w:rPr>
        <w:t xml:space="preserve">To </w:t>
      </w:r>
      <w:r w:rsidR="002A11D4">
        <w:rPr>
          <w:rFonts w:cs="Arial"/>
          <w:sz w:val="24"/>
          <w:szCs w:val="24"/>
        </w:rPr>
        <w:t>compare</w:t>
      </w:r>
      <w:r w:rsidRPr="00AB375F">
        <w:rPr>
          <w:rFonts w:cs="Arial"/>
          <w:sz w:val="24"/>
          <w:szCs w:val="24"/>
        </w:rPr>
        <w:t xml:space="preserve"> the </w:t>
      </w:r>
      <w:r w:rsidR="002A7C7E">
        <w:rPr>
          <w:rFonts w:cs="Arial"/>
          <w:sz w:val="24"/>
          <w:szCs w:val="24"/>
        </w:rPr>
        <w:t>rate and outcomes</w:t>
      </w:r>
      <w:r w:rsidRPr="00AB375F">
        <w:rPr>
          <w:rFonts w:cs="Arial"/>
          <w:sz w:val="24"/>
          <w:szCs w:val="24"/>
        </w:rPr>
        <w:t xml:space="preserve"> of invasive diagnostic and interventional procedures </w:t>
      </w:r>
      <w:r w:rsidR="002A7C7E" w:rsidRPr="00AB375F">
        <w:rPr>
          <w:rFonts w:cs="Arial"/>
          <w:sz w:val="24"/>
          <w:szCs w:val="24"/>
        </w:rPr>
        <w:t xml:space="preserve">among </w:t>
      </w:r>
      <w:r w:rsidR="002A11D4" w:rsidRPr="002A11D4">
        <w:rPr>
          <w:rFonts w:cs="Arial"/>
          <w:sz w:val="24"/>
          <w:szCs w:val="24"/>
        </w:rPr>
        <w:t xml:space="preserve">hospitalized acute myocardial infarction patients 18 to 35 </w:t>
      </w:r>
      <w:proofErr w:type="spellStart"/>
      <w:r w:rsidR="002A11D4" w:rsidRPr="002A11D4">
        <w:rPr>
          <w:rFonts w:cs="Arial"/>
          <w:sz w:val="24"/>
          <w:szCs w:val="24"/>
        </w:rPr>
        <w:t>y.o</w:t>
      </w:r>
      <w:proofErr w:type="spellEnd"/>
      <w:r w:rsidR="002A11D4" w:rsidRPr="002A11D4">
        <w:rPr>
          <w:rFonts w:cs="Arial"/>
          <w:sz w:val="24"/>
          <w:szCs w:val="24"/>
        </w:rPr>
        <w:t xml:space="preserve">. </w:t>
      </w:r>
      <w:r w:rsidR="002A11D4">
        <w:rPr>
          <w:rFonts w:cs="Arial"/>
          <w:sz w:val="24"/>
          <w:szCs w:val="24"/>
        </w:rPr>
        <w:t xml:space="preserve">with those aged </w:t>
      </w:r>
      <w:proofErr w:type="gramStart"/>
      <w:r w:rsidR="002A11D4" w:rsidRPr="00DC6366">
        <w:rPr>
          <w:rFonts w:cs="Arial"/>
          <w:sz w:val="24"/>
          <w:szCs w:val="24"/>
        </w:rPr>
        <w:t xml:space="preserve">65 to 74 </w:t>
      </w:r>
      <w:proofErr w:type="spellStart"/>
      <w:r w:rsidR="002A11D4" w:rsidRPr="00DC6366">
        <w:rPr>
          <w:rFonts w:cs="Arial"/>
          <w:sz w:val="24"/>
          <w:szCs w:val="24"/>
        </w:rPr>
        <w:t>y.o</w:t>
      </w:r>
      <w:proofErr w:type="spellEnd"/>
      <w:proofErr w:type="gramEnd"/>
      <w:r w:rsidR="002A11D4" w:rsidRPr="00DC6366">
        <w:rPr>
          <w:rFonts w:cs="Arial"/>
          <w:sz w:val="24"/>
          <w:szCs w:val="24"/>
        </w:rPr>
        <w:t>.</w:t>
      </w:r>
      <w:r w:rsidR="002A11D4">
        <w:rPr>
          <w:rFonts w:cs="Arial"/>
          <w:sz w:val="24"/>
          <w:szCs w:val="24"/>
        </w:rPr>
        <w:t xml:space="preserve"> </w:t>
      </w:r>
      <w:r w:rsidR="002A7C7E">
        <w:rPr>
          <w:rFonts w:cs="Arial"/>
          <w:sz w:val="24"/>
          <w:szCs w:val="24"/>
        </w:rPr>
        <w:t xml:space="preserve"> </w:t>
      </w:r>
      <w:r w:rsidR="002A7C7E" w:rsidRPr="00AB375F">
        <w:rPr>
          <w:rFonts w:cs="Arial"/>
          <w:sz w:val="24"/>
          <w:szCs w:val="24"/>
        </w:rPr>
        <w:t>in New Jersey.</w:t>
      </w:r>
    </w:p>
    <w:p w14:paraId="2527AFDB" w14:textId="51C144BC" w:rsidR="74779D8A" w:rsidRPr="00AB375F" w:rsidRDefault="00263662" w:rsidP="00642A73">
      <w:pPr>
        <w:spacing w:after="0" w:line="240" w:lineRule="auto"/>
        <w:jc w:val="both"/>
        <w:rPr>
          <w:rFonts w:eastAsiaTheme="minorBidi"/>
          <w:sz w:val="24"/>
          <w:szCs w:val="24"/>
        </w:rPr>
      </w:pPr>
      <w:r>
        <w:rPr>
          <w:rFonts w:eastAsiaTheme="minorBidi"/>
          <w:b/>
          <w:bCs/>
          <w:sz w:val="24"/>
          <w:szCs w:val="24"/>
        </w:rPr>
        <w:t xml:space="preserve">       </w:t>
      </w:r>
      <w:r w:rsidR="74DA8887" w:rsidRPr="00AB375F">
        <w:rPr>
          <w:rFonts w:eastAsiaTheme="minorBidi"/>
          <w:b/>
          <w:bCs/>
          <w:sz w:val="24"/>
          <w:szCs w:val="24"/>
        </w:rPr>
        <w:t>Hypotheses / Research Question(s)</w:t>
      </w:r>
      <w:bookmarkStart w:id="3" w:name="_GoBack"/>
      <w:bookmarkEnd w:id="3"/>
    </w:p>
    <w:p w14:paraId="2B49671A" w14:textId="3D582C3E" w:rsidR="00B6312A" w:rsidRPr="00AB375F" w:rsidRDefault="00B6312A" w:rsidP="00642A73">
      <w:pPr>
        <w:numPr>
          <w:ilvl w:val="0"/>
          <w:numId w:val="12"/>
        </w:numPr>
        <w:spacing w:after="0" w:line="240" w:lineRule="auto"/>
        <w:jc w:val="both"/>
        <w:rPr>
          <w:rFonts w:cs="Arial"/>
          <w:sz w:val="24"/>
          <w:szCs w:val="24"/>
        </w:rPr>
      </w:pPr>
      <w:bookmarkStart w:id="4" w:name="Research_Significance"/>
      <w:r w:rsidRPr="00AB375F">
        <w:rPr>
          <w:rFonts w:cs="Arial"/>
          <w:sz w:val="24"/>
          <w:szCs w:val="24"/>
        </w:rPr>
        <w:t xml:space="preserve">Hypothesis 1: </w:t>
      </w:r>
      <w:r w:rsidR="0042740F">
        <w:rPr>
          <w:rFonts w:cs="Arial"/>
          <w:sz w:val="24"/>
          <w:szCs w:val="24"/>
        </w:rPr>
        <w:t xml:space="preserve">Among patients </w:t>
      </w:r>
      <w:r w:rsidR="0042740F" w:rsidRPr="002A11D4">
        <w:rPr>
          <w:rFonts w:cs="Arial"/>
          <w:sz w:val="24"/>
          <w:szCs w:val="24"/>
        </w:rPr>
        <w:t>hospitalized acute myocardial infarction</w:t>
      </w:r>
      <w:r w:rsidR="0042740F" w:rsidRPr="00AB375F">
        <w:rPr>
          <w:rFonts w:cs="Arial"/>
          <w:sz w:val="24"/>
          <w:szCs w:val="24"/>
        </w:rPr>
        <w:t xml:space="preserve"> </w:t>
      </w:r>
      <w:proofErr w:type="gramStart"/>
      <w:r w:rsidR="0042740F">
        <w:rPr>
          <w:rFonts w:cs="Arial"/>
          <w:sz w:val="24"/>
          <w:szCs w:val="24"/>
        </w:rPr>
        <w:t xml:space="preserve">aged 18 to 35 </w:t>
      </w:r>
      <w:proofErr w:type="spellStart"/>
      <w:r w:rsidR="0042740F">
        <w:rPr>
          <w:rFonts w:cs="Arial"/>
          <w:sz w:val="24"/>
          <w:szCs w:val="24"/>
        </w:rPr>
        <w:t>y.o</w:t>
      </w:r>
      <w:proofErr w:type="spellEnd"/>
      <w:r w:rsidR="0042740F">
        <w:rPr>
          <w:rFonts w:cs="Arial"/>
          <w:sz w:val="24"/>
          <w:szCs w:val="24"/>
        </w:rPr>
        <w:t xml:space="preserve"> the </w:t>
      </w:r>
      <w:r w:rsidR="00512F18">
        <w:rPr>
          <w:rFonts w:cs="Arial"/>
          <w:sz w:val="24"/>
          <w:szCs w:val="24"/>
        </w:rPr>
        <w:t>incidence</w:t>
      </w:r>
      <w:proofErr w:type="gramEnd"/>
      <w:r w:rsidR="0042740F">
        <w:rPr>
          <w:rFonts w:cs="Arial"/>
          <w:sz w:val="24"/>
          <w:szCs w:val="24"/>
        </w:rPr>
        <w:t xml:space="preserve"> is low</w:t>
      </w:r>
      <w:r w:rsidR="00512F18">
        <w:rPr>
          <w:rFonts w:cs="Arial"/>
          <w:sz w:val="24"/>
          <w:szCs w:val="24"/>
        </w:rPr>
        <w:t xml:space="preserve">, </w:t>
      </w:r>
      <w:r w:rsidR="0042740F">
        <w:rPr>
          <w:rFonts w:cs="Arial"/>
          <w:sz w:val="24"/>
          <w:szCs w:val="24"/>
        </w:rPr>
        <w:t xml:space="preserve">the </w:t>
      </w:r>
      <w:r w:rsidR="00512F18">
        <w:rPr>
          <w:rFonts w:cs="Arial"/>
          <w:sz w:val="24"/>
          <w:szCs w:val="24"/>
        </w:rPr>
        <w:t>management</w:t>
      </w:r>
      <w:r w:rsidR="0042740F">
        <w:rPr>
          <w:rFonts w:cs="Arial"/>
          <w:sz w:val="24"/>
          <w:szCs w:val="24"/>
        </w:rPr>
        <w:t xml:space="preserve"> includes more interventional procedures</w:t>
      </w:r>
      <w:r w:rsidR="00512F18">
        <w:rPr>
          <w:rFonts w:cs="Arial"/>
          <w:sz w:val="24"/>
          <w:szCs w:val="24"/>
        </w:rPr>
        <w:t xml:space="preserve">, and </w:t>
      </w:r>
      <w:r w:rsidR="0042740F">
        <w:rPr>
          <w:rFonts w:cs="Arial"/>
          <w:sz w:val="24"/>
          <w:szCs w:val="24"/>
        </w:rPr>
        <w:t xml:space="preserve">the </w:t>
      </w:r>
      <w:r w:rsidR="00512F18">
        <w:rPr>
          <w:rFonts w:cs="Arial"/>
          <w:sz w:val="24"/>
          <w:szCs w:val="24"/>
        </w:rPr>
        <w:t>outcomes</w:t>
      </w:r>
      <w:r w:rsidR="00512F18" w:rsidRPr="00AB375F">
        <w:rPr>
          <w:rFonts w:cs="Arial"/>
          <w:sz w:val="24"/>
          <w:szCs w:val="24"/>
        </w:rPr>
        <w:t xml:space="preserve"> </w:t>
      </w:r>
      <w:r w:rsidR="0042740F">
        <w:rPr>
          <w:rFonts w:cs="Arial"/>
          <w:sz w:val="24"/>
          <w:szCs w:val="24"/>
        </w:rPr>
        <w:t>are better.</w:t>
      </w:r>
    </w:p>
    <w:p w14:paraId="3A0528DD" w14:textId="6F8D41EC" w:rsidR="00B6312A" w:rsidRPr="002A11D4" w:rsidRDefault="00B6312A" w:rsidP="00642A73">
      <w:pPr>
        <w:numPr>
          <w:ilvl w:val="0"/>
          <w:numId w:val="12"/>
        </w:numPr>
        <w:spacing w:after="0" w:line="240" w:lineRule="auto"/>
        <w:jc w:val="both"/>
        <w:rPr>
          <w:sz w:val="24"/>
          <w:szCs w:val="24"/>
        </w:rPr>
      </w:pPr>
      <w:r w:rsidRPr="00AB375F">
        <w:rPr>
          <w:rFonts w:cs="Arial"/>
          <w:sz w:val="24"/>
          <w:szCs w:val="24"/>
        </w:rPr>
        <w:t>Hypothesis 2:</w:t>
      </w:r>
      <w:r w:rsidR="00EE474E">
        <w:rPr>
          <w:rFonts w:cs="Arial"/>
          <w:sz w:val="24"/>
          <w:szCs w:val="24"/>
        </w:rPr>
        <w:t xml:space="preserve"> T</w:t>
      </w:r>
      <w:r w:rsidR="00755603">
        <w:rPr>
          <w:rFonts w:cs="Arial"/>
          <w:sz w:val="24"/>
          <w:szCs w:val="24"/>
        </w:rPr>
        <w:t xml:space="preserve">he </w:t>
      </w:r>
      <w:r w:rsidR="002A11D4">
        <w:rPr>
          <w:rFonts w:cs="Arial"/>
          <w:sz w:val="24"/>
          <w:szCs w:val="24"/>
        </w:rPr>
        <w:t xml:space="preserve">risk profile among </w:t>
      </w:r>
      <w:r w:rsidR="002A11D4" w:rsidRPr="002A11D4">
        <w:rPr>
          <w:rFonts w:cs="Arial"/>
          <w:sz w:val="24"/>
          <w:szCs w:val="24"/>
        </w:rPr>
        <w:t xml:space="preserve">hospitalized acute myocardial infarction </w:t>
      </w:r>
      <w:r w:rsidR="002A11D4">
        <w:rPr>
          <w:rFonts w:cs="Arial"/>
          <w:sz w:val="24"/>
          <w:szCs w:val="24"/>
        </w:rPr>
        <w:t xml:space="preserve">patients aged 18 to 35y.o. </w:t>
      </w:r>
      <w:r w:rsidR="00EE474E">
        <w:rPr>
          <w:rFonts w:cs="Arial"/>
          <w:sz w:val="24"/>
          <w:szCs w:val="24"/>
        </w:rPr>
        <w:t xml:space="preserve">includes less emphasis on traditional risk factors (age, hypertension, diabetes) and more </w:t>
      </w:r>
      <w:r w:rsidR="002F091C">
        <w:rPr>
          <w:rFonts w:cs="Arial"/>
          <w:sz w:val="24"/>
          <w:szCs w:val="24"/>
        </w:rPr>
        <w:t xml:space="preserve">emphasis </w:t>
      </w:r>
      <w:r w:rsidR="00EE474E">
        <w:rPr>
          <w:rFonts w:cs="Arial"/>
          <w:sz w:val="24"/>
          <w:szCs w:val="24"/>
        </w:rPr>
        <w:t xml:space="preserve">on hyperlipidemia </w:t>
      </w:r>
      <w:r w:rsidR="002A11D4">
        <w:rPr>
          <w:rFonts w:cs="Arial"/>
          <w:sz w:val="24"/>
          <w:szCs w:val="24"/>
        </w:rPr>
        <w:t xml:space="preserve">compared to older myocardial infarction patients aged </w:t>
      </w:r>
      <w:r w:rsidR="002A11D4" w:rsidRPr="00DC6366">
        <w:rPr>
          <w:rFonts w:cs="Arial"/>
          <w:sz w:val="24"/>
          <w:szCs w:val="24"/>
        </w:rPr>
        <w:t xml:space="preserve">65 to 74 </w:t>
      </w:r>
      <w:proofErr w:type="spellStart"/>
      <w:r w:rsidR="002A11D4" w:rsidRPr="00DC6366">
        <w:rPr>
          <w:rFonts w:cs="Arial"/>
          <w:sz w:val="24"/>
          <w:szCs w:val="24"/>
        </w:rPr>
        <w:t>y.o</w:t>
      </w:r>
      <w:proofErr w:type="spellEnd"/>
      <w:r w:rsidR="002A11D4" w:rsidRPr="00DC6366">
        <w:rPr>
          <w:rFonts w:cs="Arial"/>
          <w:sz w:val="24"/>
          <w:szCs w:val="24"/>
        </w:rPr>
        <w:t>.</w:t>
      </w:r>
      <w:r w:rsidR="002A11D4">
        <w:rPr>
          <w:rFonts w:cs="Arial"/>
          <w:sz w:val="24"/>
          <w:szCs w:val="24"/>
        </w:rPr>
        <w:t xml:space="preserve"> </w:t>
      </w:r>
      <w:r w:rsidR="002A11D4" w:rsidRPr="00AB375F">
        <w:rPr>
          <w:rFonts w:cs="Arial"/>
          <w:sz w:val="24"/>
          <w:szCs w:val="24"/>
        </w:rPr>
        <w:t>in New Jersey.</w:t>
      </w:r>
    </w:p>
    <w:p w14:paraId="3D3FFDE1" w14:textId="1926DD7E" w:rsidR="00F22896" w:rsidRPr="00642A73" w:rsidRDefault="00B6312A" w:rsidP="00642A73">
      <w:pPr>
        <w:numPr>
          <w:ilvl w:val="0"/>
          <w:numId w:val="12"/>
        </w:numPr>
        <w:spacing w:after="0" w:line="240" w:lineRule="auto"/>
        <w:jc w:val="both"/>
        <w:rPr>
          <w:sz w:val="24"/>
          <w:szCs w:val="24"/>
        </w:rPr>
      </w:pPr>
      <w:r w:rsidRPr="004453DE">
        <w:rPr>
          <w:rFonts w:cs="Arial"/>
          <w:sz w:val="24"/>
          <w:szCs w:val="24"/>
        </w:rPr>
        <w:t xml:space="preserve">Hypothesis 3: </w:t>
      </w:r>
      <w:r w:rsidR="004453DE">
        <w:rPr>
          <w:rFonts w:cs="Arial"/>
          <w:sz w:val="24"/>
          <w:szCs w:val="24"/>
        </w:rPr>
        <w:t>There may be differences in the</w:t>
      </w:r>
      <w:r w:rsidR="00642A73">
        <w:rPr>
          <w:rFonts w:cs="Arial"/>
          <w:sz w:val="24"/>
          <w:szCs w:val="24"/>
        </w:rPr>
        <w:t xml:space="preserve"> </w:t>
      </w:r>
      <w:r w:rsidR="004453DE">
        <w:rPr>
          <w:rFonts w:cs="Arial"/>
          <w:sz w:val="24"/>
          <w:szCs w:val="24"/>
        </w:rPr>
        <w:t>outcomes</w:t>
      </w:r>
      <w:r w:rsidR="00642A73">
        <w:rPr>
          <w:rFonts w:cs="Arial"/>
          <w:sz w:val="24"/>
          <w:szCs w:val="24"/>
        </w:rPr>
        <w:t xml:space="preserve"> </w:t>
      </w:r>
      <w:r w:rsidR="00DD0719" w:rsidRPr="00AB375F">
        <w:rPr>
          <w:rFonts w:cs="Arial"/>
          <w:sz w:val="24"/>
          <w:szCs w:val="24"/>
        </w:rPr>
        <w:t>invasive diagnostic and interventional procedures</w:t>
      </w:r>
      <w:r w:rsidR="00DD0719">
        <w:rPr>
          <w:rFonts w:cs="Arial"/>
          <w:sz w:val="24"/>
          <w:szCs w:val="24"/>
        </w:rPr>
        <w:t xml:space="preserve"> in </w:t>
      </w:r>
      <w:r w:rsidR="00642A73" w:rsidRPr="002A11D4">
        <w:rPr>
          <w:rFonts w:cs="Arial"/>
          <w:sz w:val="24"/>
          <w:szCs w:val="24"/>
        </w:rPr>
        <w:t xml:space="preserve">hospitalized acute myocardial infarction </w:t>
      </w:r>
      <w:r w:rsidR="00642A73">
        <w:rPr>
          <w:rFonts w:cs="Arial"/>
          <w:sz w:val="24"/>
          <w:szCs w:val="24"/>
        </w:rPr>
        <w:t xml:space="preserve">patients aged 18 to 35 </w:t>
      </w:r>
      <w:proofErr w:type="spellStart"/>
      <w:r w:rsidR="00642A73">
        <w:rPr>
          <w:rFonts w:cs="Arial"/>
          <w:sz w:val="24"/>
          <w:szCs w:val="24"/>
        </w:rPr>
        <w:t>y.o</w:t>
      </w:r>
      <w:proofErr w:type="spellEnd"/>
      <w:r w:rsidR="00642A73">
        <w:rPr>
          <w:rFonts w:cs="Arial"/>
          <w:sz w:val="24"/>
          <w:szCs w:val="24"/>
        </w:rPr>
        <w:t xml:space="preserve">. compared to older patients aged </w:t>
      </w:r>
      <w:r w:rsidR="00642A73" w:rsidRPr="00DC6366">
        <w:rPr>
          <w:rFonts w:cs="Arial"/>
          <w:sz w:val="24"/>
          <w:szCs w:val="24"/>
        </w:rPr>
        <w:t xml:space="preserve">65 to 74 </w:t>
      </w:r>
      <w:proofErr w:type="spellStart"/>
      <w:r w:rsidR="00642A73" w:rsidRPr="00DC6366">
        <w:rPr>
          <w:rFonts w:cs="Arial"/>
          <w:sz w:val="24"/>
          <w:szCs w:val="24"/>
        </w:rPr>
        <w:t>y.o</w:t>
      </w:r>
      <w:proofErr w:type="spellEnd"/>
      <w:r w:rsidR="00642A73" w:rsidRPr="00DC6366">
        <w:rPr>
          <w:rFonts w:cs="Arial"/>
          <w:sz w:val="24"/>
          <w:szCs w:val="24"/>
        </w:rPr>
        <w:t>.</w:t>
      </w:r>
      <w:r w:rsidR="00642A73">
        <w:rPr>
          <w:rFonts w:cs="Arial"/>
          <w:sz w:val="24"/>
          <w:szCs w:val="24"/>
        </w:rPr>
        <w:t xml:space="preserve"> </w:t>
      </w:r>
      <w:r w:rsidR="00642A73" w:rsidRPr="00AB375F">
        <w:rPr>
          <w:rFonts w:cs="Arial"/>
          <w:sz w:val="24"/>
          <w:szCs w:val="24"/>
        </w:rPr>
        <w:t>in New Jersey.</w:t>
      </w:r>
    </w:p>
    <w:p w14:paraId="4DB249C9" w14:textId="0EF52E48" w:rsidR="00126E30" w:rsidRPr="00AB375F" w:rsidRDefault="008249A5" w:rsidP="00F22896">
      <w:pPr>
        <w:pStyle w:val="BodyTextIndent"/>
        <w:shd w:val="clear" w:color="auto" w:fill="9CC2E5" w:themeFill="accent1" w:themeFillTint="99"/>
        <w:ind w:left="0"/>
        <w:contextualSpacing/>
        <w:rPr>
          <w:rFonts w:eastAsiaTheme="minorBidi" w:cstheme="minorBidi"/>
          <w:sz w:val="24"/>
          <w:szCs w:val="24"/>
        </w:rPr>
      </w:pPr>
      <w:r w:rsidRPr="00AB375F">
        <w:rPr>
          <w:rFonts w:eastAsiaTheme="minorBidi" w:cstheme="minorBidi"/>
          <w:b/>
          <w:bCs/>
          <w:sz w:val="24"/>
          <w:szCs w:val="24"/>
        </w:rPr>
        <w:t xml:space="preserve">2.0 </w:t>
      </w:r>
      <w:r w:rsidR="70288EBC" w:rsidRPr="00AB375F">
        <w:rPr>
          <w:rFonts w:eastAsiaTheme="minorBidi" w:cstheme="minorBidi"/>
          <w:b/>
          <w:bCs/>
          <w:sz w:val="24"/>
          <w:szCs w:val="24"/>
        </w:rPr>
        <w:t>Research Significance</w:t>
      </w:r>
      <w:r w:rsidR="002D7ED2" w:rsidRPr="00AB375F">
        <w:rPr>
          <w:b/>
          <w:sz w:val="24"/>
          <w:szCs w:val="24"/>
        </w:rPr>
        <w:t xml:space="preserve"> </w:t>
      </w:r>
      <w:bookmarkEnd w:id="4"/>
      <w:r w:rsidR="002D7ED2" w:rsidRPr="00AB375F">
        <w:rPr>
          <w:b/>
          <w:i/>
          <w:iCs/>
          <w:sz w:val="24"/>
          <w:szCs w:val="24"/>
        </w:rPr>
        <w:t>(</w:t>
      </w:r>
      <w:r w:rsidR="000C6CE9" w:rsidRPr="00AB375F">
        <w:rPr>
          <w:rFonts w:eastAsiaTheme="minorBidi" w:cstheme="minorBidi"/>
          <w:b/>
          <w:i/>
          <w:iCs/>
          <w:sz w:val="24"/>
          <w:szCs w:val="24"/>
        </w:rPr>
        <w:t>Briefly describe the following in 500 words or less</w:t>
      </w:r>
      <w:r w:rsidR="002D7ED2" w:rsidRPr="00AB375F">
        <w:rPr>
          <w:rFonts w:eastAsiaTheme="minorBidi" w:cstheme="minorBidi"/>
          <w:b/>
          <w:i/>
          <w:iCs/>
          <w:sz w:val="24"/>
          <w:szCs w:val="24"/>
        </w:rPr>
        <w:t>):</w:t>
      </w:r>
    </w:p>
    <w:p w14:paraId="0D1E70F6" w14:textId="2E4238DE" w:rsidR="00642A73" w:rsidRDefault="00642A73" w:rsidP="006A305D">
      <w:pPr>
        <w:spacing w:line="276" w:lineRule="auto"/>
        <w:jc w:val="both"/>
        <w:rPr>
          <w:sz w:val="24"/>
        </w:rPr>
      </w:pPr>
      <w:bookmarkStart w:id="5" w:name="Research_Design"/>
      <w:bookmarkStart w:id="6" w:name="_Toc38603213"/>
      <w:bookmarkStart w:id="7" w:name="_Toc38603934"/>
      <w:bookmarkStart w:id="8" w:name="_Toc38604178"/>
      <w:bookmarkStart w:id="9" w:name="_Toc38604578"/>
      <w:bookmarkStart w:id="10" w:name="_Toc38605053"/>
      <w:bookmarkStart w:id="11" w:name="_Toc38605307"/>
      <w:bookmarkStart w:id="12" w:name="_Toc38605487"/>
      <w:bookmarkStart w:id="13" w:name="_Toc38605665"/>
      <w:bookmarkStart w:id="14" w:name="_Toc38609027"/>
      <w:bookmarkStart w:id="15" w:name="_Toc38609169"/>
      <w:bookmarkStart w:id="16" w:name="_Toc38609257"/>
      <w:bookmarkStart w:id="17" w:name="_Toc38611299"/>
      <w:bookmarkStart w:id="18" w:name="_Toc38793812"/>
      <w:bookmarkStart w:id="19" w:name="_Toc38794986"/>
      <w:bookmarkStart w:id="20" w:name="_Toc38796081"/>
      <w:bookmarkStart w:id="21" w:name="_Toc38871520"/>
      <w:bookmarkStart w:id="22" w:name="_Toc38871776"/>
      <w:bookmarkStart w:id="23" w:name="_Toc38871866"/>
      <w:bookmarkStart w:id="24" w:name="_Toc38872156"/>
      <w:bookmarkStart w:id="25" w:name="_Toc38872245"/>
      <w:bookmarkStart w:id="26" w:name="_Toc38872334"/>
      <w:bookmarkStart w:id="27" w:name="_Toc38872471"/>
      <w:bookmarkStart w:id="28" w:name="_Toc38872645"/>
      <w:bookmarkStart w:id="29" w:name="_Toc38872733"/>
      <w:bookmarkStart w:id="30" w:name="_Toc38875364"/>
      <w:bookmarkStart w:id="31" w:name="_Toc38875677"/>
      <w:bookmarkStart w:id="32" w:name="_Toc38876021"/>
      <w:bookmarkStart w:id="33" w:name="_Toc38876131"/>
      <w:bookmarkStart w:id="34" w:name="_Toc38976871"/>
      <w:bookmarkStart w:id="35" w:name="_Toc39030696"/>
      <w:bookmarkStart w:id="36" w:name="_Toc39030831"/>
      <w:bookmarkStart w:id="37" w:name="_Toc39031327"/>
      <w:bookmarkStart w:id="38" w:name="_Toc39031872"/>
      <w:bookmarkStart w:id="39" w:name="_Toc82319750"/>
      <w:r>
        <w:rPr>
          <w:szCs w:val="24"/>
        </w:rPr>
        <w:t xml:space="preserve"> </w:t>
      </w:r>
      <w:r>
        <w:rPr>
          <w:sz w:val="24"/>
        </w:rPr>
        <w:t>Coronary heart disease (CHD) remains the principal cause of death in the industrialized world</w:t>
      </w:r>
      <w:r>
        <w:rPr>
          <w:sz w:val="24"/>
          <w:vertAlign w:val="superscript"/>
        </w:rPr>
        <w:t>1</w:t>
      </w:r>
      <w:r>
        <w:rPr>
          <w:sz w:val="24"/>
        </w:rPr>
        <w:t>. Despite a series of superb developments in the study and treatment of CHD</w:t>
      </w:r>
      <w:r>
        <w:rPr>
          <w:sz w:val="24"/>
          <w:vertAlign w:val="superscript"/>
        </w:rPr>
        <w:t>2</w:t>
      </w:r>
      <w:r>
        <w:rPr>
          <w:sz w:val="24"/>
        </w:rPr>
        <w:t xml:space="preserve"> over the past years little there is to know about studies focusing at myocardial infarction in populations under 35 years of age.    The incidence of acute coronary syndrome is between</w:t>
      </w:r>
      <w:r w:rsidRPr="008619D8">
        <w:rPr>
          <w:sz w:val="24"/>
        </w:rPr>
        <w:t xml:space="preserve"> 3% </w:t>
      </w:r>
      <w:r>
        <w:rPr>
          <w:sz w:val="24"/>
        </w:rPr>
        <w:t xml:space="preserve">and </w:t>
      </w:r>
      <w:r w:rsidRPr="008619D8">
        <w:rPr>
          <w:sz w:val="24"/>
        </w:rPr>
        <w:t>10% in</w:t>
      </w:r>
      <w:r>
        <w:rPr>
          <w:sz w:val="24"/>
        </w:rPr>
        <w:t xml:space="preserve"> </w:t>
      </w:r>
      <w:r w:rsidRPr="008619D8">
        <w:rPr>
          <w:sz w:val="24"/>
        </w:rPr>
        <w:t>patients &lt;45 years</w:t>
      </w:r>
      <w:r>
        <w:rPr>
          <w:sz w:val="24"/>
        </w:rPr>
        <w:t xml:space="preserve"> of age</w:t>
      </w:r>
      <w:r>
        <w:rPr>
          <w:sz w:val="24"/>
          <w:vertAlign w:val="superscript"/>
        </w:rPr>
        <w:t>2</w:t>
      </w:r>
      <w:r>
        <w:rPr>
          <w:sz w:val="24"/>
        </w:rPr>
        <w:t xml:space="preserve"> but acute myocardial infarction (AMI) is very rare and comprises less than 1% of all AMIs in patients equal or younger than 35 years of age</w:t>
      </w:r>
      <w:r>
        <w:rPr>
          <w:sz w:val="24"/>
          <w:vertAlign w:val="superscript"/>
        </w:rPr>
        <w:t>3</w:t>
      </w:r>
      <w:r>
        <w:rPr>
          <w:sz w:val="24"/>
        </w:rPr>
        <w:t>.  Although the number of AMI in this age group plateaued over the past decade</w:t>
      </w:r>
      <w:r>
        <w:rPr>
          <w:sz w:val="24"/>
          <w:vertAlign w:val="superscript"/>
        </w:rPr>
        <w:t>4</w:t>
      </w:r>
      <w:r>
        <w:rPr>
          <w:sz w:val="24"/>
        </w:rPr>
        <w:t xml:space="preserve"> the incidence CHD is projected to increase</w:t>
      </w:r>
      <w:r>
        <w:rPr>
          <w:sz w:val="24"/>
          <w:vertAlign w:val="superscript"/>
        </w:rPr>
        <w:t>5</w:t>
      </w:r>
      <w:r>
        <w:rPr>
          <w:sz w:val="24"/>
        </w:rPr>
        <w:t xml:space="preserve"> due to the rising prevalence of risk factors such as smoking and diabetes among these patients</w:t>
      </w:r>
      <w:r>
        <w:rPr>
          <w:sz w:val="24"/>
          <w:vertAlign w:val="superscript"/>
        </w:rPr>
        <w:t>6,7</w:t>
      </w:r>
      <w:r>
        <w:rPr>
          <w:sz w:val="24"/>
        </w:rPr>
        <w:t xml:space="preserve">. In addition to the burden of the disease itself one must consider the effects of an AMI with regards to the socioeconomic adverse consequences that such an event poses at a young age. A “premature” AMI might affect a person’s ability to work, decrease a family’s income, limit an active lifestyle and establish a longstanding period of disability. In addition, the residual life expectancy of individuals under 35 is higher than </w:t>
      </w:r>
      <w:r>
        <w:rPr>
          <w:sz w:val="24"/>
        </w:rPr>
        <w:lastRenderedPageBreak/>
        <w:t>older people, an important consideration for those whose infarction may be fatal. Thus far, available data were derived from studies with limited number of patients, short duration of follow-up, not deriving from population data sets and with a higher age cut off, such as 40-55 years old</w:t>
      </w:r>
      <w:r>
        <w:rPr>
          <w:sz w:val="24"/>
          <w:vertAlign w:val="superscript"/>
        </w:rPr>
        <w:t>8-10</w:t>
      </w:r>
      <w:r>
        <w:rPr>
          <w:sz w:val="24"/>
        </w:rPr>
        <w:t xml:space="preserve">. </w:t>
      </w:r>
    </w:p>
    <w:p w14:paraId="63E0549F" w14:textId="22405297" w:rsidR="00642A73" w:rsidRDefault="00642A73" w:rsidP="006A305D">
      <w:pPr>
        <w:spacing w:line="276" w:lineRule="auto"/>
        <w:jc w:val="both"/>
        <w:rPr>
          <w:sz w:val="24"/>
        </w:rPr>
      </w:pPr>
      <w:r>
        <w:rPr>
          <w:sz w:val="24"/>
        </w:rPr>
        <w:t xml:space="preserve">The </w:t>
      </w:r>
      <w:r w:rsidR="006A305D">
        <w:rPr>
          <w:sz w:val="24"/>
        </w:rPr>
        <w:t>aim</w:t>
      </w:r>
      <w:r>
        <w:rPr>
          <w:sz w:val="24"/>
        </w:rPr>
        <w:t xml:space="preserve"> of this </w:t>
      </w:r>
      <w:r w:rsidR="006A305D">
        <w:rPr>
          <w:sz w:val="24"/>
        </w:rPr>
        <w:t>work</w:t>
      </w:r>
      <w:r>
        <w:rPr>
          <w:sz w:val="24"/>
        </w:rPr>
        <w:t xml:space="preserve"> is to better characterize in terms of incidence,</w:t>
      </w:r>
      <w:r w:rsidRPr="00D85D3E">
        <w:rPr>
          <w:sz w:val="24"/>
        </w:rPr>
        <w:t xml:space="preserve"> </w:t>
      </w:r>
      <w:r>
        <w:rPr>
          <w:sz w:val="24"/>
        </w:rPr>
        <w:t>risk profile, management and outcomes a population who sustained an AMI equal or under 35 years of age between 1985 and 2018 using the Myocardial Infarction Data Acquisition System (MIDAS), a database of all hospitalizations in New Jersey</w:t>
      </w:r>
      <w:r w:rsidR="006A305D">
        <w:rPr>
          <w:sz w:val="24"/>
          <w:szCs w:val="24"/>
          <w:vertAlign w:val="superscript"/>
        </w:rPr>
        <w:t>11-</w:t>
      </w:r>
      <w:r w:rsidR="006A305D" w:rsidRPr="0007721C">
        <w:rPr>
          <w:sz w:val="24"/>
          <w:szCs w:val="24"/>
          <w:vertAlign w:val="superscript"/>
        </w:rPr>
        <w:t>14</w:t>
      </w:r>
      <w:r>
        <w:rPr>
          <w:sz w:val="24"/>
        </w:rPr>
        <w:t xml:space="preserve">.  </w:t>
      </w:r>
    </w:p>
    <w:p w14:paraId="18AD1CAF" w14:textId="1D4A2874" w:rsidR="000318E4" w:rsidRPr="000318E4" w:rsidRDefault="000318E4" w:rsidP="006A305D">
      <w:pPr>
        <w:spacing w:line="276" w:lineRule="auto"/>
        <w:jc w:val="both"/>
        <w:rPr>
          <w:sz w:val="24"/>
        </w:rPr>
      </w:pPr>
      <w:r>
        <w:rPr>
          <w:sz w:val="24"/>
        </w:rPr>
        <w:t xml:space="preserve">The Myocardial </w:t>
      </w:r>
      <w:r w:rsidR="00037D37">
        <w:rPr>
          <w:sz w:val="24"/>
        </w:rPr>
        <w:t>I</w:t>
      </w:r>
      <w:r>
        <w:rPr>
          <w:sz w:val="24"/>
        </w:rPr>
        <w:t xml:space="preserve">nfarction </w:t>
      </w:r>
      <w:r w:rsidR="00037D37">
        <w:rPr>
          <w:sz w:val="24"/>
        </w:rPr>
        <w:t>D</w:t>
      </w:r>
      <w:r>
        <w:rPr>
          <w:sz w:val="24"/>
        </w:rPr>
        <w:t xml:space="preserve">ata </w:t>
      </w:r>
      <w:r w:rsidR="00037D37">
        <w:rPr>
          <w:sz w:val="24"/>
        </w:rPr>
        <w:t>A</w:t>
      </w:r>
      <w:r>
        <w:rPr>
          <w:sz w:val="24"/>
        </w:rPr>
        <w:t xml:space="preserve">cquisition System </w:t>
      </w:r>
      <w:r w:rsidR="00A934E6">
        <w:rPr>
          <w:sz w:val="24"/>
        </w:rPr>
        <w:t xml:space="preserve">(MIDAS) </w:t>
      </w:r>
      <w:r>
        <w:rPr>
          <w:sz w:val="24"/>
        </w:rPr>
        <w:t>includes all the information needed for this study, has been used in previous studies and has been validated</w:t>
      </w:r>
      <w:r>
        <w:rPr>
          <w:sz w:val="24"/>
          <w:vertAlign w:val="superscript"/>
        </w:rPr>
        <w:t>15-20</w:t>
      </w:r>
      <w:r>
        <w:rPr>
          <w:sz w:val="24"/>
        </w:rPr>
        <w:t>.</w:t>
      </w:r>
    </w:p>
    <w:p w14:paraId="1F35D267" w14:textId="77777777" w:rsidR="00D604F7" w:rsidRDefault="00D604F7" w:rsidP="00813BF6">
      <w:pPr>
        <w:spacing w:after="0" w:line="240" w:lineRule="auto"/>
        <w:rPr>
          <w:rFonts w:eastAsia="MS Gothic" w:cs="MS Gothic"/>
          <w:b/>
          <w:bCs/>
          <w:sz w:val="24"/>
          <w:szCs w:val="24"/>
        </w:rPr>
      </w:pPr>
    </w:p>
    <w:p w14:paraId="1B86634F" w14:textId="13C45DB3" w:rsidR="00F60F56" w:rsidRPr="00AB375F" w:rsidRDefault="00813BF6" w:rsidP="00813BF6">
      <w:pPr>
        <w:spacing w:after="0" w:line="240" w:lineRule="auto"/>
        <w:rPr>
          <w:rFonts w:eastAsiaTheme="minorEastAsia" w:cstheme="minorEastAsia"/>
          <w:i/>
          <w:iCs/>
          <w:color w:val="0070C0"/>
          <w:sz w:val="24"/>
          <w:szCs w:val="24"/>
        </w:rPr>
      </w:pPr>
      <w:r w:rsidRPr="00AB375F">
        <w:rPr>
          <w:rFonts w:eastAsia="MS Gothic" w:cs="MS Gothic"/>
          <w:b/>
          <w:bCs/>
          <w:sz w:val="24"/>
          <w:szCs w:val="24"/>
        </w:rPr>
        <w:t xml:space="preserve">2.1 </w:t>
      </w:r>
      <w:r w:rsidR="00F60F56" w:rsidRPr="00AB375F">
        <w:rPr>
          <w:rFonts w:eastAsia="MS Gothic" w:cs="MS Gothic"/>
          <w:b/>
          <w:bCs/>
          <w:sz w:val="24"/>
          <w:szCs w:val="24"/>
        </w:rPr>
        <w:t>Research Design and Methods</w:t>
      </w:r>
    </w:p>
    <w:p w14:paraId="794FB181" w14:textId="7D38E44F" w:rsidR="00F85981" w:rsidRPr="00AB375F" w:rsidRDefault="00F85981" w:rsidP="006A305D">
      <w:pPr>
        <w:ind w:left="360"/>
        <w:jc w:val="both"/>
        <w:rPr>
          <w:sz w:val="24"/>
          <w:szCs w:val="24"/>
        </w:rPr>
      </w:pPr>
      <w:bookmarkStart w:id="40" w:name="Date_Range"/>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AB375F">
        <w:rPr>
          <w:sz w:val="24"/>
          <w:szCs w:val="24"/>
        </w:rPr>
        <w:t>This stud</w:t>
      </w:r>
      <w:r w:rsidR="00F035C5">
        <w:rPr>
          <w:sz w:val="24"/>
          <w:szCs w:val="24"/>
        </w:rPr>
        <w:t>y will be conducted utilizing a</w:t>
      </w:r>
      <w:r w:rsidRPr="00AB375F">
        <w:rPr>
          <w:sz w:val="24"/>
          <w:szCs w:val="24"/>
        </w:rPr>
        <w:t xml:space="preserve"> </w:t>
      </w:r>
      <w:r w:rsidR="00A81AD2">
        <w:rPr>
          <w:sz w:val="24"/>
          <w:szCs w:val="24"/>
        </w:rPr>
        <w:t>limited database</w:t>
      </w:r>
      <w:r w:rsidRPr="00AB375F">
        <w:rPr>
          <w:sz w:val="24"/>
          <w:szCs w:val="24"/>
        </w:rPr>
        <w:t xml:space="preserve"> of the MIDAS (Myocardial Data Acquisition System) DR (data repository) (IRB# </w:t>
      </w:r>
      <w:hyperlink r:id="rId9" w:tooltip="http://eirb.umdnj.edu/eirb/Rooms/DisplayPages/LayoutInitial?Container=com.webridge.entity.Entity[OID[1B38EE38A2720F40B24FE4257F082701]]" w:history="1">
        <w:r w:rsidRPr="00AB375F">
          <w:rPr>
            <w:sz w:val="24"/>
            <w:szCs w:val="24"/>
          </w:rPr>
          <w:t>Pro2013003225</w:t>
        </w:r>
      </w:hyperlink>
      <w:r w:rsidRPr="00AB375F">
        <w:rPr>
          <w:sz w:val="24"/>
          <w:szCs w:val="24"/>
        </w:rPr>
        <w:t xml:space="preserve"> – Honest Broker) from years </w:t>
      </w:r>
      <w:r w:rsidR="003A04B6">
        <w:rPr>
          <w:sz w:val="24"/>
          <w:szCs w:val="24"/>
        </w:rPr>
        <w:t>1/1/</w:t>
      </w:r>
      <w:r w:rsidR="003A04B6" w:rsidRPr="00DC6366">
        <w:rPr>
          <w:sz w:val="24"/>
          <w:szCs w:val="24"/>
        </w:rPr>
        <w:t xml:space="preserve">1986 </w:t>
      </w:r>
      <w:r w:rsidRPr="00DC6366">
        <w:rPr>
          <w:color w:val="000000"/>
          <w:sz w:val="24"/>
          <w:szCs w:val="24"/>
        </w:rPr>
        <w:t xml:space="preserve">through </w:t>
      </w:r>
      <w:r w:rsidR="003A04B6" w:rsidRPr="00DC6366">
        <w:rPr>
          <w:color w:val="000000"/>
          <w:sz w:val="24"/>
          <w:szCs w:val="24"/>
        </w:rPr>
        <w:t>12/31/</w:t>
      </w:r>
      <w:r w:rsidRPr="00DC6366">
        <w:rPr>
          <w:color w:val="000000"/>
          <w:sz w:val="24"/>
          <w:szCs w:val="24"/>
        </w:rPr>
        <w:t>201</w:t>
      </w:r>
      <w:r w:rsidR="006B5E2F" w:rsidRPr="00DC6366">
        <w:rPr>
          <w:color w:val="000000"/>
          <w:sz w:val="24"/>
          <w:szCs w:val="24"/>
        </w:rPr>
        <w:t>8.</w:t>
      </w:r>
    </w:p>
    <w:p w14:paraId="64C56DB4" w14:textId="575B0A82" w:rsidR="00F85981" w:rsidRDefault="00F85981" w:rsidP="006A305D">
      <w:pPr>
        <w:ind w:left="360"/>
        <w:jc w:val="both"/>
        <w:rPr>
          <w:sz w:val="24"/>
          <w:szCs w:val="24"/>
        </w:rPr>
      </w:pPr>
      <w:r w:rsidRPr="00AB375F">
        <w:rPr>
          <w:sz w:val="24"/>
          <w:szCs w:val="24"/>
        </w:rPr>
        <w:t xml:space="preserve">All data from this study will be obtained from the MIDAS DR created by the honest broker.  The data to be utilized is detailed in section 4.1.  While limited PHI is included in this dataset (namely dates and zip codes), there are minimal risks of disclosure of PHI associated with participation in MIDAS DR. The Cardiovascular Institute has taken precautions to prevent misuse of data by using electronic and physical security systems that protect the privacy of subjects.   </w:t>
      </w:r>
    </w:p>
    <w:p w14:paraId="4C27DE13" w14:textId="15F5DD39" w:rsidR="00F60F56" w:rsidRPr="00AB375F" w:rsidRDefault="00813BF6" w:rsidP="00813BF6">
      <w:pPr>
        <w:spacing w:after="0" w:line="240" w:lineRule="auto"/>
        <w:jc w:val="both"/>
        <w:rPr>
          <w:rFonts w:eastAsia="Times New Roman,MS Gothic" w:cs="Times New Roman,MS Gothic"/>
          <w:b/>
          <w:bCs/>
          <w:sz w:val="24"/>
          <w:szCs w:val="24"/>
        </w:rPr>
      </w:pPr>
      <w:r w:rsidRPr="00AB375F">
        <w:rPr>
          <w:rFonts w:eastAsia="Times New Roman,MS Gothic" w:cs="Times New Roman,MS Gothic"/>
          <w:b/>
          <w:bCs/>
          <w:sz w:val="24"/>
          <w:szCs w:val="24"/>
        </w:rPr>
        <w:t xml:space="preserve">2.2 </w:t>
      </w:r>
      <w:r w:rsidR="00F60F56" w:rsidRPr="00AB375F">
        <w:rPr>
          <w:rFonts w:eastAsia="Times New Roman,MS Gothic" w:cs="Times New Roman,MS Gothic"/>
          <w:b/>
          <w:bCs/>
          <w:sz w:val="24"/>
          <w:szCs w:val="24"/>
        </w:rPr>
        <w:t xml:space="preserve">Date </w:t>
      </w:r>
      <w:r w:rsidR="00E24DFF" w:rsidRPr="00AB375F">
        <w:rPr>
          <w:rFonts w:eastAsia="Times New Roman,MS Gothic" w:cs="Times New Roman,MS Gothic"/>
          <w:b/>
          <w:bCs/>
          <w:sz w:val="24"/>
          <w:szCs w:val="24"/>
        </w:rPr>
        <w:t>Range For Record Review</w:t>
      </w:r>
      <w:bookmarkEnd w:id="40"/>
      <w:r w:rsidR="00E24DFF" w:rsidRPr="00AB375F">
        <w:rPr>
          <w:rFonts w:eastAsia="Times New Roman" w:cs="Times New Roman"/>
          <w:b/>
          <w:sz w:val="24"/>
          <w:szCs w:val="24"/>
        </w:rPr>
        <w:tab/>
      </w:r>
    </w:p>
    <w:p w14:paraId="48B376B4" w14:textId="070BE903" w:rsidR="00F60F56" w:rsidRPr="00AB375F" w:rsidRDefault="00DA3EE3" w:rsidP="00DA3EE3">
      <w:pPr>
        <w:pStyle w:val="Default"/>
        <w:ind w:left="360"/>
        <w:jc w:val="left"/>
        <w:rPr>
          <w:rFonts w:asciiTheme="minorHAnsi" w:hAnsiTheme="minorHAnsi"/>
          <w:b/>
          <w:color w:val="000000"/>
          <w:szCs w:val="24"/>
        </w:rPr>
      </w:pPr>
      <w:r w:rsidRPr="00AB375F">
        <w:rPr>
          <w:rFonts w:asciiTheme="minorHAnsi" w:hAnsiTheme="minorHAnsi"/>
          <w:color w:val="000000"/>
          <w:szCs w:val="24"/>
        </w:rPr>
        <w:t xml:space="preserve">The study will include </w:t>
      </w:r>
      <w:r w:rsidR="002F2306">
        <w:rPr>
          <w:rFonts w:asciiTheme="minorHAnsi" w:hAnsiTheme="minorHAnsi"/>
          <w:color w:val="000000"/>
          <w:szCs w:val="24"/>
        </w:rPr>
        <w:t>data</w:t>
      </w:r>
      <w:r w:rsidRPr="00AB375F">
        <w:rPr>
          <w:rFonts w:asciiTheme="minorHAnsi" w:hAnsiTheme="minorHAnsi"/>
          <w:color w:val="000000"/>
          <w:szCs w:val="24"/>
        </w:rPr>
        <w:t xml:space="preserve"> from non-Federal hospitals in the State of New Jersey from </w:t>
      </w:r>
      <w:r w:rsidR="00F04AC9">
        <w:rPr>
          <w:rFonts w:asciiTheme="minorHAnsi" w:hAnsiTheme="minorHAnsi"/>
          <w:color w:val="000000"/>
          <w:szCs w:val="24"/>
        </w:rPr>
        <w:t>1/1/</w:t>
      </w:r>
      <w:r w:rsidR="00022541" w:rsidRPr="00AB375F">
        <w:rPr>
          <w:rFonts w:asciiTheme="minorHAnsi" w:hAnsiTheme="minorHAnsi"/>
          <w:color w:val="000000"/>
          <w:szCs w:val="24"/>
        </w:rPr>
        <w:t>19</w:t>
      </w:r>
      <w:r w:rsidR="00022541">
        <w:rPr>
          <w:rFonts w:asciiTheme="minorHAnsi" w:hAnsiTheme="minorHAnsi"/>
          <w:color w:val="000000"/>
          <w:szCs w:val="24"/>
        </w:rPr>
        <w:t xml:space="preserve">86 </w:t>
      </w:r>
      <w:r w:rsidRPr="00AB375F">
        <w:rPr>
          <w:rFonts w:asciiTheme="minorHAnsi" w:hAnsiTheme="minorHAnsi"/>
          <w:color w:val="000000"/>
          <w:szCs w:val="24"/>
        </w:rPr>
        <w:t xml:space="preserve">through </w:t>
      </w:r>
      <w:r w:rsidR="00F04AC9">
        <w:rPr>
          <w:rFonts w:asciiTheme="minorHAnsi" w:hAnsiTheme="minorHAnsi"/>
          <w:color w:val="000000"/>
          <w:szCs w:val="24"/>
        </w:rPr>
        <w:t>12/31/</w:t>
      </w:r>
      <w:r w:rsidRPr="00AB375F">
        <w:rPr>
          <w:rFonts w:asciiTheme="minorHAnsi" w:hAnsiTheme="minorHAnsi"/>
          <w:color w:val="000000"/>
          <w:szCs w:val="24"/>
        </w:rPr>
        <w:t>201</w:t>
      </w:r>
      <w:r w:rsidR="002F2306">
        <w:rPr>
          <w:rFonts w:asciiTheme="minorHAnsi" w:hAnsiTheme="minorHAnsi"/>
          <w:color w:val="000000"/>
          <w:szCs w:val="24"/>
        </w:rPr>
        <w:t xml:space="preserve">8. </w:t>
      </w:r>
      <w:r w:rsidRPr="00AB375F">
        <w:rPr>
          <w:rFonts w:asciiTheme="minorHAnsi" w:hAnsiTheme="minorHAnsi"/>
          <w:color w:val="000000"/>
          <w:szCs w:val="24"/>
        </w:rPr>
        <w:t>T</w:t>
      </w:r>
      <w:r w:rsidR="74DA8887" w:rsidRPr="00AB375F">
        <w:rPr>
          <w:rFonts w:asciiTheme="minorHAnsi" w:hAnsiTheme="minorHAnsi"/>
          <w:color w:val="000000"/>
          <w:szCs w:val="24"/>
        </w:rPr>
        <w:t xml:space="preserve">he study will take </w:t>
      </w:r>
      <w:r w:rsidRPr="00AB375F">
        <w:rPr>
          <w:rFonts w:asciiTheme="minorHAnsi" w:hAnsiTheme="minorHAnsi"/>
          <w:color w:val="000000"/>
          <w:szCs w:val="24"/>
        </w:rPr>
        <w:t xml:space="preserve">approximately </w:t>
      </w:r>
      <w:r w:rsidR="74DA8887" w:rsidRPr="00AB375F">
        <w:rPr>
          <w:rFonts w:asciiTheme="minorHAnsi" w:hAnsiTheme="minorHAnsi"/>
          <w:color w:val="000000"/>
          <w:szCs w:val="24"/>
        </w:rPr>
        <w:t>2 years to complete.</w:t>
      </w:r>
    </w:p>
    <w:p w14:paraId="2EAAD2B7" w14:textId="77777777" w:rsidR="00813BF6" w:rsidRPr="00AB375F" w:rsidRDefault="00813BF6" w:rsidP="00813BF6">
      <w:pPr>
        <w:spacing w:after="0" w:line="240" w:lineRule="auto"/>
        <w:contextualSpacing/>
        <w:jc w:val="both"/>
        <w:rPr>
          <w:rFonts w:eastAsia="Times New Roman,MS Gothic" w:cs="Times New Roman,MS Gothic"/>
          <w:i/>
          <w:iCs/>
          <w:color w:val="0070C0"/>
          <w:sz w:val="24"/>
          <w:szCs w:val="24"/>
        </w:rPr>
      </w:pPr>
      <w:bookmarkStart w:id="41" w:name="Sample_Size"/>
    </w:p>
    <w:p w14:paraId="27DDADB6" w14:textId="6A626FB9" w:rsidR="00F60F56" w:rsidRPr="00AB375F" w:rsidRDefault="00813BF6" w:rsidP="00813BF6">
      <w:pPr>
        <w:spacing w:after="0" w:line="240" w:lineRule="auto"/>
        <w:contextualSpacing/>
        <w:jc w:val="both"/>
        <w:rPr>
          <w:rFonts w:eastAsia="Times New Roman,MS Gothic" w:cs="Times New Roman,MS Gothic"/>
          <w:color w:val="0070C0"/>
          <w:sz w:val="24"/>
          <w:szCs w:val="24"/>
        </w:rPr>
      </w:pPr>
      <w:r w:rsidRPr="00AB375F">
        <w:rPr>
          <w:rFonts w:eastAsia="Times New Roman,MS Gothic" w:cs="Times New Roman,MS Gothic"/>
          <w:b/>
          <w:iCs/>
          <w:sz w:val="24"/>
          <w:szCs w:val="24"/>
        </w:rPr>
        <w:t>2.3</w:t>
      </w:r>
      <w:r w:rsidRPr="00AB375F">
        <w:rPr>
          <w:rFonts w:eastAsia="Times New Roman,MS Gothic" w:cs="Times New Roman,MS Gothic"/>
          <w:i/>
          <w:iCs/>
          <w:sz w:val="24"/>
          <w:szCs w:val="24"/>
        </w:rPr>
        <w:t xml:space="preserve"> </w:t>
      </w:r>
      <w:r w:rsidR="00F60F56" w:rsidRPr="00AB375F">
        <w:rPr>
          <w:rFonts w:eastAsia="Times New Roman,MS Gothic" w:cs="Times New Roman,MS Gothic"/>
          <w:b/>
          <w:bCs/>
          <w:sz w:val="24"/>
          <w:szCs w:val="24"/>
        </w:rPr>
        <w:t>Sample Size</w:t>
      </w:r>
    </w:p>
    <w:bookmarkEnd w:id="41"/>
    <w:p w14:paraId="7E5DDC2E" w14:textId="6EF6CBB7" w:rsidR="00F60F56" w:rsidRPr="00AB375F" w:rsidRDefault="009844B4" w:rsidP="006A305D">
      <w:pPr>
        <w:pStyle w:val="Default"/>
        <w:ind w:left="360"/>
        <w:rPr>
          <w:rFonts w:asciiTheme="minorHAnsi" w:hAnsiTheme="minorHAnsi"/>
          <w:color w:val="000000"/>
          <w:szCs w:val="24"/>
        </w:rPr>
      </w:pPr>
      <w:r w:rsidRPr="00AB375F">
        <w:rPr>
          <w:rFonts w:asciiTheme="minorHAnsi" w:hAnsiTheme="minorHAnsi"/>
          <w:color w:val="000000"/>
          <w:szCs w:val="24"/>
        </w:rPr>
        <w:t xml:space="preserve"> The Honest Broker will create dataset.  </w:t>
      </w:r>
      <w:r w:rsidR="00F855D5">
        <w:rPr>
          <w:rFonts w:asciiTheme="minorHAnsi" w:hAnsiTheme="minorHAnsi"/>
          <w:color w:val="000000"/>
          <w:szCs w:val="24"/>
        </w:rPr>
        <w:t>There are a</w:t>
      </w:r>
      <w:r w:rsidR="00664B65">
        <w:rPr>
          <w:rFonts w:asciiTheme="minorHAnsi" w:hAnsiTheme="minorHAnsi"/>
          <w:color w:val="000000"/>
          <w:szCs w:val="24"/>
        </w:rPr>
        <w:t xml:space="preserve">pproximately </w:t>
      </w:r>
      <w:r w:rsidR="00F855D5">
        <w:rPr>
          <w:rFonts w:asciiTheme="minorHAnsi" w:hAnsiTheme="minorHAnsi"/>
          <w:color w:val="000000"/>
          <w:szCs w:val="24"/>
        </w:rPr>
        <w:t xml:space="preserve">4000 patients who were hospitalized for acute myocardial infarction for the years </w:t>
      </w:r>
      <w:r w:rsidR="00DC6366">
        <w:rPr>
          <w:rFonts w:asciiTheme="minorHAnsi" w:hAnsiTheme="minorHAnsi"/>
          <w:color w:val="000000"/>
          <w:szCs w:val="24"/>
        </w:rPr>
        <w:t>for this</w:t>
      </w:r>
      <w:r w:rsidR="00F855D5">
        <w:rPr>
          <w:rFonts w:asciiTheme="minorHAnsi" w:hAnsiTheme="minorHAnsi"/>
          <w:color w:val="000000"/>
          <w:szCs w:val="24"/>
        </w:rPr>
        <w:t xml:space="preserve"> present study in </w:t>
      </w:r>
      <w:r w:rsidR="00B95EBA">
        <w:rPr>
          <w:rFonts w:asciiTheme="minorHAnsi" w:hAnsiTheme="minorHAnsi"/>
          <w:color w:val="000000"/>
          <w:szCs w:val="24"/>
        </w:rPr>
        <w:t>New Jersey</w:t>
      </w:r>
      <w:r w:rsidR="00F855D5">
        <w:rPr>
          <w:rFonts w:asciiTheme="minorHAnsi" w:hAnsiTheme="minorHAnsi"/>
          <w:color w:val="000000"/>
          <w:szCs w:val="24"/>
        </w:rPr>
        <w:t xml:space="preserve">. This will provide </w:t>
      </w:r>
      <w:r w:rsidR="006A305D">
        <w:rPr>
          <w:rFonts w:asciiTheme="minorHAnsi" w:hAnsiTheme="minorHAnsi"/>
          <w:color w:val="000000"/>
          <w:szCs w:val="24"/>
        </w:rPr>
        <w:t>enough</w:t>
      </w:r>
      <w:r w:rsidR="00F855D5">
        <w:rPr>
          <w:rFonts w:asciiTheme="minorHAnsi" w:hAnsiTheme="minorHAnsi"/>
          <w:color w:val="000000"/>
          <w:szCs w:val="24"/>
        </w:rPr>
        <w:t xml:space="preserve"> statistical power to examine the hypotheses. This number exceeds by far </w:t>
      </w:r>
      <w:r w:rsidR="006A305D">
        <w:rPr>
          <w:rFonts w:asciiTheme="minorHAnsi" w:hAnsiTheme="minorHAnsi"/>
          <w:color w:val="000000"/>
          <w:szCs w:val="24"/>
        </w:rPr>
        <w:t xml:space="preserve">the number included in any of the </w:t>
      </w:r>
      <w:r w:rsidR="00F855D5">
        <w:rPr>
          <w:rFonts w:asciiTheme="minorHAnsi" w:hAnsiTheme="minorHAnsi"/>
          <w:color w:val="000000"/>
          <w:szCs w:val="24"/>
        </w:rPr>
        <w:t>prior</w:t>
      </w:r>
      <w:r w:rsidR="006A305D">
        <w:rPr>
          <w:rFonts w:asciiTheme="minorHAnsi" w:hAnsiTheme="minorHAnsi"/>
          <w:color w:val="000000"/>
          <w:szCs w:val="24"/>
        </w:rPr>
        <w:t xml:space="preserve"> published studies. </w:t>
      </w:r>
    </w:p>
    <w:p w14:paraId="1BC3D500" w14:textId="77777777" w:rsidR="00813BF6" w:rsidRPr="00AB375F" w:rsidRDefault="00813BF6" w:rsidP="00813BF6">
      <w:pPr>
        <w:spacing w:after="0" w:line="240" w:lineRule="auto"/>
        <w:contextualSpacing/>
        <w:jc w:val="both"/>
        <w:rPr>
          <w:rFonts w:eastAsia="Times New Roman,MS Gothic" w:cs="Times New Roman,MS Gothic"/>
          <w:i/>
          <w:iCs/>
          <w:color w:val="0070C0"/>
          <w:sz w:val="24"/>
          <w:szCs w:val="24"/>
        </w:rPr>
      </w:pPr>
    </w:p>
    <w:p w14:paraId="71D4D256" w14:textId="7F9F55FB" w:rsidR="00F60F56" w:rsidRPr="00AB375F" w:rsidRDefault="005D7B17" w:rsidP="005D7B17">
      <w:pPr>
        <w:spacing w:after="0" w:line="240" w:lineRule="auto"/>
        <w:contextualSpacing/>
        <w:jc w:val="both"/>
        <w:rPr>
          <w:rFonts w:eastAsia="Times New Roman,MS Gothic" w:cs="Times New Roman,MS Gothic"/>
          <w:b/>
          <w:bCs/>
          <w:color w:val="000000" w:themeColor="text1"/>
          <w:sz w:val="24"/>
          <w:szCs w:val="24"/>
        </w:rPr>
      </w:pPr>
      <w:bookmarkStart w:id="42" w:name="Record_Selection"/>
      <w:bookmarkStart w:id="43" w:name="_Toc38603215"/>
      <w:bookmarkStart w:id="44" w:name="_Toc38603936"/>
      <w:bookmarkStart w:id="45" w:name="_Toc38604180"/>
      <w:bookmarkStart w:id="46" w:name="_Toc38604580"/>
      <w:bookmarkStart w:id="47" w:name="_Toc38605055"/>
      <w:bookmarkStart w:id="48" w:name="_Toc38605309"/>
      <w:bookmarkStart w:id="49" w:name="_Toc38605489"/>
      <w:bookmarkStart w:id="50" w:name="_Toc38605667"/>
      <w:bookmarkStart w:id="51" w:name="_Toc38609029"/>
      <w:bookmarkStart w:id="52" w:name="_Toc38609171"/>
      <w:bookmarkStart w:id="53" w:name="_Toc38609259"/>
      <w:bookmarkStart w:id="54" w:name="_Toc38611301"/>
      <w:bookmarkStart w:id="55" w:name="_Toc38793814"/>
      <w:bookmarkStart w:id="56" w:name="_Toc38794988"/>
      <w:bookmarkStart w:id="57" w:name="_Toc38796083"/>
      <w:bookmarkStart w:id="58" w:name="_Toc38871522"/>
      <w:bookmarkStart w:id="59" w:name="_Toc38871778"/>
      <w:bookmarkStart w:id="60" w:name="_Toc38871868"/>
      <w:bookmarkStart w:id="61" w:name="_Toc38872158"/>
      <w:bookmarkStart w:id="62" w:name="_Toc38872247"/>
      <w:bookmarkStart w:id="63" w:name="_Toc38872336"/>
      <w:bookmarkStart w:id="64" w:name="_Toc38872473"/>
      <w:bookmarkStart w:id="65" w:name="_Toc38872647"/>
      <w:bookmarkStart w:id="66" w:name="_Toc38872735"/>
      <w:bookmarkStart w:id="67" w:name="_Toc38875366"/>
      <w:bookmarkStart w:id="68" w:name="_Toc38875679"/>
      <w:bookmarkStart w:id="69" w:name="_Toc38876023"/>
      <w:bookmarkStart w:id="70" w:name="_Toc38876133"/>
      <w:bookmarkStart w:id="71" w:name="_Toc38976873"/>
      <w:bookmarkStart w:id="72" w:name="_Toc39031329"/>
      <w:bookmarkStart w:id="73" w:name="_Toc39031874"/>
      <w:bookmarkStart w:id="74" w:name="_Toc82319753"/>
      <w:r w:rsidRPr="00AB375F">
        <w:rPr>
          <w:rFonts w:eastAsia="Times New Roman,MS Gothic" w:cs="Times New Roman,MS Gothic"/>
          <w:b/>
          <w:bCs/>
          <w:color w:val="000000"/>
          <w:sz w:val="24"/>
          <w:szCs w:val="24"/>
        </w:rPr>
        <w:t xml:space="preserve">2.4 </w:t>
      </w:r>
      <w:r w:rsidR="00F60F56" w:rsidRPr="00AB375F">
        <w:rPr>
          <w:rFonts w:eastAsia="Times New Roman,MS Gothic" w:cs="Times New Roman,MS Gothic"/>
          <w:b/>
          <w:bCs/>
          <w:color w:val="000000"/>
          <w:sz w:val="24"/>
          <w:szCs w:val="24"/>
        </w:rPr>
        <w:t xml:space="preserve">Record Selection </w:t>
      </w:r>
    </w:p>
    <w:bookmarkEnd w:id="42"/>
    <w:p w14:paraId="4D0CE27A" w14:textId="5F2099C5" w:rsidR="008D452C" w:rsidRPr="00AB375F" w:rsidRDefault="008D452C" w:rsidP="008D452C">
      <w:pPr>
        <w:pStyle w:val="Default"/>
        <w:ind w:left="360"/>
        <w:jc w:val="left"/>
        <w:rPr>
          <w:rFonts w:asciiTheme="minorHAnsi" w:hAnsiTheme="minorHAnsi"/>
          <w:szCs w:val="24"/>
        </w:rPr>
      </w:pPr>
      <w:r w:rsidRPr="00AB375F">
        <w:rPr>
          <w:rFonts w:asciiTheme="minorHAnsi" w:hAnsiTheme="minorHAnsi"/>
          <w:szCs w:val="24"/>
        </w:rPr>
        <w:t xml:space="preserve">All men and women, aged 18 and older, who are part of the MIDAS DR database (this is a database created by the Honest Broker) will be used.  Children will not be included because cardiovascular </w:t>
      </w:r>
      <w:r w:rsidR="00664B65">
        <w:rPr>
          <w:rFonts w:asciiTheme="minorHAnsi" w:hAnsiTheme="minorHAnsi"/>
          <w:szCs w:val="24"/>
        </w:rPr>
        <w:t>disease is</w:t>
      </w:r>
      <w:r w:rsidRPr="00AB375F">
        <w:rPr>
          <w:rFonts w:asciiTheme="minorHAnsi" w:hAnsiTheme="minorHAnsi"/>
          <w:szCs w:val="24"/>
        </w:rPr>
        <w:t xml:space="preserve"> uncommon.</w:t>
      </w:r>
    </w:p>
    <w:p w14:paraId="73FEF256" w14:textId="77777777" w:rsidR="00F60F56" w:rsidRPr="00AB375F" w:rsidRDefault="74DA8887" w:rsidP="00EF6352">
      <w:pPr>
        <w:numPr>
          <w:ilvl w:val="2"/>
          <w:numId w:val="9"/>
        </w:numPr>
        <w:spacing w:after="0" w:line="240" w:lineRule="auto"/>
        <w:ind w:left="990" w:hanging="270"/>
        <w:contextualSpacing/>
        <w:jc w:val="both"/>
        <w:rPr>
          <w:rFonts w:eastAsia="Times New Roman,MS Gothic" w:cs="Times New Roman,MS Gothic"/>
          <w:b/>
          <w:bCs/>
          <w:sz w:val="24"/>
          <w:szCs w:val="24"/>
        </w:rPr>
      </w:pPr>
      <w:r w:rsidRPr="00AB375F">
        <w:rPr>
          <w:rFonts w:eastAsia="Times New Roman,MS Gothic" w:cs="Times New Roman,MS Gothic"/>
          <w:b/>
          <w:bCs/>
          <w:sz w:val="24"/>
          <w:szCs w:val="24"/>
        </w:rPr>
        <w:t>Inclusion Criteria</w:t>
      </w:r>
    </w:p>
    <w:p w14:paraId="1438A57E" w14:textId="77777777" w:rsidR="008D452C" w:rsidRPr="00AB375F" w:rsidRDefault="008D452C" w:rsidP="008D452C">
      <w:pPr>
        <w:numPr>
          <w:ilvl w:val="0"/>
          <w:numId w:val="14"/>
        </w:numPr>
        <w:spacing w:after="0" w:line="240" w:lineRule="auto"/>
        <w:rPr>
          <w:sz w:val="24"/>
          <w:szCs w:val="24"/>
        </w:rPr>
      </w:pPr>
      <w:r w:rsidRPr="00AB375F">
        <w:rPr>
          <w:sz w:val="24"/>
          <w:szCs w:val="24"/>
        </w:rPr>
        <w:t>Men and women</w:t>
      </w:r>
    </w:p>
    <w:p w14:paraId="5C319F33" w14:textId="53FC6FFB" w:rsidR="008D452C" w:rsidRPr="00AB375F" w:rsidRDefault="008D452C" w:rsidP="008D452C">
      <w:pPr>
        <w:numPr>
          <w:ilvl w:val="0"/>
          <w:numId w:val="14"/>
        </w:numPr>
        <w:spacing w:after="0" w:line="240" w:lineRule="auto"/>
        <w:rPr>
          <w:sz w:val="24"/>
          <w:szCs w:val="24"/>
        </w:rPr>
      </w:pPr>
      <w:r w:rsidRPr="00AB375F">
        <w:rPr>
          <w:sz w:val="24"/>
          <w:szCs w:val="24"/>
        </w:rPr>
        <w:t xml:space="preserve">Aged 18 </w:t>
      </w:r>
      <w:r w:rsidR="006A305D">
        <w:rPr>
          <w:sz w:val="24"/>
          <w:szCs w:val="24"/>
        </w:rPr>
        <w:t>to 74. This includes both the records of the study group and the controls.</w:t>
      </w:r>
    </w:p>
    <w:p w14:paraId="24300A32" w14:textId="77777777" w:rsidR="00F60F56" w:rsidRPr="00AB375F" w:rsidRDefault="74DA8887" w:rsidP="00EF6352">
      <w:pPr>
        <w:numPr>
          <w:ilvl w:val="2"/>
          <w:numId w:val="9"/>
        </w:numPr>
        <w:spacing w:after="0" w:line="240" w:lineRule="auto"/>
        <w:ind w:left="990" w:hanging="270"/>
        <w:contextualSpacing/>
        <w:jc w:val="both"/>
        <w:rPr>
          <w:rFonts w:eastAsia="Times New Roman,MS Gothic" w:cs="Times New Roman,MS Gothic"/>
          <w:b/>
          <w:bCs/>
          <w:sz w:val="24"/>
          <w:szCs w:val="24"/>
        </w:rPr>
      </w:pPr>
      <w:r w:rsidRPr="00AB375F">
        <w:rPr>
          <w:rFonts w:eastAsia="Times New Roman,MS Gothic" w:cs="Times New Roman,MS Gothic"/>
          <w:b/>
          <w:bCs/>
          <w:sz w:val="24"/>
          <w:szCs w:val="24"/>
        </w:rPr>
        <w:t>Exclusion Criteria</w:t>
      </w:r>
    </w:p>
    <w:p w14:paraId="232CE222" w14:textId="77777777" w:rsidR="008D452C" w:rsidRPr="00AB375F" w:rsidRDefault="008D452C" w:rsidP="008D452C">
      <w:pPr>
        <w:numPr>
          <w:ilvl w:val="0"/>
          <w:numId w:val="16"/>
        </w:numPr>
        <w:spacing w:after="0" w:line="240" w:lineRule="auto"/>
        <w:rPr>
          <w:sz w:val="24"/>
          <w:szCs w:val="24"/>
        </w:rPr>
      </w:pPr>
      <w:bookmarkStart w:id="75" w:name="Study_Variables"/>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B375F">
        <w:rPr>
          <w:sz w:val="24"/>
          <w:szCs w:val="24"/>
        </w:rPr>
        <w:lastRenderedPageBreak/>
        <w:t>Less than 18 years old</w:t>
      </w:r>
    </w:p>
    <w:p w14:paraId="1EB27519" w14:textId="77777777" w:rsidR="005D7B17" w:rsidRPr="00AB375F" w:rsidRDefault="005D7B17" w:rsidP="005D7B17">
      <w:pPr>
        <w:spacing w:after="0" w:line="240" w:lineRule="auto"/>
        <w:contextualSpacing/>
        <w:rPr>
          <w:rFonts w:eastAsia="Times New Roman,MS Gothic" w:cs="Times New Roman,MS Gothic"/>
          <w:b/>
          <w:bCs/>
          <w:i/>
          <w:iCs/>
          <w:sz w:val="24"/>
          <w:szCs w:val="24"/>
        </w:rPr>
      </w:pPr>
    </w:p>
    <w:p w14:paraId="4B7002FF" w14:textId="6D084546" w:rsidR="00F60F56" w:rsidRPr="00AB375F" w:rsidRDefault="005D7B17" w:rsidP="005D7B17">
      <w:pPr>
        <w:shd w:val="clear" w:color="auto" w:fill="9CC2E5" w:themeFill="accent1" w:themeFillTint="99"/>
        <w:spacing w:after="0" w:line="240" w:lineRule="auto"/>
        <w:contextualSpacing/>
        <w:rPr>
          <w:rFonts w:eastAsia="Times New Roman,MS Gothic" w:cs="Times New Roman,MS Gothic"/>
          <w:b/>
          <w:bCs/>
          <w:i/>
          <w:iCs/>
          <w:sz w:val="24"/>
          <w:szCs w:val="24"/>
        </w:rPr>
      </w:pPr>
      <w:r w:rsidRPr="00AB375F">
        <w:rPr>
          <w:rFonts w:eastAsia="Times New Roman,MS Gothic" w:cs="Times New Roman,MS Gothic"/>
          <w:b/>
          <w:bCs/>
          <w:iCs/>
          <w:sz w:val="24"/>
          <w:szCs w:val="24"/>
        </w:rPr>
        <w:t xml:space="preserve">3.0 </w:t>
      </w:r>
      <w:r w:rsidR="00F60F56" w:rsidRPr="00AB375F">
        <w:rPr>
          <w:rFonts w:eastAsia="Times New Roman,MS Gothic" w:cs="Times New Roman,MS Gothic"/>
          <w:b/>
          <w:bCs/>
          <w:iCs/>
          <w:sz w:val="24"/>
          <w:szCs w:val="24"/>
        </w:rPr>
        <w:t>Study Variables</w:t>
      </w:r>
      <w:bookmarkEnd w:id="75"/>
      <w:r w:rsidR="00F60F56" w:rsidRPr="00AB375F">
        <w:rPr>
          <w:rFonts w:eastAsia="Times New Roman,MS Gothic" w:cs="Times New Roman,MS Gothic"/>
          <w:b/>
          <w:bCs/>
          <w:i/>
          <w:iCs/>
          <w:sz w:val="24"/>
          <w:szCs w:val="24"/>
        </w:rPr>
        <w:t>.</w:t>
      </w:r>
    </w:p>
    <w:p w14:paraId="56D325D5" w14:textId="77777777" w:rsidR="00B82E21" w:rsidRPr="00AB375F" w:rsidRDefault="00B82E21" w:rsidP="00B82E21">
      <w:pPr>
        <w:spacing w:after="0" w:line="240" w:lineRule="auto"/>
        <w:contextualSpacing/>
        <w:rPr>
          <w:rFonts w:eastAsia="Times New Roman,MS Gothic" w:cs="Times New Roman,MS Gothic"/>
          <w:b/>
          <w:bCs/>
          <w:sz w:val="24"/>
          <w:szCs w:val="24"/>
        </w:rPr>
      </w:pPr>
      <w:bookmarkStart w:id="76" w:name="Independent_Variables"/>
    </w:p>
    <w:p w14:paraId="232FBFC3" w14:textId="2E2073DC" w:rsidR="00F60F56" w:rsidRPr="00AB375F" w:rsidRDefault="00B82E21" w:rsidP="00B82E21">
      <w:pPr>
        <w:spacing w:after="0" w:line="240" w:lineRule="auto"/>
        <w:contextualSpacing/>
        <w:rPr>
          <w:rFonts w:eastAsia="Times New Roman,MS Gothic" w:cs="Times New Roman,MS Gothic"/>
          <w:sz w:val="24"/>
          <w:szCs w:val="24"/>
        </w:rPr>
      </w:pPr>
      <w:r w:rsidRPr="00AB375F">
        <w:rPr>
          <w:rFonts w:eastAsia="Times New Roman,MS Gothic" w:cs="Times New Roman,MS Gothic"/>
          <w:b/>
          <w:bCs/>
          <w:sz w:val="24"/>
          <w:szCs w:val="24"/>
        </w:rPr>
        <w:t xml:space="preserve">3.1 </w:t>
      </w:r>
      <w:r w:rsidR="00F60F56" w:rsidRPr="00AB375F">
        <w:rPr>
          <w:rFonts w:eastAsia="Times New Roman,MS Gothic" w:cs="Times New Roman,MS Gothic"/>
          <w:b/>
          <w:bCs/>
          <w:sz w:val="24"/>
          <w:szCs w:val="24"/>
        </w:rPr>
        <w:t>Independent</w:t>
      </w:r>
      <w:r w:rsidR="00E86356">
        <w:rPr>
          <w:rFonts w:eastAsia="Times New Roman,MS Gothic" w:cs="Times New Roman,MS Gothic"/>
          <w:b/>
          <w:bCs/>
          <w:sz w:val="24"/>
          <w:szCs w:val="24"/>
        </w:rPr>
        <w:t xml:space="preserve"> and Dependent</w:t>
      </w:r>
      <w:r w:rsidR="00F60F56" w:rsidRPr="00AB375F">
        <w:rPr>
          <w:rFonts w:eastAsia="Times New Roman,MS Gothic" w:cs="Times New Roman,MS Gothic"/>
          <w:b/>
          <w:bCs/>
          <w:sz w:val="24"/>
          <w:szCs w:val="24"/>
        </w:rPr>
        <w:t xml:space="preserve"> Variables or Interventions</w:t>
      </w:r>
      <w:r w:rsidR="00F60F56" w:rsidRPr="00AB375F">
        <w:rPr>
          <w:rFonts w:eastAsia="Times New Roman,MS Gothic" w:cs="Times New Roman,MS Gothic"/>
          <w:sz w:val="24"/>
          <w:szCs w:val="24"/>
        </w:rPr>
        <w:t xml:space="preserve"> </w:t>
      </w:r>
    </w:p>
    <w:p w14:paraId="5A2D6E9E" w14:textId="77777777" w:rsidR="002A3258" w:rsidRPr="00AB375F" w:rsidRDefault="002A3258" w:rsidP="002A3258">
      <w:pPr>
        <w:ind w:left="432"/>
        <w:rPr>
          <w:b/>
          <w:sz w:val="24"/>
          <w:szCs w:val="24"/>
        </w:rPr>
      </w:pPr>
      <w:bookmarkStart w:id="77" w:name="Dependent_Variables"/>
      <w:bookmarkEnd w:id="76"/>
      <w:r w:rsidRPr="00AB375F">
        <w:rPr>
          <w:b/>
          <w:sz w:val="24"/>
          <w:szCs w:val="24"/>
        </w:rPr>
        <w:t>MIDAS-DR Variables:</w:t>
      </w:r>
    </w:p>
    <w:p w14:paraId="1BF97C1E" w14:textId="77777777" w:rsidR="002A3258" w:rsidRPr="00AB375F" w:rsidRDefault="002A3258" w:rsidP="002A3258">
      <w:pPr>
        <w:ind w:left="432"/>
        <w:rPr>
          <w:sz w:val="24"/>
          <w:szCs w:val="24"/>
        </w:rPr>
      </w:pPr>
      <w:r w:rsidRPr="00AB375F">
        <w:rPr>
          <w:sz w:val="24"/>
          <w:szCs w:val="24"/>
        </w:rPr>
        <w:t>ADMDAT – Admission Date</w:t>
      </w:r>
    </w:p>
    <w:p w14:paraId="4D1B40C5" w14:textId="77777777" w:rsidR="002A3258" w:rsidRDefault="002A3258" w:rsidP="002A3258">
      <w:pPr>
        <w:ind w:left="432"/>
        <w:rPr>
          <w:sz w:val="24"/>
          <w:szCs w:val="24"/>
        </w:rPr>
      </w:pPr>
      <w:r w:rsidRPr="00AB375F">
        <w:rPr>
          <w:sz w:val="24"/>
          <w:szCs w:val="24"/>
        </w:rPr>
        <w:t>DSCHDAT – Discharge Date</w:t>
      </w:r>
    </w:p>
    <w:p w14:paraId="2990B669" w14:textId="77777777" w:rsidR="002A3258" w:rsidRPr="00AB375F" w:rsidRDefault="002A3258" w:rsidP="002A3258">
      <w:pPr>
        <w:ind w:left="432"/>
        <w:rPr>
          <w:sz w:val="24"/>
          <w:szCs w:val="24"/>
        </w:rPr>
      </w:pPr>
      <w:r w:rsidRPr="00AB375F">
        <w:rPr>
          <w:sz w:val="24"/>
          <w:szCs w:val="24"/>
        </w:rPr>
        <w:t>PATBDTE – Date of Birth</w:t>
      </w:r>
    </w:p>
    <w:p w14:paraId="2FB2A2C0" w14:textId="77777777" w:rsidR="002A3258" w:rsidRPr="00AB375F" w:rsidRDefault="002A3258" w:rsidP="002A3258">
      <w:pPr>
        <w:ind w:left="432"/>
        <w:rPr>
          <w:sz w:val="24"/>
          <w:szCs w:val="24"/>
        </w:rPr>
      </w:pPr>
      <w:r w:rsidRPr="00AB375F">
        <w:rPr>
          <w:sz w:val="24"/>
          <w:szCs w:val="24"/>
        </w:rPr>
        <w:t>PRDTE1- PRDTE8 – Procedure Dates</w:t>
      </w:r>
    </w:p>
    <w:p w14:paraId="731A79F6" w14:textId="77777777" w:rsidR="002A3258" w:rsidRPr="00AB375F" w:rsidRDefault="002A3258" w:rsidP="002A3258">
      <w:pPr>
        <w:ind w:left="432"/>
        <w:rPr>
          <w:sz w:val="24"/>
          <w:szCs w:val="24"/>
        </w:rPr>
      </w:pPr>
      <w:r w:rsidRPr="00AB375F">
        <w:rPr>
          <w:sz w:val="24"/>
          <w:szCs w:val="24"/>
        </w:rPr>
        <w:t>ZIP – Zip Code</w:t>
      </w:r>
    </w:p>
    <w:p w14:paraId="59C5C6E1" w14:textId="77777777" w:rsidR="002A3258" w:rsidRPr="00AB375F" w:rsidRDefault="002A3258" w:rsidP="002A3258">
      <w:pPr>
        <w:ind w:left="432"/>
        <w:rPr>
          <w:sz w:val="24"/>
          <w:szCs w:val="24"/>
        </w:rPr>
      </w:pPr>
      <w:r w:rsidRPr="00AB375F">
        <w:rPr>
          <w:sz w:val="24"/>
          <w:szCs w:val="24"/>
        </w:rPr>
        <w:t>CAUSE – Cause of death</w:t>
      </w:r>
    </w:p>
    <w:p w14:paraId="136B90F7" w14:textId="77777777" w:rsidR="002A3258" w:rsidRPr="00AB375F" w:rsidRDefault="002A3258" w:rsidP="002A3258">
      <w:pPr>
        <w:ind w:left="432"/>
        <w:rPr>
          <w:sz w:val="24"/>
          <w:szCs w:val="24"/>
        </w:rPr>
      </w:pPr>
      <w:r w:rsidRPr="00AB375F">
        <w:rPr>
          <w:sz w:val="24"/>
          <w:szCs w:val="24"/>
        </w:rPr>
        <w:t>DEATHRNUM – NJ Death Certificate Number</w:t>
      </w:r>
    </w:p>
    <w:p w14:paraId="20A50470" w14:textId="77777777" w:rsidR="002A3258" w:rsidRPr="00AB375F" w:rsidRDefault="002A3258" w:rsidP="002A3258">
      <w:pPr>
        <w:ind w:left="432"/>
        <w:rPr>
          <w:sz w:val="24"/>
          <w:szCs w:val="24"/>
        </w:rPr>
      </w:pPr>
      <w:r w:rsidRPr="00AB375F">
        <w:rPr>
          <w:sz w:val="24"/>
          <w:szCs w:val="24"/>
        </w:rPr>
        <w:t>DRG – Diagnosis-related Group</w:t>
      </w:r>
    </w:p>
    <w:p w14:paraId="75A7F2B5" w14:textId="77777777" w:rsidR="002A3258" w:rsidRPr="00AB375F" w:rsidRDefault="002A3258" w:rsidP="002A3258">
      <w:pPr>
        <w:ind w:left="432"/>
        <w:rPr>
          <w:sz w:val="24"/>
          <w:szCs w:val="24"/>
        </w:rPr>
      </w:pPr>
      <w:r w:rsidRPr="00AB375F">
        <w:rPr>
          <w:sz w:val="24"/>
          <w:szCs w:val="24"/>
        </w:rPr>
        <w:t>DSHYR – Discharge Year</w:t>
      </w:r>
    </w:p>
    <w:p w14:paraId="47170888" w14:textId="77777777" w:rsidR="002A3258" w:rsidRPr="00AB375F" w:rsidRDefault="002A3258" w:rsidP="002A3258">
      <w:pPr>
        <w:ind w:left="432"/>
        <w:rPr>
          <w:sz w:val="24"/>
          <w:szCs w:val="24"/>
        </w:rPr>
      </w:pPr>
      <w:r w:rsidRPr="00AB375F">
        <w:rPr>
          <w:sz w:val="24"/>
          <w:szCs w:val="24"/>
        </w:rPr>
        <w:t>DX1-DX9 - Diagnoses</w:t>
      </w:r>
    </w:p>
    <w:p w14:paraId="59AF3022" w14:textId="77777777" w:rsidR="002A3258" w:rsidRPr="00AB375F" w:rsidRDefault="002A3258" w:rsidP="002A3258">
      <w:pPr>
        <w:ind w:left="432"/>
        <w:rPr>
          <w:sz w:val="24"/>
          <w:szCs w:val="24"/>
        </w:rPr>
      </w:pPr>
      <w:r w:rsidRPr="00AB375F">
        <w:rPr>
          <w:sz w:val="24"/>
          <w:szCs w:val="24"/>
        </w:rPr>
        <w:t>HISPAN – Hispanic ethnicity</w:t>
      </w:r>
    </w:p>
    <w:p w14:paraId="30D66351" w14:textId="77777777" w:rsidR="002A3258" w:rsidRPr="00AB375F" w:rsidRDefault="002A3258" w:rsidP="002A3258">
      <w:pPr>
        <w:ind w:left="432"/>
        <w:rPr>
          <w:sz w:val="24"/>
          <w:szCs w:val="24"/>
        </w:rPr>
      </w:pPr>
      <w:r w:rsidRPr="00AB375F">
        <w:rPr>
          <w:sz w:val="24"/>
          <w:szCs w:val="24"/>
        </w:rPr>
        <w:t>HOSP – Hospital Number</w:t>
      </w:r>
    </w:p>
    <w:p w14:paraId="2BACE189" w14:textId="77777777" w:rsidR="002A3258" w:rsidRPr="00AB375F" w:rsidRDefault="002A3258" w:rsidP="002A3258">
      <w:pPr>
        <w:ind w:left="432"/>
        <w:rPr>
          <w:sz w:val="24"/>
          <w:szCs w:val="24"/>
        </w:rPr>
      </w:pPr>
      <w:r w:rsidRPr="00AB375F">
        <w:rPr>
          <w:sz w:val="24"/>
          <w:szCs w:val="24"/>
        </w:rPr>
        <w:t>LOCATION – Location upon leaving hospital</w:t>
      </w:r>
    </w:p>
    <w:p w14:paraId="225506B5" w14:textId="77777777" w:rsidR="002A3258" w:rsidRPr="00AB375F" w:rsidRDefault="002A3258" w:rsidP="002A3258">
      <w:pPr>
        <w:ind w:left="432"/>
        <w:rPr>
          <w:sz w:val="24"/>
          <w:szCs w:val="24"/>
        </w:rPr>
      </w:pPr>
      <w:r w:rsidRPr="00AB375F">
        <w:rPr>
          <w:sz w:val="24"/>
          <w:szCs w:val="24"/>
        </w:rPr>
        <w:t>NEWDTD – Date of death</w:t>
      </w:r>
    </w:p>
    <w:p w14:paraId="32EF219A" w14:textId="77777777" w:rsidR="002A3258" w:rsidRPr="00AB375F" w:rsidRDefault="002A3258" w:rsidP="002A3258">
      <w:pPr>
        <w:ind w:left="432"/>
        <w:rPr>
          <w:sz w:val="24"/>
          <w:szCs w:val="24"/>
        </w:rPr>
      </w:pPr>
      <w:r w:rsidRPr="00AB375F">
        <w:rPr>
          <w:sz w:val="24"/>
          <w:szCs w:val="24"/>
        </w:rPr>
        <w:t xml:space="preserve">PATIENT_ID – Patient ID – Randomly generated MIDAS DR specific unique identifier </w:t>
      </w:r>
    </w:p>
    <w:p w14:paraId="1AE8CE3D" w14:textId="77777777" w:rsidR="002A3258" w:rsidRPr="00AB375F" w:rsidRDefault="002A3258" w:rsidP="002A3258">
      <w:pPr>
        <w:ind w:left="432"/>
        <w:rPr>
          <w:sz w:val="24"/>
          <w:szCs w:val="24"/>
        </w:rPr>
      </w:pPr>
      <w:r w:rsidRPr="00AB375F">
        <w:rPr>
          <w:sz w:val="24"/>
          <w:szCs w:val="24"/>
        </w:rPr>
        <w:t>assigned to each de-identified patient</w:t>
      </w:r>
    </w:p>
    <w:p w14:paraId="703CC3F6" w14:textId="77777777" w:rsidR="002A3258" w:rsidRPr="00AB375F" w:rsidRDefault="002A3258" w:rsidP="002A3258">
      <w:pPr>
        <w:ind w:left="432"/>
        <w:rPr>
          <w:sz w:val="24"/>
          <w:szCs w:val="24"/>
        </w:rPr>
      </w:pPr>
      <w:r w:rsidRPr="00AB375F">
        <w:rPr>
          <w:sz w:val="24"/>
          <w:szCs w:val="24"/>
        </w:rPr>
        <w:t>PRIME – Primary Insurance</w:t>
      </w:r>
    </w:p>
    <w:p w14:paraId="6636B158" w14:textId="77777777" w:rsidR="002A3258" w:rsidRPr="00AB375F" w:rsidRDefault="002A3258" w:rsidP="002A3258">
      <w:pPr>
        <w:ind w:left="432"/>
        <w:rPr>
          <w:sz w:val="24"/>
          <w:szCs w:val="24"/>
        </w:rPr>
      </w:pPr>
      <w:r w:rsidRPr="00AB375F">
        <w:rPr>
          <w:sz w:val="24"/>
          <w:szCs w:val="24"/>
        </w:rPr>
        <w:t>PROC1-PROC8 – Procedure Codes</w:t>
      </w:r>
    </w:p>
    <w:p w14:paraId="5B3E7C45" w14:textId="77777777" w:rsidR="002A3258" w:rsidRPr="00AB375F" w:rsidRDefault="002A3258" w:rsidP="002A3258">
      <w:pPr>
        <w:ind w:left="432"/>
        <w:rPr>
          <w:sz w:val="24"/>
          <w:szCs w:val="24"/>
        </w:rPr>
      </w:pPr>
      <w:r w:rsidRPr="00AB375F">
        <w:rPr>
          <w:sz w:val="24"/>
          <w:szCs w:val="24"/>
        </w:rPr>
        <w:t>RACE – Race of Patient</w:t>
      </w:r>
    </w:p>
    <w:p w14:paraId="07325436" w14:textId="77777777" w:rsidR="002A3258" w:rsidRPr="00AB375F" w:rsidRDefault="002A3258" w:rsidP="002A3258">
      <w:pPr>
        <w:ind w:left="432"/>
        <w:rPr>
          <w:sz w:val="24"/>
          <w:szCs w:val="24"/>
        </w:rPr>
      </w:pPr>
      <w:r w:rsidRPr="00AB375F">
        <w:rPr>
          <w:sz w:val="24"/>
          <w:szCs w:val="24"/>
        </w:rPr>
        <w:t>RECDID – Record ID – Randomly generated MIDAS DR specific unique identifier assigned to each admission record in the data repository</w:t>
      </w:r>
    </w:p>
    <w:p w14:paraId="30D559BC" w14:textId="77777777" w:rsidR="002A3258" w:rsidRPr="00AB375F" w:rsidRDefault="002A3258" w:rsidP="002A3258">
      <w:pPr>
        <w:ind w:left="432"/>
        <w:rPr>
          <w:sz w:val="24"/>
          <w:szCs w:val="24"/>
        </w:rPr>
      </w:pPr>
      <w:r w:rsidRPr="00AB375F">
        <w:rPr>
          <w:sz w:val="24"/>
          <w:szCs w:val="24"/>
        </w:rPr>
        <w:t>SECOND – Secondary Insurance</w:t>
      </w:r>
    </w:p>
    <w:p w14:paraId="03E04B08" w14:textId="77777777" w:rsidR="002A3258" w:rsidRPr="00AB375F" w:rsidRDefault="002A3258" w:rsidP="002A3258">
      <w:pPr>
        <w:ind w:left="432"/>
        <w:rPr>
          <w:sz w:val="24"/>
          <w:szCs w:val="24"/>
        </w:rPr>
      </w:pPr>
      <w:r w:rsidRPr="00AB375F">
        <w:rPr>
          <w:sz w:val="24"/>
          <w:szCs w:val="24"/>
        </w:rPr>
        <w:lastRenderedPageBreak/>
        <w:t>SEX - Gender</w:t>
      </w:r>
    </w:p>
    <w:p w14:paraId="4EAB1B31" w14:textId="77777777" w:rsidR="002A3258" w:rsidRPr="00AB375F" w:rsidRDefault="002A3258" w:rsidP="002A3258">
      <w:pPr>
        <w:ind w:left="432"/>
        <w:rPr>
          <w:sz w:val="24"/>
          <w:szCs w:val="24"/>
        </w:rPr>
      </w:pPr>
      <w:r w:rsidRPr="00AB375F">
        <w:rPr>
          <w:sz w:val="24"/>
          <w:szCs w:val="24"/>
        </w:rPr>
        <w:t>SOURCE – Location before entering hospital</w:t>
      </w:r>
    </w:p>
    <w:p w14:paraId="153F03DD" w14:textId="77777777" w:rsidR="002A3258" w:rsidRPr="00AB375F" w:rsidRDefault="002A3258" w:rsidP="002A3258">
      <w:pPr>
        <w:ind w:left="432"/>
        <w:rPr>
          <w:sz w:val="24"/>
          <w:szCs w:val="24"/>
        </w:rPr>
      </w:pPr>
      <w:r w:rsidRPr="00AB375F">
        <w:rPr>
          <w:sz w:val="24"/>
          <w:szCs w:val="24"/>
        </w:rPr>
        <w:t>STATUS – Status upon discharge</w:t>
      </w:r>
    </w:p>
    <w:p w14:paraId="2D83FFB1" w14:textId="77777777" w:rsidR="002A3258" w:rsidRPr="00AB375F" w:rsidRDefault="002A3258" w:rsidP="002A3258">
      <w:pPr>
        <w:ind w:left="432"/>
        <w:rPr>
          <w:sz w:val="24"/>
          <w:szCs w:val="24"/>
        </w:rPr>
      </w:pPr>
      <w:r w:rsidRPr="00AB375F">
        <w:rPr>
          <w:sz w:val="24"/>
          <w:szCs w:val="24"/>
        </w:rPr>
        <w:t>THIRD – Tertiary Insurance</w:t>
      </w:r>
    </w:p>
    <w:p w14:paraId="00112BBD" w14:textId="3BC77BC2" w:rsidR="00EF2F8D" w:rsidRPr="00AB375F" w:rsidRDefault="002A3258" w:rsidP="005B1454">
      <w:pPr>
        <w:ind w:left="432"/>
        <w:rPr>
          <w:sz w:val="24"/>
          <w:szCs w:val="24"/>
        </w:rPr>
      </w:pPr>
      <w:r w:rsidRPr="00AB375F">
        <w:rPr>
          <w:sz w:val="24"/>
          <w:szCs w:val="24"/>
        </w:rPr>
        <w:t>TOTBIL – Total Billing Amount</w:t>
      </w:r>
      <w:bookmarkEnd w:id="77"/>
    </w:p>
    <w:p w14:paraId="4BBDEFFC" w14:textId="7DE4BFB2" w:rsidR="009304EF" w:rsidRPr="00AB375F" w:rsidRDefault="74DA8887" w:rsidP="00714489">
      <w:pPr>
        <w:spacing w:after="0" w:line="240" w:lineRule="auto"/>
        <w:contextualSpacing/>
        <w:jc w:val="both"/>
        <w:rPr>
          <w:rFonts w:eastAsia="Times New Roman,MS Gothic" w:cs="Times New Roman,MS Gothic"/>
          <w:i/>
          <w:iCs/>
          <w:sz w:val="24"/>
          <w:szCs w:val="24"/>
        </w:rPr>
      </w:pPr>
      <w:r w:rsidRPr="00AB375F">
        <w:rPr>
          <w:rFonts w:eastAsia="Times New Roman,MS Gothic" w:cs="Times New Roman,MS Gothic"/>
          <w:i/>
          <w:iCs/>
          <w:color w:val="0070C0"/>
          <w:sz w:val="24"/>
          <w:szCs w:val="24"/>
        </w:rPr>
        <w:t xml:space="preserve">   </w:t>
      </w:r>
    </w:p>
    <w:p w14:paraId="2E2A5C1B" w14:textId="166D7B52" w:rsidR="00B402E9" w:rsidRPr="00AB375F" w:rsidRDefault="00CB3208" w:rsidP="00CB3208">
      <w:pPr>
        <w:shd w:val="clear" w:color="auto" w:fill="9CC2E5" w:themeFill="accent1" w:themeFillTint="99"/>
        <w:spacing w:after="0" w:line="240" w:lineRule="auto"/>
        <w:jc w:val="both"/>
        <w:rPr>
          <w:rFonts w:eastAsia="Times New Roman,MS Gothic" w:cs="Times New Roman,MS Gothic"/>
          <w:i/>
          <w:iCs/>
          <w:sz w:val="24"/>
          <w:szCs w:val="24"/>
        </w:rPr>
      </w:pPr>
      <w:bookmarkStart w:id="78" w:name="Project_Management"/>
      <w:r w:rsidRPr="00AB375F">
        <w:rPr>
          <w:rFonts w:eastAsiaTheme="minorEastAsia" w:cstheme="minorEastAsia"/>
          <w:b/>
          <w:bCs/>
          <w:sz w:val="24"/>
          <w:szCs w:val="24"/>
        </w:rPr>
        <w:t xml:space="preserve">4.0 </w:t>
      </w:r>
      <w:r w:rsidR="25DF176C" w:rsidRPr="00AB375F">
        <w:rPr>
          <w:rFonts w:eastAsiaTheme="minorEastAsia" w:cstheme="minorEastAsia"/>
          <w:b/>
          <w:bCs/>
          <w:sz w:val="24"/>
          <w:szCs w:val="24"/>
        </w:rPr>
        <w:t>Project Management</w:t>
      </w:r>
    </w:p>
    <w:p w14:paraId="24AA9DD7" w14:textId="77777777" w:rsidR="00CB3208" w:rsidRPr="00AB375F" w:rsidRDefault="00CB3208" w:rsidP="00CB3208">
      <w:pPr>
        <w:spacing w:after="0" w:line="240" w:lineRule="auto"/>
        <w:rPr>
          <w:rFonts w:eastAsiaTheme="minorEastAsia" w:cstheme="minorEastAsia"/>
          <w:b/>
          <w:bCs/>
          <w:sz w:val="24"/>
          <w:szCs w:val="24"/>
        </w:rPr>
      </w:pPr>
      <w:bookmarkStart w:id="79" w:name="Research_Staff"/>
      <w:bookmarkEnd w:id="78"/>
    </w:p>
    <w:p w14:paraId="65322F6B" w14:textId="4075FBB3" w:rsidR="004061D5" w:rsidRPr="00AB375F" w:rsidRDefault="00CB3208" w:rsidP="00CB3208">
      <w:pPr>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4.1 </w:t>
      </w:r>
      <w:r w:rsidR="004061D5" w:rsidRPr="00AB375F">
        <w:rPr>
          <w:rFonts w:eastAsiaTheme="minorEastAsia" w:cstheme="minorEastAsia"/>
          <w:b/>
          <w:bCs/>
          <w:sz w:val="24"/>
          <w:szCs w:val="24"/>
        </w:rPr>
        <w:t>Research Staff and Qualifications</w:t>
      </w:r>
    </w:p>
    <w:bookmarkEnd w:id="79"/>
    <w:p w14:paraId="52B33D1D" w14:textId="3A09D44C" w:rsidR="004061D5" w:rsidRPr="00AB375F" w:rsidRDefault="00894868" w:rsidP="002E6131">
      <w:pPr>
        <w:spacing w:after="0" w:line="240" w:lineRule="auto"/>
        <w:ind w:left="720"/>
        <w:rPr>
          <w:rFonts w:eastAsiaTheme="minorEastAsia" w:cstheme="minorEastAsia"/>
          <w:i/>
          <w:iCs/>
          <w:color w:val="0070C0"/>
          <w:sz w:val="24"/>
          <w:szCs w:val="24"/>
        </w:rPr>
      </w:pPr>
      <w:r w:rsidRPr="00AB375F">
        <w:rPr>
          <w:sz w:val="24"/>
          <w:szCs w:val="24"/>
        </w:rPr>
        <w:t xml:space="preserve">The Principal investigator (PI), co-investigators, study staff all have completed CITI training.  </w:t>
      </w:r>
      <w:r w:rsidR="001939C7" w:rsidRPr="00AB375F">
        <w:rPr>
          <w:sz w:val="24"/>
          <w:szCs w:val="24"/>
        </w:rPr>
        <w:t xml:space="preserve">The </w:t>
      </w:r>
      <w:r w:rsidR="00E50D7D">
        <w:rPr>
          <w:sz w:val="24"/>
          <w:szCs w:val="24"/>
        </w:rPr>
        <w:t xml:space="preserve">PI has over 40 years of research experience, and most </w:t>
      </w:r>
      <w:r w:rsidR="001939C7" w:rsidRPr="00AB375F">
        <w:rPr>
          <w:sz w:val="24"/>
          <w:szCs w:val="24"/>
        </w:rPr>
        <w:t>co-investigators have over 25 years each of research experience and have published papers in peer-reviewed journals.</w:t>
      </w:r>
    </w:p>
    <w:p w14:paraId="61BA240F" w14:textId="77777777" w:rsidR="00CB3208" w:rsidRPr="00AB375F" w:rsidRDefault="00CB3208" w:rsidP="00CB3208">
      <w:pPr>
        <w:spacing w:after="0" w:line="240" w:lineRule="auto"/>
        <w:rPr>
          <w:rFonts w:eastAsiaTheme="minorEastAsia" w:cstheme="minorEastAsia"/>
          <w:b/>
          <w:bCs/>
          <w:sz w:val="24"/>
          <w:szCs w:val="24"/>
        </w:rPr>
      </w:pPr>
      <w:bookmarkStart w:id="80" w:name="Research_Sites"/>
    </w:p>
    <w:p w14:paraId="3D6C68F5" w14:textId="3D062BA4" w:rsidR="00AF328E" w:rsidRPr="00AB375F" w:rsidRDefault="00CB3208" w:rsidP="00CB3208">
      <w:pPr>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4.2 </w:t>
      </w:r>
      <w:r w:rsidR="25DF176C" w:rsidRPr="00AB375F">
        <w:rPr>
          <w:rFonts w:eastAsiaTheme="minorEastAsia" w:cstheme="minorEastAsia"/>
          <w:b/>
          <w:bCs/>
          <w:sz w:val="24"/>
          <w:szCs w:val="24"/>
        </w:rPr>
        <w:t>Research Sites</w:t>
      </w:r>
    </w:p>
    <w:bookmarkEnd w:id="80"/>
    <w:p w14:paraId="166CDD9F" w14:textId="58389AB5" w:rsidR="00A37E3E" w:rsidRPr="00AB375F" w:rsidRDefault="001939C7" w:rsidP="002E6131">
      <w:pPr>
        <w:spacing w:after="0" w:line="240" w:lineRule="auto"/>
        <w:ind w:left="720"/>
        <w:contextualSpacing/>
        <w:rPr>
          <w:rFonts w:eastAsiaTheme="minorEastAsia" w:cstheme="minorEastAsia"/>
          <w:iCs/>
          <w:color w:val="0070C0"/>
          <w:sz w:val="24"/>
          <w:szCs w:val="24"/>
        </w:rPr>
      </w:pPr>
      <w:r w:rsidRPr="00AB375F">
        <w:rPr>
          <w:sz w:val="24"/>
          <w:szCs w:val="24"/>
        </w:rPr>
        <w:t xml:space="preserve">The </w:t>
      </w:r>
      <w:r w:rsidR="009572B2" w:rsidRPr="00AB375F">
        <w:rPr>
          <w:sz w:val="24"/>
          <w:szCs w:val="24"/>
        </w:rPr>
        <w:t>research will be conducted at the Cardiovascular Institute,</w:t>
      </w:r>
      <w:r w:rsidR="008857E4" w:rsidRPr="00AB375F">
        <w:rPr>
          <w:sz w:val="24"/>
          <w:szCs w:val="24"/>
        </w:rPr>
        <w:t xml:space="preserve"> Clinical Academic Building, 125</w:t>
      </w:r>
      <w:r w:rsidR="009572B2" w:rsidRPr="00AB375F">
        <w:rPr>
          <w:sz w:val="24"/>
          <w:szCs w:val="24"/>
        </w:rPr>
        <w:t xml:space="preserve"> Paterson Street, Suite 4180, New Bru</w:t>
      </w:r>
      <w:r w:rsidR="008857E4" w:rsidRPr="00AB375F">
        <w:rPr>
          <w:sz w:val="24"/>
          <w:szCs w:val="24"/>
        </w:rPr>
        <w:t>nswick, NJ</w:t>
      </w:r>
      <w:r w:rsidR="009572B2" w:rsidRPr="00AB375F">
        <w:rPr>
          <w:sz w:val="24"/>
          <w:szCs w:val="24"/>
        </w:rPr>
        <w:t xml:space="preserve"> 08901.</w:t>
      </w:r>
    </w:p>
    <w:p w14:paraId="4F12DE2B" w14:textId="77777777" w:rsidR="00CB3208" w:rsidRPr="00AB375F" w:rsidRDefault="00CB3208" w:rsidP="00CB3208">
      <w:pPr>
        <w:spacing w:after="0" w:line="240" w:lineRule="auto"/>
        <w:rPr>
          <w:rFonts w:eastAsiaTheme="minorEastAsia" w:cstheme="minorEastAsia"/>
          <w:b/>
          <w:bCs/>
          <w:sz w:val="24"/>
          <w:szCs w:val="24"/>
        </w:rPr>
      </w:pPr>
      <w:bookmarkStart w:id="81" w:name="Non_Rutgers_Research_Sites"/>
    </w:p>
    <w:p w14:paraId="1B8AA192" w14:textId="21E1F06A" w:rsidR="00BB60F9" w:rsidRPr="00AB375F" w:rsidRDefault="00CB3208" w:rsidP="00CB3208">
      <w:pPr>
        <w:spacing w:after="0" w:line="240" w:lineRule="auto"/>
        <w:rPr>
          <w:rFonts w:eastAsiaTheme="minorEastAsia" w:cstheme="minorEastAsia"/>
          <w:sz w:val="24"/>
          <w:szCs w:val="24"/>
        </w:rPr>
      </w:pPr>
      <w:r w:rsidRPr="00AB375F">
        <w:rPr>
          <w:rFonts w:eastAsiaTheme="minorEastAsia" w:cstheme="minorEastAsia"/>
          <w:b/>
          <w:bCs/>
          <w:sz w:val="24"/>
          <w:szCs w:val="24"/>
        </w:rPr>
        <w:t xml:space="preserve">4.3 </w:t>
      </w:r>
      <w:r w:rsidR="00DA1522" w:rsidRPr="00AB375F">
        <w:rPr>
          <w:rFonts w:eastAsiaTheme="minorEastAsia" w:cstheme="minorEastAsia"/>
          <w:b/>
          <w:bCs/>
          <w:sz w:val="24"/>
          <w:szCs w:val="24"/>
        </w:rPr>
        <w:t>Non-Rutgers Site</w:t>
      </w:r>
      <w:r w:rsidR="25DF176C" w:rsidRPr="00AB375F">
        <w:rPr>
          <w:rFonts w:eastAsiaTheme="minorEastAsia" w:cstheme="minorEastAsia"/>
          <w:b/>
          <w:bCs/>
          <w:sz w:val="24"/>
          <w:szCs w:val="24"/>
        </w:rPr>
        <w:t xml:space="preserve"> Research</w:t>
      </w:r>
    </w:p>
    <w:bookmarkEnd w:id="81"/>
    <w:p w14:paraId="65FD036E" w14:textId="2EBCC77D" w:rsidR="00110645" w:rsidRPr="00AB375F" w:rsidRDefault="009572B2" w:rsidP="009572B2">
      <w:pPr>
        <w:spacing w:after="0" w:line="240" w:lineRule="auto"/>
        <w:ind w:firstLine="720"/>
        <w:contextualSpacing/>
        <w:jc w:val="both"/>
        <w:rPr>
          <w:sz w:val="24"/>
          <w:szCs w:val="24"/>
        </w:rPr>
      </w:pPr>
      <w:r w:rsidRPr="00AB375F">
        <w:rPr>
          <w:sz w:val="24"/>
          <w:szCs w:val="24"/>
        </w:rPr>
        <w:t>N/A</w:t>
      </w:r>
    </w:p>
    <w:p w14:paraId="413A75E8" w14:textId="77777777" w:rsidR="002318C4" w:rsidRPr="00AB375F" w:rsidRDefault="002318C4" w:rsidP="00C31172">
      <w:pPr>
        <w:spacing w:after="0" w:line="240" w:lineRule="auto"/>
        <w:ind w:left="720"/>
        <w:contextualSpacing/>
        <w:jc w:val="both"/>
        <w:rPr>
          <w:rFonts w:eastAsiaTheme="minorEastAsia" w:cstheme="minorEastAsia"/>
          <w:i/>
          <w:iCs/>
          <w:color w:val="0070C0"/>
          <w:sz w:val="24"/>
          <w:szCs w:val="24"/>
        </w:rPr>
      </w:pPr>
    </w:p>
    <w:p w14:paraId="5EAEF945" w14:textId="518B4ACF" w:rsidR="007A3827" w:rsidRPr="00AB375F" w:rsidRDefault="00CB3208" w:rsidP="00CB3208">
      <w:pPr>
        <w:shd w:val="clear" w:color="auto" w:fill="9CC2E5" w:themeFill="accent1" w:themeFillTint="99"/>
        <w:spacing w:after="0" w:line="240" w:lineRule="auto"/>
        <w:rPr>
          <w:rFonts w:eastAsiaTheme="minorEastAsia" w:cstheme="minorEastAsia"/>
          <w:b/>
          <w:bCs/>
          <w:sz w:val="24"/>
          <w:szCs w:val="24"/>
        </w:rPr>
      </w:pPr>
      <w:bookmarkStart w:id="82" w:name="Research_Data_Sources"/>
      <w:r w:rsidRPr="00AB375F">
        <w:rPr>
          <w:rFonts w:eastAsiaTheme="minorEastAsia" w:cstheme="minorEastAsia"/>
          <w:b/>
          <w:bCs/>
          <w:sz w:val="24"/>
          <w:szCs w:val="24"/>
        </w:rPr>
        <w:t xml:space="preserve">5.0 </w:t>
      </w:r>
      <w:r w:rsidR="007A3827" w:rsidRPr="00AB375F">
        <w:rPr>
          <w:rFonts w:eastAsiaTheme="minorEastAsia" w:cstheme="minorEastAsia"/>
          <w:b/>
          <w:bCs/>
          <w:sz w:val="24"/>
          <w:szCs w:val="24"/>
        </w:rPr>
        <w:t>Research Data Source/s</w:t>
      </w:r>
    </w:p>
    <w:p w14:paraId="67C1C887" w14:textId="77777777" w:rsidR="00CB3208" w:rsidRPr="00AB375F" w:rsidRDefault="00CB3208" w:rsidP="00CB3208">
      <w:pPr>
        <w:spacing w:after="0" w:line="240" w:lineRule="auto"/>
        <w:contextualSpacing/>
        <w:jc w:val="both"/>
        <w:rPr>
          <w:rFonts w:eastAsiaTheme="majorBidi" w:cstheme="majorBidi"/>
          <w:b/>
          <w:bCs/>
          <w:sz w:val="24"/>
          <w:szCs w:val="24"/>
        </w:rPr>
      </w:pPr>
      <w:bookmarkStart w:id="83" w:name="Secondary_Data"/>
      <w:bookmarkEnd w:id="82"/>
    </w:p>
    <w:p w14:paraId="2B365DF1" w14:textId="1036E160" w:rsidR="009164A1" w:rsidRDefault="00CB3208" w:rsidP="00CB3208">
      <w:pPr>
        <w:spacing w:after="0" w:line="240" w:lineRule="auto"/>
        <w:contextualSpacing/>
        <w:jc w:val="both"/>
        <w:rPr>
          <w:rFonts w:eastAsiaTheme="majorBidi" w:cstheme="majorBidi"/>
          <w:b/>
          <w:bCs/>
          <w:sz w:val="24"/>
          <w:szCs w:val="24"/>
        </w:rPr>
      </w:pPr>
      <w:r w:rsidRPr="00AB375F">
        <w:rPr>
          <w:rFonts w:eastAsiaTheme="majorBidi" w:cstheme="majorBidi"/>
          <w:b/>
          <w:bCs/>
          <w:sz w:val="24"/>
          <w:szCs w:val="24"/>
        </w:rPr>
        <w:t xml:space="preserve">5.1 </w:t>
      </w:r>
      <w:r w:rsidR="003B1500" w:rsidRPr="00AB375F">
        <w:rPr>
          <w:rFonts w:eastAsiaTheme="majorBidi" w:cstheme="majorBidi"/>
          <w:b/>
          <w:bCs/>
          <w:sz w:val="24"/>
          <w:szCs w:val="24"/>
        </w:rPr>
        <w:t xml:space="preserve">Secondary Data - </w:t>
      </w:r>
      <w:r w:rsidR="009164A1" w:rsidRPr="00AB375F">
        <w:rPr>
          <w:rFonts w:eastAsiaTheme="majorBidi" w:cstheme="majorBidi"/>
          <w:b/>
          <w:bCs/>
          <w:sz w:val="24"/>
          <w:szCs w:val="24"/>
        </w:rPr>
        <w:t>Chart Review Process</w:t>
      </w:r>
    </w:p>
    <w:p w14:paraId="3787A4F9" w14:textId="01518AD7" w:rsidR="002D54A6" w:rsidRPr="002D54A6" w:rsidRDefault="002D54A6" w:rsidP="00CB3208">
      <w:pPr>
        <w:spacing w:after="0" w:line="240" w:lineRule="auto"/>
        <w:contextualSpacing/>
        <w:jc w:val="both"/>
        <w:rPr>
          <w:rFonts w:eastAsiaTheme="majorBidi" w:cstheme="majorBidi"/>
          <w:sz w:val="24"/>
          <w:szCs w:val="24"/>
        </w:rPr>
      </w:pPr>
      <w:r>
        <w:rPr>
          <w:rFonts w:eastAsiaTheme="majorBidi" w:cstheme="majorBidi"/>
          <w:b/>
          <w:bCs/>
          <w:sz w:val="24"/>
          <w:szCs w:val="24"/>
        </w:rPr>
        <w:tab/>
      </w:r>
      <w:r w:rsidRPr="002D54A6">
        <w:rPr>
          <w:rFonts w:eastAsiaTheme="majorBidi" w:cstheme="majorBidi"/>
          <w:bCs/>
          <w:sz w:val="24"/>
          <w:szCs w:val="24"/>
        </w:rPr>
        <w:t xml:space="preserve">N/A </w:t>
      </w:r>
      <w:r>
        <w:rPr>
          <w:rFonts w:eastAsiaTheme="majorBidi" w:cstheme="majorBidi"/>
          <w:bCs/>
          <w:sz w:val="24"/>
          <w:szCs w:val="24"/>
        </w:rPr>
        <w:t>–</w:t>
      </w:r>
      <w:r w:rsidRPr="002D54A6">
        <w:rPr>
          <w:rFonts w:eastAsiaTheme="majorBidi" w:cstheme="majorBidi"/>
          <w:bCs/>
          <w:sz w:val="24"/>
          <w:szCs w:val="24"/>
        </w:rPr>
        <w:t xml:space="preserve"> </w:t>
      </w:r>
      <w:r>
        <w:rPr>
          <w:rFonts w:eastAsiaTheme="majorBidi" w:cstheme="majorBidi"/>
          <w:bCs/>
          <w:sz w:val="24"/>
          <w:szCs w:val="24"/>
        </w:rPr>
        <w:t>the data used will be created by the Honest Broker see 5.2</w:t>
      </w:r>
    </w:p>
    <w:p w14:paraId="2470DCCB" w14:textId="77777777" w:rsidR="00CB3208" w:rsidRPr="00AB375F" w:rsidRDefault="00CB3208" w:rsidP="00CB3208">
      <w:pPr>
        <w:spacing w:after="0" w:line="240" w:lineRule="auto"/>
        <w:contextualSpacing/>
        <w:jc w:val="both"/>
        <w:rPr>
          <w:rFonts w:eastAsiaTheme="majorBidi" w:cstheme="majorBidi"/>
          <w:b/>
          <w:bCs/>
          <w:sz w:val="24"/>
          <w:szCs w:val="24"/>
        </w:rPr>
      </w:pPr>
      <w:bookmarkStart w:id="84" w:name="Data_Abstraction"/>
      <w:bookmarkEnd w:id="83"/>
    </w:p>
    <w:p w14:paraId="5FBEB047" w14:textId="18D32513" w:rsidR="009164A1" w:rsidRPr="00AB375F" w:rsidRDefault="00CB3208" w:rsidP="00CB3208">
      <w:pPr>
        <w:spacing w:after="0" w:line="240" w:lineRule="auto"/>
        <w:contextualSpacing/>
        <w:jc w:val="both"/>
        <w:rPr>
          <w:rFonts w:eastAsiaTheme="majorBidi" w:cstheme="majorBidi"/>
          <w:sz w:val="24"/>
          <w:szCs w:val="24"/>
        </w:rPr>
      </w:pPr>
      <w:r w:rsidRPr="00AB375F">
        <w:rPr>
          <w:rFonts w:eastAsiaTheme="majorBidi" w:cstheme="majorBidi"/>
          <w:b/>
          <w:bCs/>
          <w:sz w:val="24"/>
          <w:szCs w:val="24"/>
        </w:rPr>
        <w:t xml:space="preserve">5.2 </w:t>
      </w:r>
      <w:r w:rsidR="009164A1" w:rsidRPr="00AB375F">
        <w:rPr>
          <w:rFonts w:eastAsiaTheme="majorBidi" w:cstheme="majorBidi"/>
          <w:b/>
          <w:bCs/>
          <w:sz w:val="24"/>
          <w:szCs w:val="24"/>
        </w:rPr>
        <w:t>Data Abstraction</w:t>
      </w:r>
    </w:p>
    <w:bookmarkEnd w:id="84"/>
    <w:p w14:paraId="317D89CE" w14:textId="3E040E27" w:rsidR="009164A1" w:rsidRPr="00AB375F" w:rsidRDefault="00197CA3" w:rsidP="00197CA3">
      <w:pPr>
        <w:spacing w:after="0" w:line="240" w:lineRule="auto"/>
        <w:ind w:firstLine="720"/>
        <w:contextualSpacing/>
        <w:jc w:val="both"/>
        <w:rPr>
          <w:sz w:val="24"/>
          <w:szCs w:val="24"/>
        </w:rPr>
      </w:pPr>
      <w:r>
        <w:rPr>
          <w:sz w:val="24"/>
          <w:szCs w:val="24"/>
        </w:rPr>
        <w:t xml:space="preserve">The </w:t>
      </w:r>
      <w:r w:rsidR="00697C87" w:rsidRPr="00AB375F">
        <w:rPr>
          <w:sz w:val="24"/>
          <w:szCs w:val="24"/>
        </w:rPr>
        <w:t>Honest Broker will create dataset based on inclusion/exclusion criteria.</w:t>
      </w:r>
      <w:r w:rsidR="00640541">
        <w:rPr>
          <w:sz w:val="24"/>
          <w:szCs w:val="24"/>
        </w:rPr>
        <w:t xml:space="preserve">  </w:t>
      </w:r>
    </w:p>
    <w:p w14:paraId="728280FF" w14:textId="77777777" w:rsidR="00E853BF" w:rsidRPr="00AB375F" w:rsidRDefault="00E853BF" w:rsidP="00C31172">
      <w:pPr>
        <w:spacing w:after="0" w:line="240" w:lineRule="auto"/>
        <w:ind w:left="1080"/>
        <w:contextualSpacing/>
        <w:jc w:val="both"/>
        <w:rPr>
          <w:rFonts w:eastAsiaTheme="majorBidi" w:cstheme="majorBidi"/>
          <w:i/>
          <w:iCs/>
          <w:color w:val="0070C0"/>
          <w:sz w:val="24"/>
          <w:szCs w:val="24"/>
        </w:rPr>
      </w:pPr>
    </w:p>
    <w:p w14:paraId="381C80E6" w14:textId="77420EC2" w:rsidR="009164A1" w:rsidRPr="00AB375F" w:rsidRDefault="00CB3208" w:rsidP="00CB3208">
      <w:pPr>
        <w:spacing w:after="0" w:line="240" w:lineRule="auto"/>
        <w:contextualSpacing/>
        <w:jc w:val="both"/>
        <w:rPr>
          <w:rFonts w:eastAsiaTheme="majorBidi" w:cstheme="majorBidi"/>
          <w:b/>
          <w:bCs/>
          <w:sz w:val="24"/>
          <w:szCs w:val="24"/>
        </w:rPr>
      </w:pPr>
      <w:bookmarkStart w:id="85" w:name="Data_Source"/>
      <w:r w:rsidRPr="00AB375F">
        <w:rPr>
          <w:rFonts w:eastAsiaTheme="majorBidi" w:cstheme="majorBidi"/>
          <w:b/>
          <w:bCs/>
          <w:sz w:val="24"/>
          <w:szCs w:val="24"/>
        </w:rPr>
        <w:t xml:space="preserve">5.3 </w:t>
      </w:r>
      <w:r w:rsidR="009164A1" w:rsidRPr="00AB375F">
        <w:rPr>
          <w:rFonts w:eastAsiaTheme="majorBidi" w:cstheme="majorBidi"/>
          <w:b/>
          <w:bCs/>
          <w:sz w:val="24"/>
          <w:szCs w:val="24"/>
        </w:rPr>
        <w:t>Data Source</w:t>
      </w:r>
    </w:p>
    <w:bookmarkEnd w:id="85"/>
    <w:p w14:paraId="3889C1F6" w14:textId="24A6B6D4" w:rsidR="009164A1" w:rsidRPr="00AB375F" w:rsidRDefault="008857E4" w:rsidP="006135DD">
      <w:pPr>
        <w:spacing w:after="0" w:line="240" w:lineRule="auto"/>
        <w:ind w:left="720"/>
        <w:contextualSpacing/>
        <w:rPr>
          <w:rFonts w:eastAsiaTheme="majorBidi" w:cstheme="majorBidi"/>
          <w:iCs/>
          <w:color w:val="0070C0"/>
          <w:sz w:val="24"/>
          <w:szCs w:val="24"/>
        </w:rPr>
      </w:pPr>
      <w:r w:rsidRPr="00AB375F">
        <w:rPr>
          <w:rFonts w:eastAsiaTheme="majorBidi" w:cstheme="majorBidi"/>
          <w:iCs/>
          <w:sz w:val="24"/>
          <w:szCs w:val="24"/>
        </w:rPr>
        <w:t xml:space="preserve">MIDAS DR (Data Repository) </w:t>
      </w:r>
      <w:r w:rsidRPr="00AB375F">
        <w:rPr>
          <w:sz w:val="24"/>
          <w:szCs w:val="24"/>
        </w:rPr>
        <w:t xml:space="preserve">Cardiovascular Institute, Clinical Academic Building, 125 Paterson Street, Suite 4180, New Brunswick, NJ 08901.  The data is obtained annually from the </w:t>
      </w:r>
      <w:r w:rsidR="00191E12" w:rsidRPr="00AB375F">
        <w:rPr>
          <w:sz w:val="24"/>
          <w:szCs w:val="24"/>
        </w:rPr>
        <w:t xml:space="preserve">NJ </w:t>
      </w:r>
      <w:r w:rsidRPr="00AB375F">
        <w:rPr>
          <w:sz w:val="24"/>
          <w:szCs w:val="24"/>
        </w:rPr>
        <w:t>Department of Health</w:t>
      </w:r>
      <w:r w:rsidR="00191E12" w:rsidRPr="00AB375F">
        <w:rPr>
          <w:sz w:val="24"/>
          <w:szCs w:val="24"/>
        </w:rPr>
        <w:t xml:space="preserve">. </w:t>
      </w:r>
    </w:p>
    <w:p w14:paraId="3C3D25E8" w14:textId="77777777" w:rsidR="00CB3208" w:rsidRPr="00AB375F" w:rsidRDefault="00CB3208" w:rsidP="00CB3208">
      <w:pPr>
        <w:spacing w:after="0" w:line="240" w:lineRule="auto"/>
        <w:contextualSpacing/>
        <w:jc w:val="both"/>
        <w:rPr>
          <w:rFonts w:eastAsiaTheme="majorBidi" w:cstheme="majorBidi"/>
          <w:b/>
          <w:bCs/>
          <w:sz w:val="24"/>
          <w:szCs w:val="24"/>
        </w:rPr>
      </w:pPr>
      <w:bookmarkStart w:id="86" w:name="Multi_Database_Links"/>
    </w:p>
    <w:p w14:paraId="474BB0CE" w14:textId="71D28D7F" w:rsidR="009164A1" w:rsidRPr="00AB375F" w:rsidRDefault="00191E12" w:rsidP="00BC0E0A">
      <w:pPr>
        <w:spacing w:after="0" w:line="240" w:lineRule="auto"/>
        <w:contextualSpacing/>
        <w:jc w:val="both"/>
        <w:rPr>
          <w:rFonts w:eastAsiaTheme="majorBidi" w:cstheme="majorBidi"/>
          <w:b/>
          <w:bCs/>
          <w:sz w:val="24"/>
          <w:szCs w:val="24"/>
        </w:rPr>
      </w:pPr>
      <w:bookmarkStart w:id="87" w:name="Data_Management_Services"/>
      <w:bookmarkEnd w:id="86"/>
      <w:r w:rsidRPr="00AB375F">
        <w:rPr>
          <w:rFonts w:eastAsiaTheme="majorBidi" w:cstheme="majorBidi"/>
          <w:b/>
          <w:bCs/>
          <w:sz w:val="24"/>
          <w:szCs w:val="24"/>
        </w:rPr>
        <w:t xml:space="preserve">5.5 </w:t>
      </w:r>
      <w:r w:rsidR="00BC0E0A" w:rsidRPr="00AB375F">
        <w:rPr>
          <w:rFonts w:eastAsiaTheme="majorBidi" w:cstheme="majorBidi"/>
          <w:b/>
          <w:bCs/>
          <w:sz w:val="24"/>
          <w:szCs w:val="24"/>
        </w:rPr>
        <w:t xml:space="preserve"> </w:t>
      </w:r>
      <w:r w:rsidR="009164A1" w:rsidRPr="00AB375F">
        <w:rPr>
          <w:rFonts w:eastAsiaTheme="majorBidi" w:cstheme="majorBidi"/>
          <w:b/>
          <w:bCs/>
          <w:sz w:val="24"/>
          <w:szCs w:val="24"/>
        </w:rPr>
        <w:t>Data Management Services</w:t>
      </w:r>
    </w:p>
    <w:bookmarkEnd w:id="87"/>
    <w:p w14:paraId="4409DE88" w14:textId="1B626906" w:rsidR="00191E12" w:rsidRPr="00AB375F" w:rsidRDefault="00191E12" w:rsidP="00BC0E0A">
      <w:pPr>
        <w:pStyle w:val="Style2"/>
        <w:spacing w:line="240" w:lineRule="auto"/>
        <w:ind w:left="0"/>
        <w:rPr>
          <w:rFonts w:eastAsiaTheme="majorBidi" w:cstheme="majorBidi"/>
          <w:i w:val="0"/>
          <w:color w:val="auto"/>
          <w:sz w:val="24"/>
          <w:szCs w:val="24"/>
        </w:rPr>
      </w:pPr>
      <w:r w:rsidRPr="00AB375F">
        <w:rPr>
          <w:rFonts w:eastAsiaTheme="majorBidi" w:cstheme="majorBidi"/>
          <w:sz w:val="24"/>
          <w:szCs w:val="24"/>
        </w:rPr>
        <w:tab/>
      </w:r>
      <w:r w:rsidRPr="00AB375F">
        <w:rPr>
          <w:rFonts w:eastAsiaTheme="majorBidi" w:cstheme="majorBidi"/>
          <w:i w:val="0"/>
          <w:color w:val="auto"/>
          <w:sz w:val="24"/>
          <w:szCs w:val="24"/>
        </w:rPr>
        <w:t>N/A – no data management services utilized.</w:t>
      </w:r>
    </w:p>
    <w:p w14:paraId="3385415B" w14:textId="77777777" w:rsidR="00BC0E0A" w:rsidRPr="00AB375F" w:rsidRDefault="00BC0E0A" w:rsidP="00BC0E0A">
      <w:pPr>
        <w:pStyle w:val="Style2"/>
        <w:spacing w:line="240" w:lineRule="auto"/>
        <w:ind w:left="0"/>
        <w:rPr>
          <w:rFonts w:eastAsiaTheme="majorBidi" w:cstheme="majorBidi"/>
          <w:sz w:val="24"/>
          <w:szCs w:val="24"/>
        </w:rPr>
      </w:pPr>
    </w:p>
    <w:p w14:paraId="2FB108CF" w14:textId="41161933" w:rsidR="009164A1" w:rsidRPr="00AB375F" w:rsidRDefault="00BC0E0A" w:rsidP="00BC0E0A">
      <w:pPr>
        <w:spacing w:after="0" w:line="240" w:lineRule="auto"/>
        <w:contextualSpacing/>
        <w:jc w:val="both"/>
        <w:rPr>
          <w:rFonts w:eastAsia="Times New Roman,MS Gothic" w:cs="Times New Roman,MS Gothic"/>
          <w:b/>
          <w:bCs/>
          <w:sz w:val="24"/>
          <w:szCs w:val="24"/>
        </w:rPr>
      </w:pPr>
      <w:bookmarkStart w:id="88" w:name="Data_Collection_Form"/>
      <w:r w:rsidRPr="00AB375F">
        <w:rPr>
          <w:rFonts w:eastAsia="Times New Roman,MS Gothic" w:cs="Times New Roman,MS Gothic"/>
          <w:b/>
          <w:bCs/>
          <w:sz w:val="24"/>
          <w:szCs w:val="24"/>
        </w:rPr>
        <w:t xml:space="preserve">5.6 </w:t>
      </w:r>
      <w:r w:rsidR="009164A1" w:rsidRPr="00AB375F">
        <w:rPr>
          <w:rFonts w:eastAsia="Times New Roman,MS Gothic" w:cs="Times New Roman,MS Gothic"/>
          <w:b/>
          <w:bCs/>
          <w:sz w:val="24"/>
          <w:szCs w:val="24"/>
        </w:rPr>
        <w:t>Data Collection Form (Variables To Be Analyzed):</w:t>
      </w:r>
    </w:p>
    <w:bookmarkEnd w:id="88"/>
    <w:p w14:paraId="35ABB2CF" w14:textId="1C6AB377" w:rsidR="009164A1" w:rsidRPr="00AB375F" w:rsidRDefault="006D1CE0" w:rsidP="006D1CE0">
      <w:pPr>
        <w:spacing w:after="0" w:line="240" w:lineRule="auto"/>
        <w:ind w:firstLine="720"/>
        <w:contextualSpacing/>
        <w:jc w:val="both"/>
        <w:rPr>
          <w:rFonts w:eastAsiaTheme="majorBidi" w:cstheme="majorBidi"/>
          <w:sz w:val="24"/>
          <w:szCs w:val="24"/>
        </w:rPr>
      </w:pPr>
      <w:r w:rsidRPr="00AB375F">
        <w:rPr>
          <w:rFonts w:eastAsiaTheme="majorBidi" w:cstheme="majorBidi"/>
          <w:sz w:val="24"/>
          <w:szCs w:val="24"/>
        </w:rPr>
        <w:t xml:space="preserve">See Data collection form as </w:t>
      </w:r>
      <w:r w:rsidR="00863358">
        <w:rPr>
          <w:rFonts w:eastAsiaTheme="majorBidi" w:cstheme="majorBidi"/>
          <w:sz w:val="24"/>
          <w:szCs w:val="24"/>
        </w:rPr>
        <w:t>a</w:t>
      </w:r>
      <w:r w:rsidRPr="00AB375F">
        <w:rPr>
          <w:rFonts w:eastAsiaTheme="majorBidi" w:cstheme="majorBidi"/>
          <w:sz w:val="24"/>
          <w:szCs w:val="24"/>
        </w:rPr>
        <w:t xml:space="preserve"> separate attachment.</w:t>
      </w:r>
    </w:p>
    <w:p w14:paraId="11347F34" w14:textId="77777777" w:rsidR="002318C4" w:rsidRPr="00AB375F" w:rsidRDefault="002318C4" w:rsidP="00BC0E0A">
      <w:pPr>
        <w:spacing w:after="0" w:line="240" w:lineRule="auto"/>
        <w:contextualSpacing/>
        <w:jc w:val="both"/>
        <w:rPr>
          <w:rFonts w:eastAsia="Times New Roman,MS Gothic" w:cs="Times New Roman,MS Gothic"/>
          <w:b/>
          <w:bCs/>
          <w:i/>
          <w:iCs/>
          <w:sz w:val="24"/>
          <w:szCs w:val="24"/>
        </w:rPr>
      </w:pPr>
    </w:p>
    <w:p w14:paraId="74EB9F5D" w14:textId="21C71C1A" w:rsidR="00467F25" w:rsidRPr="00AB375F" w:rsidRDefault="00BC0E0A" w:rsidP="00BC0E0A">
      <w:pPr>
        <w:shd w:val="clear" w:color="auto" w:fill="9CC2E5" w:themeFill="accent1" w:themeFillTint="99"/>
        <w:spacing w:after="0" w:line="240" w:lineRule="auto"/>
        <w:rPr>
          <w:rFonts w:eastAsiaTheme="minorEastAsia" w:cstheme="minorEastAsia"/>
          <w:b/>
          <w:bCs/>
          <w:sz w:val="24"/>
          <w:szCs w:val="24"/>
        </w:rPr>
      </w:pPr>
      <w:bookmarkStart w:id="89" w:name="Waiver_Consent_Process"/>
      <w:r w:rsidRPr="00AB375F">
        <w:rPr>
          <w:rFonts w:eastAsiaTheme="minorEastAsia" w:cstheme="minorEastAsia"/>
          <w:b/>
          <w:bCs/>
          <w:sz w:val="24"/>
          <w:szCs w:val="24"/>
        </w:rPr>
        <w:t xml:space="preserve">6.0 </w:t>
      </w:r>
      <w:r w:rsidR="00467F25" w:rsidRPr="00AB375F">
        <w:rPr>
          <w:rFonts w:eastAsiaTheme="minorEastAsia" w:cstheme="minorEastAsia"/>
          <w:b/>
          <w:bCs/>
          <w:sz w:val="24"/>
          <w:szCs w:val="24"/>
        </w:rPr>
        <w:t xml:space="preserve">Waiver or </w:t>
      </w:r>
      <w:r w:rsidR="00467F25" w:rsidRPr="00AB375F">
        <w:rPr>
          <w:rFonts w:eastAsiaTheme="minorEastAsia" w:cstheme="minorEastAsia"/>
          <w:b/>
          <w:bCs/>
          <w:sz w:val="24"/>
          <w:szCs w:val="24"/>
          <w:u w:val="single"/>
        </w:rPr>
        <w:t>Alteration</w:t>
      </w:r>
      <w:r w:rsidR="00467F25" w:rsidRPr="00AB375F">
        <w:rPr>
          <w:rFonts w:eastAsiaTheme="minorEastAsia" w:cstheme="minorEastAsia"/>
          <w:b/>
          <w:bCs/>
          <w:sz w:val="24"/>
          <w:szCs w:val="24"/>
        </w:rPr>
        <w:t xml:space="preserve"> of Consent </w:t>
      </w:r>
      <w:r w:rsidR="00467F25" w:rsidRPr="00AB375F">
        <w:rPr>
          <w:rFonts w:eastAsiaTheme="minorEastAsia" w:cstheme="minorEastAsia"/>
          <w:b/>
          <w:bCs/>
          <w:sz w:val="24"/>
          <w:szCs w:val="24"/>
          <w:u w:val="single"/>
        </w:rPr>
        <w:t xml:space="preserve">Process </w:t>
      </w:r>
    </w:p>
    <w:p w14:paraId="41FDD364" w14:textId="68146960" w:rsidR="00BC0E0A" w:rsidRPr="00DF691E" w:rsidRDefault="00165F4E" w:rsidP="002E6131">
      <w:pPr>
        <w:spacing w:after="0" w:line="240" w:lineRule="auto"/>
        <w:ind w:left="720"/>
        <w:rPr>
          <w:rFonts w:eastAsiaTheme="majorBidi" w:cstheme="majorBidi"/>
          <w:sz w:val="24"/>
          <w:szCs w:val="24"/>
        </w:rPr>
      </w:pPr>
      <w:bookmarkStart w:id="90" w:name="Risks_To_Subjects"/>
      <w:bookmarkEnd w:id="89"/>
      <w:r w:rsidRPr="00DF691E">
        <w:rPr>
          <w:rFonts w:eastAsiaTheme="majorBidi" w:cstheme="majorBidi"/>
          <w:sz w:val="24"/>
          <w:szCs w:val="24"/>
        </w:rPr>
        <w:t xml:space="preserve">We have requested a waiver of consent and HIPAA.  </w:t>
      </w:r>
      <w:r w:rsidR="00DF691E">
        <w:rPr>
          <w:rFonts w:eastAsiaTheme="majorBidi" w:cstheme="majorBidi"/>
          <w:sz w:val="24"/>
          <w:szCs w:val="24"/>
        </w:rPr>
        <w:t xml:space="preserve">We would be unable to conduct the research without waiver of consent.  </w:t>
      </w:r>
      <w:r w:rsidR="009E7A07" w:rsidRPr="00DF691E">
        <w:rPr>
          <w:rFonts w:eastAsiaTheme="majorBidi" w:cstheme="majorBidi"/>
          <w:sz w:val="24"/>
          <w:szCs w:val="24"/>
        </w:rPr>
        <w:t xml:space="preserve">The study is a retrospective record review.  </w:t>
      </w:r>
      <w:r w:rsidR="00DF691E" w:rsidRPr="00DF691E">
        <w:rPr>
          <w:rFonts w:eastAsiaTheme="majorBidi" w:cstheme="majorBidi"/>
          <w:sz w:val="24"/>
          <w:szCs w:val="24"/>
        </w:rPr>
        <w:t>The risks are minimized by using an Honest Broker, limiting access to the dataset to IRB approved personnel.  T</w:t>
      </w:r>
      <w:r w:rsidR="00BD0B1C">
        <w:rPr>
          <w:rFonts w:eastAsiaTheme="majorBidi" w:cstheme="majorBidi"/>
          <w:sz w:val="24"/>
          <w:szCs w:val="24"/>
        </w:rPr>
        <w:t>h</w:t>
      </w:r>
      <w:r w:rsidR="00DF691E" w:rsidRPr="00DF691E">
        <w:rPr>
          <w:rFonts w:eastAsiaTheme="majorBidi" w:cstheme="majorBidi"/>
          <w:sz w:val="24"/>
          <w:szCs w:val="24"/>
        </w:rPr>
        <w:t xml:space="preserve">e research is equitable – we use all patients. The study has a favorable risk-benefit ratio. </w:t>
      </w:r>
    </w:p>
    <w:p w14:paraId="1A8C4CEE" w14:textId="0E940872" w:rsidR="00BB2000" w:rsidRPr="00AB375F" w:rsidRDefault="00DF691E" w:rsidP="002E6131">
      <w:pPr>
        <w:shd w:val="clear" w:color="auto" w:fill="FFFFFF"/>
        <w:spacing w:before="100" w:beforeAutospacing="1" w:after="100" w:afterAutospacing="1" w:line="240" w:lineRule="auto"/>
        <w:ind w:firstLine="480"/>
        <w:rPr>
          <w:rFonts w:eastAsiaTheme="minorEastAsia" w:cstheme="minorEastAsia"/>
          <w:b/>
          <w:bCs/>
          <w:sz w:val="24"/>
          <w:szCs w:val="24"/>
        </w:rPr>
      </w:pPr>
      <w:r w:rsidRPr="00DF691E">
        <w:rPr>
          <w:rFonts w:ascii="Arial" w:eastAsia="Times New Roman" w:hAnsi="Arial" w:cs="Arial"/>
          <w:color w:val="000000"/>
          <w:sz w:val="21"/>
          <w:szCs w:val="21"/>
        </w:rPr>
        <w:t xml:space="preserve"> </w:t>
      </w:r>
      <w:bookmarkStart w:id="91" w:name="Research_Data"/>
      <w:bookmarkEnd w:id="90"/>
      <w:r w:rsidR="00BB2000" w:rsidRPr="00AB375F">
        <w:rPr>
          <w:rFonts w:eastAsiaTheme="minorEastAsia" w:cstheme="minorEastAsia"/>
          <w:b/>
          <w:bCs/>
          <w:sz w:val="24"/>
          <w:szCs w:val="24"/>
        </w:rPr>
        <w:t>6.1 Risks to Subjects</w:t>
      </w:r>
    </w:p>
    <w:p w14:paraId="136FF8F7" w14:textId="77777777" w:rsidR="00BB2000" w:rsidRPr="00AB375F" w:rsidRDefault="00BB2000" w:rsidP="00BB2000">
      <w:pPr>
        <w:spacing w:after="0" w:line="240" w:lineRule="auto"/>
        <w:ind w:left="720"/>
        <w:rPr>
          <w:rFonts w:eastAsiaTheme="minorEastAsia" w:cstheme="minorEastAsia"/>
          <w:b/>
          <w:bCs/>
          <w:sz w:val="24"/>
          <w:szCs w:val="24"/>
        </w:rPr>
      </w:pPr>
      <w:r w:rsidRPr="00AB375F">
        <w:rPr>
          <w:rFonts w:eastAsiaTheme="minorEastAsia" w:cstheme="minorEastAsia"/>
          <w:b/>
          <w:bCs/>
          <w:sz w:val="24"/>
          <w:szCs w:val="24"/>
        </w:rPr>
        <w:t>A. Description of Subject Risks</w:t>
      </w:r>
    </w:p>
    <w:p w14:paraId="49AEDF8A" w14:textId="780F038C" w:rsidR="00BB2000" w:rsidRPr="00AB375F" w:rsidRDefault="00BB2000" w:rsidP="00BB2000">
      <w:pPr>
        <w:pStyle w:val="ListParagraph"/>
        <w:overflowPunct w:val="0"/>
        <w:autoSpaceDE w:val="0"/>
        <w:autoSpaceDN w:val="0"/>
        <w:adjustRightInd w:val="0"/>
        <w:textAlignment w:val="baseline"/>
        <w:rPr>
          <w:rFonts w:cs="Arial"/>
          <w:i/>
          <w:sz w:val="24"/>
          <w:szCs w:val="24"/>
        </w:rPr>
      </w:pPr>
      <w:r w:rsidRPr="00AB375F">
        <w:rPr>
          <w:sz w:val="24"/>
          <w:szCs w:val="24"/>
        </w:rPr>
        <w:t xml:space="preserve">This is a minimal risk study using data from the MIDAS DR created by the Honest Broker. The risk of loss of confidentiality is low.  The access to the dataset is limited to the investigators approved by the IRB, using institution computers with password protection.  </w:t>
      </w:r>
      <w:r w:rsidR="00E64B63">
        <w:rPr>
          <w:sz w:val="24"/>
          <w:szCs w:val="24"/>
        </w:rPr>
        <w:t xml:space="preserve">In addition, there are physical barriers in place.  The area is locked and controlled by ID card to gain access.  </w:t>
      </w:r>
    </w:p>
    <w:p w14:paraId="54C299BB" w14:textId="77777777" w:rsidR="00BB2000" w:rsidRPr="00AB375F" w:rsidRDefault="00BB2000" w:rsidP="00BB2000">
      <w:pPr>
        <w:pStyle w:val="ListParagraph"/>
        <w:numPr>
          <w:ilvl w:val="3"/>
          <w:numId w:val="9"/>
        </w:numPr>
        <w:spacing w:after="0" w:line="240" w:lineRule="auto"/>
        <w:ind w:left="1620" w:hanging="180"/>
        <w:rPr>
          <w:rFonts w:eastAsiaTheme="minorEastAsia" w:cstheme="minorEastAsia"/>
          <w:b/>
          <w:bCs/>
          <w:sz w:val="24"/>
          <w:szCs w:val="24"/>
        </w:rPr>
      </w:pPr>
      <w:r w:rsidRPr="00AB375F">
        <w:rPr>
          <w:rFonts w:eastAsiaTheme="minorEastAsia" w:cstheme="minorEastAsia"/>
          <w:b/>
          <w:bCs/>
          <w:sz w:val="24"/>
          <w:szCs w:val="24"/>
        </w:rPr>
        <w:t>Certificate of Confidentiality</w:t>
      </w:r>
    </w:p>
    <w:p w14:paraId="48908AA7" w14:textId="77777777" w:rsidR="00BB2000" w:rsidRPr="00AB375F" w:rsidRDefault="00BB2000" w:rsidP="00BB2000">
      <w:pPr>
        <w:pStyle w:val="ListParagraph"/>
        <w:overflowPunct w:val="0"/>
        <w:autoSpaceDE w:val="0"/>
        <w:autoSpaceDN w:val="0"/>
        <w:adjustRightInd w:val="0"/>
        <w:ind w:left="900" w:firstLine="720"/>
        <w:textAlignment w:val="baseline"/>
        <w:rPr>
          <w:sz w:val="24"/>
          <w:szCs w:val="24"/>
        </w:rPr>
      </w:pPr>
      <w:r w:rsidRPr="00AB375F">
        <w:rPr>
          <w:sz w:val="24"/>
          <w:szCs w:val="24"/>
        </w:rPr>
        <w:t>N/A</w:t>
      </w:r>
    </w:p>
    <w:p w14:paraId="6C23FBD6" w14:textId="77777777" w:rsidR="00BB2000" w:rsidRPr="00AB375F" w:rsidRDefault="00BB2000" w:rsidP="00BB2000">
      <w:pPr>
        <w:pStyle w:val="ListParagraph"/>
        <w:numPr>
          <w:ilvl w:val="3"/>
          <w:numId w:val="9"/>
        </w:numPr>
        <w:spacing w:after="0" w:line="240" w:lineRule="auto"/>
        <w:ind w:left="1710" w:hanging="270"/>
        <w:rPr>
          <w:rFonts w:eastAsiaTheme="minorEastAsia" w:cstheme="minorEastAsia"/>
          <w:b/>
          <w:bCs/>
          <w:sz w:val="24"/>
          <w:szCs w:val="24"/>
        </w:rPr>
      </w:pPr>
      <w:r w:rsidRPr="00AB375F">
        <w:rPr>
          <w:rFonts w:eastAsiaTheme="minorEastAsia" w:cstheme="minorEastAsia"/>
          <w:b/>
          <w:bCs/>
          <w:sz w:val="24"/>
          <w:szCs w:val="24"/>
        </w:rPr>
        <w:t>Potential for Benefit</w:t>
      </w:r>
    </w:p>
    <w:p w14:paraId="3B813269" w14:textId="77777777" w:rsidR="00BB2000" w:rsidRPr="00AB375F" w:rsidRDefault="00BB2000" w:rsidP="004E29D8">
      <w:pPr>
        <w:ind w:left="1620"/>
        <w:rPr>
          <w:sz w:val="24"/>
          <w:szCs w:val="24"/>
        </w:rPr>
      </w:pPr>
      <w:r w:rsidRPr="00AB375F">
        <w:rPr>
          <w:sz w:val="24"/>
          <w:szCs w:val="24"/>
        </w:rPr>
        <w:t xml:space="preserve">No direct benefit to the individual patient.  However, new knowledge may be useful in the future. </w:t>
      </w:r>
    </w:p>
    <w:p w14:paraId="6677AEBF" w14:textId="77777777" w:rsidR="00BB2000" w:rsidRPr="00AB375F" w:rsidRDefault="00BB2000" w:rsidP="00BB2000">
      <w:pPr>
        <w:pStyle w:val="ListParagraph"/>
        <w:numPr>
          <w:ilvl w:val="3"/>
          <w:numId w:val="9"/>
        </w:numPr>
        <w:spacing w:after="0" w:line="240" w:lineRule="auto"/>
        <w:ind w:left="1620" w:hanging="180"/>
        <w:rPr>
          <w:rFonts w:eastAsiaTheme="minorEastAsia" w:cstheme="minorEastAsia"/>
          <w:b/>
          <w:bCs/>
          <w:sz w:val="24"/>
          <w:szCs w:val="24"/>
        </w:rPr>
      </w:pPr>
      <w:r w:rsidRPr="00AB375F">
        <w:rPr>
          <w:rFonts w:eastAsiaTheme="minorEastAsia" w:cstheme="minorEastAsia"/>
          <w:b/>
          <w:bCs/>
          <w:sz w:val="24"/>
          <w:szCs w:val="24"/>
        </w:rPr>
        <w:t>Provisions to Protect the Privacy Interests of Subjects</w:t>
      </w:r>
    </w:p>
    <w:p w14:paraId="1877D5F7" w14:textId="77777777" w:rsidR="00BB2000" w:rsidRDefault="00BB2000" w:rsidP="00BB2000">
      <w:pPr>
        <w:spacing w:after="0" w:line="240" w:lineRule="auto"/>
        <w:ind w:left="1620"/>
        <w:rPr>
          <w:sz w:val="24"/>
          <w:szCs w:val="24"/>
        </w:rPr>
      </w:pPr>
      <w:bookmarkStart w:id="92" w:name="Special_Considerations"/>
      <w:r w:rsidRPr="00AB375F">
        <w:rPr>
          <w:sz w:val="24"/>
          <w:szCs w:val="24"/>
        </w:rPr>
        <w:t xml:space="preserve">The access to the dataset is limited to the investigators approved by the IRB, using institution computers with password protection.  </w:t>
      </w:r>
    </w:p>
    <w:p w14:paraId="5D0247C7" w14:textId="77777777" w:rsidR="00A65D98" w:rsidRDefault="00A65D98" w:rsidP="00A65D98">
      <w:pPr>
        <w:spacing w:after="0" w:line="240" w:lineRule="auto"/>
        <w:rPr>
          <w:rFonts w:ascii="Arial" w:eastAsiaTheme="minorEastAsia" w:hAnsi="Arial" w:cs="Arial"/>
          <w:b/>
          <w:bCs/>
          <w:sz w:val="24"/>
          <w:szCs w:val="24"/>
        </w:rPr>
      </w:pPr>
    </w:p>
    <w:p w14:paraId="0F18777F" w14:textId="77777777" w:rsidR="00A65D98" w:rsidRPr="00214B39" w:rsidRDefault="00A65D98" w:rsidP="00A65D98">
      <w:pPr>
        <w:spacing w:after="0" w:line="240" w:lineRule="auto"/>
        <w:rPr>
          <w:rFonts w:ascii="Arial" w:eastAsiaTheme="minorEastAsia" w:hAnsi="Arial" w:cs="Arial"/>
          <w:b/>
          <w:bCs/>
          <w:sz w:val="24"/>
          <w:szCs w:val="24"/>
        </w:rPr>
      </w:pPr>
      <w:r>
        <w:rPr>
          <w:rFonts w:ascii="Arial" w:eastAsiaTheme="minorEastAsia" w:hAnsi="Arial" w:cs="Arial"/>
          <w:b/>
          <w:bCs/>
          <w:sz w:val="24"/>
          <w:szCs w:val="24"/>
        </w:rPr>
        <w:t xml:space="preserve">6.2 </w:t>
      </w:r>
      <w:r w:rsidRPr="00214B39">
        <w:rPr>
          <w:rFonts w:ascii="Arial" w:eastAsiaTheme="minorEastAsia" w:hAnsi="Arial" w:cs="Arial"/>
          <w:b/>
          <w:bCs/>
          <w:sz w:val="24"/>
          <w:szCs w:val="24"/>
        </w:rPr>
        <w:t xml:space="preserve">Secondary Use of the Data   </w:t>
      </w:r>
    </w:p>
    <w:p w14:paraId="38ACECB9" w14:textId="77777777" w:rsidR="00A65D98" w:rsidRPr="00022541" w:rsidRDefault="00A65D98" w:rsidP="00A65D98">
      <w:pPr>
        <w:rPr>
          <w:sz w:val="24"/>
          <w:szCs w:val="24"/>
        </w:rPr>
      </w:pPr>
      <w:r w:rsidRPr="00022541">
        <w:rPr>
          <w:sz w:val="24"/>
          <w:szCs w:val="24"/>
        </w:rPr>
        <w:t>There are no plans to share the data with other researchers (with or without identifiers) for secondary research.</w:t>
      </w:r>
    </w:p>
    <w:p w14:paraId="7F0F756B" w14:textId="77777777" w:rsidR="00A65D98" w:rsidRPr="00AB375F" w:rsidRDefault="00A65D98" w:rsidP="00A65D98">
      <w:pPr>
        <w:spacing w:after="0" w:line="240" w:lineRule="auto"/>
        <w:rPr>
          <w:rFonts w:eastAsiaTheme="minorEastAsia" w:cstheme="minorEastAsia"/>
          <w:b/>
          <w:bCs/>
          <w:sz w:val="24"/>
          <w:szCs w:val="24"/>
        </w:rPr>
      </w:pPr>
    </w:p>
    <w:p w14:paraId="485832E1" w14:textId="77777777" w:rsidR="00BB2000" w:rsidRPr="00AB375F" w:rsidRDefault="00BB2000" w:rsidP="00BB2000">
      <w:pPr>
        <w:shd w:val="clear" w:color="auto" w:fill="9CC2E5" w:themeFill="accent1" w:themeFillTint="99"/>
        <w:spacing w:after="0" w:line="240" w:lineRule="auto"/>
        <w:rPr>
          <w:rFonts w:eastAsiaTheme="minorEastAsia" w:cstheme="minorEastAsia"/>
          <w:b/>
          <w:bCs/>
          <w:sz w:val="24"/>
          <w:szCs w:val="24"/>
        </w:rPr>
      </w:pPr>
      <w:r w:rsidRPr="00AB375F">
        <w:rPr>
          <w:rFonts w:eastAsiaTheme="minorEastAsia" w:cstheme="minorEastAsia"/>
          <w:b/>
          <w:bCs/>
          <w:sz w:val="24"/>
          <w:szCs w:val="24"/>
        </w:rPr>
        <w:t>7.0 Special Considerations</w:t>
      </w:r>
    </w:p>
    <w:p w14:paraId="7AA4CCE2" w14:textId="77777777" w:rsidR="00BB2000" w:rsidRPr="00AB375F" w:rsidRDefault="00BB2000" w:rsidP="00BB2000">
      <w:pPr>
        <w:spacing w:after="0" w:line="240" w:lineRule="auto"/>
        <w:rPr>
          <w:rFonts w:eastAsiaTheme="minorEastAsia" w:cstheme="minorEastAsia"/>
          <w:b/>
          <w:bCs/>
          <w:sz w:val="24"/>
          <w:szCs w:val="24"/>
        </w:rPr>
      </w:pPr>
      <w:bookmarkStart w:id="93" w:name="HIPAA"/>
      <w:bookmarkEnd w:id="92"/>
    </w:p>
    <w:p w14:paraId="1F54F091" w14:textId="77777777" w:rsidR="00BB2000" w:rsidRPr="00AB375F" w:rsidRDefault="00BB2000" w:rsidP="00BB2000">
      <w:pPr>
        <w:spacing w:after="0" w:line="240" w:lineRule="auto"/>
        <w:rPr>
          <w:rFonts w:eastAsiaTheme="minorEastAsia" w:cstheme="minorEastAsia"/>
          <w:b/>
          <w:bCs/>
          <w:sz w:val="24"/>
          <w:szCs w:val="24"/>
        </w:rPr>
      </w:pPr>
      <w:r w:rsidRPr="00AB375F">
        <w:rPr>
          <w:rFonts w:eastAsiaTheme="minorEastAsia" w:cstheme="minorEastAsia"/>
          <w:b/>
          <w:bCs/>
          <w:sz w:val="24"/>
          <w:szCs w:val="24"/>
        </w:rPr>
        <w:t>7.1 Health Insurance Portability and Accountability Act (HIPAA)</w:t>
      </w:r>
    </w:p>
    <w:bookmarkEnd w:id="93"/>
    <w:p w14:paraId="189DA4E6" w14:textId="186B4FB5" w:rsidR="00BB2000" w:rsidRPr="00AB375F" w:rsidRDefault="00A1467E" w:rsidP="00BB2000">
      <w:pPr>
        <w:spacing w:after="0" w:line="240" w:lineRule="auto"/>
        <w:rPr>
          <w:rFonts w:eastAsiaTheme="minorEastAsia" w:cstheme="minorEastAsia"/>
          <w:i/>
          <w:iCs/>
          <w:color w:val="0070C0"/>
          <w:sz w:val="24"/>
          <w:szCs w:val="24"/>
        </w:rPr>
      </w:pPr>
      <w:r>
        <w:rPr>
          <w:rFonts w:eastAsiaTheme="minorEastAsia" w:cstheme="minorEastAsia"/>
          <w:i/>
          <w:iCs/>
          <w:color w:val="0070C0"/>
          <w:sz w:val="24"/>
          <w:szCs w:val="24"/>
        </w:rPr>
        <w:t xml:space="preserve"> </w:t>
      </w:r>
      <w:r w:rsidRPr="002E6131">
        <w:rPr>
          <w:sz w:val="24"/>
          <w:szCs w:val="24"/>
        </w:rPr>
        <w:t xml:space="preserve"> </w:t>
      </w:r>
      <w:r w:rsidR="002E6131">
        <w:rPr>
          <w:sz w:val="24"/>
          <w:szCs w:val="24"/>
        </w:rPr>
        <w:tab/>
      </w:r>
      <w:r w:rsidRPr="002E6131">
        <w:rPr>
          <w:sz w:val="24"/>
          <w:szCs w:val="24"/>
        </w:rPr>
        <w:t>We will not be disclosing individually identifiable health information.</w:t>
      </w:r>
    </w:p>
    <w:p w14:paraId="67DD858E" w14:textId="77777777" w:rsidR="002E6131" w:rsidRDefault="002E6131" w:rsidP="00BB2000">
      <w:pPr>
        <w:spacing w:after="0" w:line="240" w:lineRule="auto"/>
        <w:ind w:firstLine="720"/>
        <w:rPr>
          <w:rFonts w:eastAsiaTheme="minorEastAsia" w:cstheme="minorEastAsia"/>
          <w:b/>
          <w:bCs/>
          <w:sz w:val="24"/>
          <w:szCs w:val="24"/>
        </w:rPr>
      </w:pPr>
    </w:p>
    <w:p w14:paraId="72CBC433" w14:textId="77777777" w:rsidR="00BB2000" w:rsidRPr="00AB375F" w:rsidRDefault="00BB2000" w:rsidP="00BB2000">
      <w:pPr>
        <w:spacing w:after="0" w:line="240" w:lineRule="auto"/>
        <w:ind w:firstLine="720"/>
        <w:rPr>
          <w:rFonts w:eastAsiaTheme="minorEastAsia" w:cstheme="minorEastAsia"/>
          <w:b/>
          <w:bCs/>
          <w:sz w:val="24"/>
          <w:szCs w:val="24"/>
        </w:rPr>
      </w:pPr>
      <w:r w:rsidRPr="00AB375F">
        <w:rPr>
          <w:rFonts w:eastAsiaTheme="minorEastAsia" w:cstheme="minorEastAsia"/>
          <w:b/>
          <w:bCs/>
          <w:sz w:val="24"/>
          <w:szCs w:val="24"/>
        </w:rPr>
        <w:t>A. Waiver or Alteration of HIPAA Authorization</w:t>
      </w:r>
    </w:p>
    <w:p w14:paraId="0E32BEA8" w14:textId="237FCD1D" w:rsidR="00BB2000" w:rsidRPr="00AB375F" w:rsidRDefault="00BB2000" w:rsidP="00BB2000">
      <w:pPr>
        <w:spacing w:after="0" w:line="240" w:lineRule="auto"/>
        <w:ind w:left="1440"/>
        <w:rPr>
          <w:rFonts w:eastAsiaTheme="minorEastAsia" w:cstheme="minorEastAsia"/>
          <w:i/>
          <w:iCs/>
          <w:color w:val="0070C0"/>
          <w:sz w:val="24"/>
          <w:szCs w:val="24"/>
        </w:rPr>
      </w:pPr>
      <w:r w:rsidRPr="00AB375F">
        <w:rPr>
          <w:sz w:val="24"/>
          <w:szCs w:val="24"/>
        </w:rPr>
        <w:t xml:space="preserve">Waiver of HIPAA has been requested. </w:t>
      </w:r>
      <w:r w:rsidR="00AD3C90">
        <w:rPr>
          <w:sz w:val="24"/>
          <w:szCs w:val="24"/>
        </w:rPr>
        <w:t xml:space="preserve">We would not be able to do this study without a HIPAA waiver.  </w:t>
      </w:r>
      <w:r w:rsidRPr="00AB375F">
        <w:rPr>
          <w:sz w:val="24"/>
          <w:szCs w:val="24"/>
        </w:rPr>
        <w:t xml:space="preserve"> This is a minimal risk study that could not be done without </w:t>
      </w:r>
      <w:r w:rsidR="00AD3C90">
        <w:rPr>
          <w:sz w:val="24"/>
          <w:szCs w:val="24"/>
        </w:rPr>
        <w:t>the waiver</w:t>
      </w:r>
      <w:r w:rsidRPr="00AB375F">
        <w:rPr>
          <w:sz w:val="24"/>
          <w:szCs w:val="24"/>
        </w:rPr>
        <w:t>.</w:t>
      </w:r>
      <w:r w:rsidR="00A1467E">
        <w:rPr>
          <w:sz w:val="24"/>
          <w:szCs w:val="24"/>
        </w:rPr>
        <w:t xml:space="preserve">  We are not using anything that is not minimally required data to conduct the study and the identifiers will be destroyed at the completion of the data collection.</w:t>
      </w:r>
    </w:p>
    <w:p w14:paraId="4BC8FCAF" w14:textId="77777777" w:rsidR="00BB2000" w:rsidRPr="00AB375F" w:rsidRDefault="00BB2000" w:rsidP="00BB2000">
      <w:pPr>
        <w:spacing w:after="0" w:line="240" w:lineRule="auto"/>
        <w:rPr>
          <w:rFonts w:eastAsiaTheme="minorEastAsia" w:cstheme="minorEastAsia"/>
          <w:i/>
          <w:iCs/>
          <w:color w:val="0070C0"/>
          <w:sz w:val="24"/>
          <w:szCs w:val="24"/>
        </w:rPr>
      </w:pPr>
    </w:p>
    <w:p w14:paraId="7892B49D" w14:textId="77777777" w:rsidR="00BB2000" w:rsidRPr="00AB375F" w:rsidRDefault="00BB2000" w:rsidP="00BB2000">
      <w:pPr>
        <w:spacing w:after="0" w:line="240" w:lineRule="auto"/>
        <w:rPr>
          <w:rFonts w:eastAsiaTheme="minorEastAsia" w:cstheme="minorEastAsia"/>
          <w:b/>
          <w:bCs/>
          <w:sz w:val="24"/>
          <w:szCs w:val="24"/>
        </w:rPr>
      </w:pPr>
      <w:bookmarkStart w:id="94" w:name="FERPA"/>
      <w:r w:rsidRPr="00AB375F">
        <w:rPr>
          <w:rFonts w:eastAsiaTheme="minorEastAsia" w:cstheme="minorEastAsia"/>
          <w:b/>
          <w:bCs/>
          <w:sz w:val="24"/>
          <w:szCs w:val="24"/>
        </w:rPr>
        <w:t>7.2 Family Educational Rights and Privacy Act (FERPA)</w:t>
      </w:r>
      <w:bookmarkEnd w:id="94"/>
    </w:p>
    <w:p w14:paraId="2F27F295" w14:textId="77777777" w:rsidR="00BB2000" w:rsidRPr="00AB375F" w:rsidRDefault="00BB2000" w:rsidP="00BB2000">
      <w:pPr>
        <w:spacing w:after="0" w:line="240" w:lineRule="auto"/>
        <w:rPr>
          <w:rFonts w:eastAsiaTheme="minorEastAsia" w:cstheme="minorEastAsia"/>
          <w:i/>
          <w:iCs/>
          <w:color w:val="FF0000"/>
          <w:sz w:val="24"/>
          <w:szCs w:val="24"/>
        </w:rPr>
      </w:pPr>
      <w:r w:rsidRPr="00AB375F">
        <w:rPr>
          <w:rFonts w:eastAsiaTheme="minorEastAsia" w:cstheme="minorEastAsia"/>
          <w:i/>
          <w:iCs/>
          <w:color w:val="FF0000"/>
          <w:sz w:val="24"/>
          <w:szCs w:val="24"/>
        </w:rPr>
        <w:lastRenderedPageBreak/>
        <w:tab/>
      </w:r>
      <w:r w:rsidRPr="00AB375F">
        <w:rPr>
          <w:rFonts w:eastAsiaTheme="minorEastAsia" w:cstheme="minorEastAsia"/>
          <w:i/>
          <w:iCs/>
          <w:color w:val="FF0000"/>
          <w:sz w:val="24"/>
          <w:szCs w:val="24"/>
        </w:rPr>
        <w:tab/>
      </w:r>
      <w:r w:rsidRPr="00AB375F">
        <w:rPr>
          <w:sz w:val="24"/>
          <w:szCs w:val="24"/>
        </w:rPr>
        <w:t>N/A</w:t>
      </w:r>
      <w:r w:rsidRPr="00AB375F">
        <w:rPr>
          <w:rFonts w:eastAsiaTheme="minorEastAsia" w:cstheme="minorEastAsia"/>
          <w:i/>
          <w:iCs/>
          <w:color w:val="0070C0"/>
          <w:sz w:val="24"/>
          <w:szCs w:val="24"/>
        </w:rPr>
        <w:t xml:space="preserve"> </w:t>
      </w:r>
    </w:p>
    <w:p w14:paraId="1DF86C3D" w14:textId="77777777" w:rsidR="002318C4" w:rsidRPr="00AB375F" w:rsidRDefault="002318C4" w:rsidP="002318C4">
      <w:pPr>
        <w:spacing w:after="0" w:line="240" w:lineRule="auto"/>
        <w:rPr>
          <w:rFonts w:eastAsiaTheme="minorEastAsia" w:cstheme="minorEastAsia"/>
          <w:b/>
          <w:bCs/>
          <w:sz w:val="24"/>
          <w:szCs w:val="24"/>
        </w:rPr>
      </w:pPr>
    </w:p>
    <w:p w14:paraId="63202F07" w14:textId="7009B3CE" w:rsidR="000E3698" w:rsidRPr="00AB375F" w:rsidRDefault="00D63809" w:rsidP="002318C4">
      <w:pPr>
        <w:shd w:val="clear" w:color="auto" w:fill="9CC2E5" w:themeFill="accent1" w:themeFillTint="99"/>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8.0 </w:t>
      </w:r>
      <w:r w:rsidR="25DF176C" w:rsidRPr="00AB375F">
        <w:rPr>
          <w:rFonts w:eastAsiaTheme="minorEastAsia" w:cstheme="minorEastAsia"/>
          <w:b/>
          <w:bCs/>
          <w:sz w:val="24"/>
          <w:szCs w:val="24"/>
        </w:rPr>
        <w:t>Research Data</w:t>
      </w:r>
      <w:r w:rsidR="009D1071" w:rsidRPr="00AB375F">
        <w:rPr>
          <w:rFonts w:eastAsiaTheme="minorEastAsia" w:cstheme="minorEastAsia"/>
          <w:b/>
          <w:bCs/>
          <w:sz w:val="24"/>
          <w:szCs w:val="24"/>
        </w:rPr>
        <w:t xml:space="preserve"> Protection and Reporting</w:t>
      </w:r>
    </w:p>
    <w:p w14:paraId="685357CA" w14:textId="77777777" w:rsidR="00F02E8E" w:rsidRPr="00AB375F" w:rsidRDefault="00F02E8E" w:rsidP="00F02E8E">
      <w:pPr>
        <w:spacing w:after="0" w:line="240" w:lineRule="auto"/>
        <w:rPr>
          <w:rFonts w:eastAsiaTheme="minorEastAsia" w:cstheme="minorEastAsia"/>
          <w:b/>
          <w:bCs/>
          <w:sz w:val="24"/>
          <w:szCs w:val="24"/>
        </w:rPr>
      </w:pPr>
      <w:bookmarkStart w:id="95" w:name="Data_Management"/>
      <w:bookmarkEnd w:id="91"/>
    </w:p>
    <w:p w14:paraId="3024A99E" w14:textId="605BCB01" w:rsidR="000C5EB1" w:rsidRPr="00AB375F" w:rsidRDefault="00F02E8E" w:rsidP="00F02E8E">
      <w:pPr>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8.1 </w:t>
      </w:r>
      <w:r w:rsidR="000C60A5" w:rsidRPr="00AB375F">
        <w:rPr>
          <w:rFonts w:eastAsiaTheme="minorEastAsia" w:cstheme="minorEastAsia"/>
          <w:b/>
          <w:bCs/>
          <w:sz w:val="24"/>
          <w:szCs w:val="24"/>
        </w:rPr>
        <w:t>Data Management</w:t>
      </w:r>
    </w:p>
    <w:p w14:paraId="7223D4E8" w14:textId="1A47F3C8" w:rsidR="00BC332D" w:rsidRDefault="00BC332D" w:rsidP="00657CBE">
      <w:pPr>
        <w:pStyle w:val="Level1Text"/>
        <w:spacing w:before="0" w:after="0"/>
        <w:ind w:left="360"/>
        <w:jc w:val="left"/>
        <w:rPr>
          <w:rFonts w:asciiTheme="minorHAnsi" w:hAnsiTheme="minorHAnsi"/>
          <w:szCs w:val="24"/>
        </w:rPr>
      </w:pPr>
      <w:bookmarkStart w:id="96" w:name="Data_Security"/>
      <w:bookmarkEnd w:id="95"/>
      <w:r>
        <w:rPr>
          <w:rFonts w:asciiTheme="minorHAnsi" w:hAnsiTheme="minorHAnsi" w:cs="Arial"/>
          <w:szCs w:val="24"/>
        </w:rPr>
        <w:t xml:space="preserve">The Honest Broker is responsible for receiving the data.  Identifiers (dates) are needed in order to calculate the outcomes </w:t>
      </w:r>
      <w:r>
        <w:rPr>
          <w:rFonts w:asciiTheme="minorHAnsi" w:hAnsiTheme="minorHAnsi"/>
          <w:szCs w:val="24"/>
        </w:rPr>
        <w:t>time to readmission, cardiovascular death and all-cause death.</w:t>
      </w:r>
    </w:p>
    <w:p w14:paraId="6A7C2BAC" w14:textId="77777777" w:rsidR="008C594B" w:rsidRDefault="008C594B" w:rsidP="00657CBE">
      <w:pPr>
        <w:pStyle w:val="Level1Text"/>
        <w:spacing w:before="0" w:after="0"/>
        <w:ind w:left="360"/>
        <w:jc w:val="left"/>
        <w:rPr>
          <w:rFonts w:asciiTheme="minorHAnsi" w:hAnsiTheme="minorHAnsi"/>
          <w:szCs w:val="24"/>
        </w:rPr>
      </w:pPr>
    </w:p>
    <w:p w14:paraId="0E249DF8" w14:textId="1E1FAC3D" w:rsidR="00AD3C90" w:rsidRDefault="00657CBE" w:rsidP="00657CBE">
      <w:pPr>
        <w:pStyle w:val="Level1Text"/>
        <w:spacing w:before="0" w:after="0"/>
        <w:ind w:left="360"/>
        <w:jc w:val="left"/>
        <w:rPr>
          <w:rFonts w:asciiTheme="minorHAnsi" w:hAnsiTheme="minorHAnsi"/>
          <w:szCs w:val="24"/>
        </w:rPr>
      </w:pPr>
      <w:r w:rsidRPr="00AB375F">
        <w:rPr>
          <w:rFonts w:asciiTheme="minorHAnsi" w:hAnsiTheme="minorHAnsi"/>
          <w:szCs w:val="24"/>
        </w:rPr>
        <w:t xml:space="preserve">Analyses will be done using “R” and SAS® (SAS Corporation, Cary, NC, USA) software.  Differences between groups will be examined by univariate and multivariate analyses. The hypothesis will be tested by analyzing rates of events throughout the State by multiple logistic regression adjusting for demographics and comorbidities.  Subsequent events will be studied by Kaplan-Meier plots and Cox regression.  Risk adjustment will be used to identify matched pairs and adjust for inequalities in severity where appropriate.  Data for the </w:t>
      </w:r>
      <w:r w:rsidR="00A8470A">
        <w:rPr>
          <w:rFonts w:asciiTheme="minorHAnsi" w:hAnsiTheme="minorHAnsi"/>
          <w:szCs w:val="24"/>
        </w:rPr>
        <w:t>differences in incidence, rate of interventional procedures, and outcomes (</w:t>
      </w:r>
      <w:r w:rsidR="00253478">
        <w:rPr>
          <w:rFonts w:asciiTheme="minorHAnsi" w:hAnsiTheme="minorHAnsi"/>
          <w:szCs w:val="24"/>
        </w:rPr>
        <w:t>including readmission</w:t>
      </w:r>
      <w:r w:rsidR="00BC332D">
        <w:rPr>
          <w:rFonts w:asciiTheme="minorHAnsi" w:hAnsiTheme="minorHAnsi"/>
          <w:szCs w:val="24"/>
        </w:rPr>
        <w:t xml:space="preserve"> and time to readmission</w:t>
      </w:r>
      <w:r w:rsidR="00253478">
        <w:rPr>
          <w:rFonts w:asciiTheme="minorHAnsi" w:hAnsiTheme="minorHAnsi"/>
          <w:szCs w:val="24"/>
        </w:rPr>
        <w:t>, cardiovascular death and all-cause death</w:t>
      </w:r>
      <w:r w:rsidR="00253478" w:rsidRPr="00253478">
        <w:rPr>
          <w:rFonts w:asciiTheme="minorHAnsi" w:hAnsiTheme="minorHAnsi"/>
          <w:szCs w:val="24"/>
        </w:rPr>
        <w:t xml:space="preserve"> </w:t>
      </w:r>
      <w:r w:rsidR="00253478">
        <w:rPr>
          <w:rFonts w:asciiTheme="minorHAnsi" w:hAnsiTheme="minorHAnsi"/>
          <w:szCs w:val="24"/>
        </w:rPr>
        <w:t>at</w:t>
      </w:r>
      <w:r w:rsidR="00253478" w:rsidRPr="00AB375F">
        <w:rPr>
          <w:rFonts w:asciiTheme="minorHAnsi" w:hAnsiTheme="minorHAnsi"/>
          <w:szCs w:val="24"/>
        </w:rPr>
        <w:t xml:space="preserve"> 30 day</w:t>
      </w:r>
      <w:r w:rsidR="00253478">
        <w:rPr>
          <w:rFonts w:asciiTheme="minorHAnsi" w:hAnsiTheme="minorHAnsi"/>
          <w:szCs w:val="24"/>
        </w:rPr>
        <w:t>s</w:t>
      </w:r>
      <w:r w:rsidR="00253478" w:rsidRPr="00AB375F">
        <w:rPr>
          <w:rFonts w:asciiTheme="minorHAnsi" w:hAnsiTheme="minorHAnsi"/>
          <w:szCs w:val="24"/>
        </w:rPr>
        <w:t xml:space="preserve"> </w:t>
      </w:r>
      <w:r w:rsidR="00253478">
        <w:rPr>
          <w:rFonts w:asciiTheme="minorHAnsi" w:hAnsiTheme="minorHAnsi"/>
          <w:szCs w:val="24"/>
        </w:rPr>
        <w:t>and on</w:t>
      </w:r>
      <w:r w:rsidR="00CA5FAA">
        <w:rPr>
          <w:rFonts w:asciiTheme="minorHAnsi" w:hAnsiTheme="minorHAnsi"/>
          <w:szCs w:val="24"/>
        </w:rPr>
        <w:t>e</w:t>
      </w:r>
      <w:r w:rsidR="00253478">
        <w:rPr>
          <w:rFonts w:asciiTheme="minorHAnsi" w:hAnsiTheme="minorHAnsi"/>
          <w:szCs w:val="24"/>
        </w:rPr>
        <w:t>-year) will be estimated across racial/ethnicity groups</w:t>
      </w:r>
      <w:r w:rsidR="00CA5FAA">
        <w:rPr>
          <w:rFonts w:asciiTheme="minorHAnsi" w:hAnsiTheme="minorHAnsi"/>
          <w:szCs w:val="24"/>
        </w:rPr>
        <w:t>, u</w:t>
      </w:r>
      <w:r w:rsidRPr="00AB375F">
        <w:rPr>
          <w:rFonts w:asciiTheme="minorHAnsi" w:hAnsiTheme="minorHAnsi"/>
          <w:szCs w:val="24"/>
        </w:rPr>
        <w:t xml:space="preserve">sing Poisson regression with </w:t>
      </w:r>
      <w:r w:rsidR="002D42E3">
        <w:rPr>
          <w:rFonts w:asciiTheme="minorHAnsi" w:hAnsiTheme="minorHAnsi"/>
          <w:szCs w:val="24"/>
        </w:rPr>
        <w:t xml:space="preserve">the GENMOD procedure in SAS.  </w:t>
      </w:r>
      <w:r w:rsidR="00AD3C90">
        <w:rPr>
          <w:rFonts w:asciiTheme="minorHAnsi" w:hAnsiTheme="minorHAnsi"/>
          <w:szCs w:val="24"/>
        </w:rPr>
        <w:t xml:space="preserve">MIDAS has been validated in the past for accuracy of the data.  </w:t>
      </w:r>
    </w:p>
    <w:p w14:paraId="3C9FD4F8" w14:textId="77777777" w:rsidR="00640541" w:rsidRDefault="00640541" w:rsidP="00657CBE">
      <w:pPr>
        <w:pStyle w:val="Level1Text"/>
        <w:spacing w:before="0" w:after="0"/>
        <w:ind w:left="360"/>
        <w:jc w:val="left"/>
        <w:rPr>
          <w:rFonts w:asciiTheme="minorHAnsi" w:hAnsiTheme="minorHAnsi"/>
          <w:szCs w:val="24"/>
        </w:rPr>
      </w:pPr>
    </w:p>
    <w:p w14:paraId="41CE0EC9" w14:textId="030BEDD7" w:rsidR="00CF207A" w:rsidRPr="00CF207A" w:rsidRDefault="00640541" w:rsidP="00CF207A">
      <w:pPr>
        <w:ind w:left="360"/>
        <w:rPr>
          <w:rFonts w:eastAsia="Times New Roman" w:cs="Times New Roman"/>
          <w:sz w:val="24"/>
          <w:szCs w:val="24"/>
        </w:rPr>
      </w:pPr>
      <w:r w:rsidRPr="00CF207A">
        <w:rPr>
          <w:rFonts w:eastAsia="Times New Roman" w:cs="Times New Roman"/>
          <w:sz w:val="24"/>
          <w:szCs w:val="24"/>
        </w:rPr>
        <w:t xml:space="preserve">The data will be stored in computers in the offices of the MIDAS personnel in New Brunswick at the Cardiovascular Institute Located at 125 Paterson Street, Suite 4180, New Brunswick, NJ 08901.  </w:t>
      </w:r>
      <w:r w:rsidR="00CF207A" w:rsidRPr="00CF207A">
        <w:rPr>
          <w:rFonts w:eastAsia="Times New Roman" w:cs="Times New Roman"/>
          <w:sz w:val="24"/>
          <w:szCs w:val="24"/>
        </w:rPr>
        <w:t>The links will be destroyed once the data set is established and verified.  The dataset will be destroyed once the data analyses are completed.</w:t>
      </w:r>
    </w:p>
    <w:p w14:paraId="5ABA1006" w14:textId="191A1CF3" w:rsidR="00640541" w:rsidRDefault="00CF207A" w:rsidP="00CF207A">
      <w:pPr>
        <w:pStyle w:val="Level1Text"/>
        <w:spacing w:before="0" w:after="0"/>
        <w:ind w:left="360"/>
        <w:jc w:val="left"/>
        <w:rPr>
          <w:rFonts w:asciiTheme="minorHAnsi" w:hAnsiTheme="minorHAnsi" w:cs="Arial"/>
          <w:szCs w:val="24"/>
        </w:rPr>
      </w:pPr>
      <w:r>
        <w:rPr>
          <w:rFonts w:asciiTheme="minorHAnsi" w:hAnsiTheme="minorHAnsi" w:cs="Arial"/>
          <w:szCs w:val="24"/>
        </w:rPr>
        <w:t xml:space="preserve"> </w:t>
      </w:r>
      <w:r w:rsidR="00640541">
        <w:rPr>
          <w:rFonts w:asciiTheme="minorHAnsi" w:hAnsiTheme="minorHAnsi" w:cs="Arial"/>
          <w:szCs w:val="24"/>
        </w:rPr>
        <w:t xml:space="preserve">Only IRB approved personnel will have access to the limited dataset for this study that is on a password protected computer that is in a locked room with access limited to holders of ID cards who are authorized to access the data. </w:t>
      </w:r>
    </w:p>
    <w:p w14:paraId="12F9FA96" w14:textId="77777777" w:rsidR="005F57F1" w:rsidRDefault="005F57F1" w:rsidP="00657CBE">
      <w:pPr>
        <w:pStyle w:val="Level1Text"/>
        <w:spacing w:before="0" w:after="0"/>
        <w:ind w:left="360"/>
        <w:jc w:val="left"/>
        <w:rPr>
          <w:rFonts w:asciiTheme="minorHAnsi" w:hAnsiTheme="minorHAnsi" w:cs="Arial"/>
          <w:szCs w:val="24"/>
        </w:rPr>
      </w:pPr>
    </w:p>
    <w:p w14:paraId="23201A0E" w14:textId="7883661F" w:rsidR="00A51361" w:rsidRPr="00AB375F" w:rsidRDefault="00F02E8E" w:rsidP="00F02E8E">
      <w:pPr>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8.2 </w:t>
      </w:r>
      <w:r w:rsidR="00A51361" w:rsidRPr="00AB375F">
        <w:rPr>
          <w:rFonts w:eastAsiaTheme="minorEastAsia" w:cstheme="minorEastAsia"/>
          <w:b/>
          <w:bCs/>
          <w:sz w:val="24"/>
          <w:szCs w:val="24"/>
        </w:rPr>
        <w:t>Data Security</w:t>
      </w:r>
    </w:p>
    <w:bookmarkEnd w:id="96"/>
    <w:p w14:paraId="6EA9F94E" w14:textId="78ECA1C8" w:rsidR="00657CBE" w:rsidRPr="00AB375F" w:rsidRDefault="00657CBE" w:rsidP="00657CBE">
      <w:pPr>
        <w:pStyle w:val="NoSpacing"/>
        <w:rPr>
          <w:rFonts w:asciiTheme="minorHAnsi" w:hAnsiTheme="minorHAnsi" w:cs="Arial"/>
          <w:szCs w:val="24"/>
        </w:rPr>
      </w:pPr>
      <w:r w:rsidRPr="00AB375F">
        <w:rPr>
          <w:rFonts w:asciiTheme="minorHAnsi" w:hAnsiTheme="minorHAnsi"/>
          <w:szCs w:val="24"/>
        </w:rPr>
        <w:t xml:space="preserve">The MIDAS DR </w:t>
      </w:r>
      <w:r w:rsidRPr="00AB375F">
        <w:rPr>
          <w:rFonts w:asciiTheme="minorHAnsi" w:hAnsiTheme="minorHAnsi" w:cs="Arial"/>
          <w:szCs w:val="24"/>
        </w:rPr>
        <w:t>data reside in computer files on the Rutgers RWJA HP computer in Piscataway. The offices of the MIDAS personnel are in New Brunswick in the Cardiovascular Institute</w:t>
      </w:r>
      <w:r w:rsidR="002F5A9D">
        <w:rPr>
          <w:rFonts w:asciiTheme="minorHAnsi" w:hAnsiTheme="minorHAnsi" w:cs="Arial"/>
          <w:szCs w:val="24"/>
        </w:rPr>
        <w:t xml:space="preserve"> Located at 125 Paterson Street, Suite 4180, New Brunswick, NJ 08901.</w:t>
      </w:r>
      <w:r w:rsidR="002F5A9D" w:rsidRPr="00AB375F">
        <w:rPr>
          <w:rFonts w:asciiTheme="minorHAnsi" w:hAnsiTheme="minorHAnsi" w:cs="Arial"/>
          <w:szCs w:val="24"/>
        </w:rPr>
        <w:t xml:space="preserve"> </w:t>
      </w:r>
    </w:p>
    <w:p w14:paraId="09CE18F4" w14:textId="77777777" w:rsidR="00657CBE" w:rsidRPr="00AB375F" w:rsidRDefault="00657CBE" w:rsidP="00657CBE">
      <w:pPr>
        <w:pStyle w:val="NoSpacing"/>
        <w:rPr>
          <w:rFonts w:asciiTheme="minorHAnsi" w:hAnsiTheme="minorHAnsi"/>
          <w:szCs w:val="24"/>
        </w:rPr>
      </w:pPr>
    </w:p>
    <w:p w14:paraId="11E0A80B" w14:textId="4FA64294" w:rsidR="002B7BC9" w:rsidRPr="00AB375F" w:rsidRDefault="00F02E8E" w:rsidP="00F02E8E">
      <w:pPr>
        <w:spacing w:after="0" w:line="240" w:lineRule="auto"/>
        <w:ind w:left="720"/>
        <w:rPr>
          <w:rFonts w:eastAsiaTheme="minorEastAsia" w:cstheme="minorEastAsia"/>
          <w:b/>
          <w:bCs/>
          <w:sz w:val="24"/>
          <w:szCs w:val="24"/>
        </w:rPr>
      </w:pPr>
      <w:r w:rsidRPr="00AB375F">
        <w:rPr>
          <w:rFonts w:eastAsiaTheme="minorEastAsia" w:cstheme="minorEastAsia"/>
          <w:b/>
          <w:bCs/>
          <w:sz w:val="24"/>
          <w:szCs w:val="24"/>
        </w:rPr>
        <w:t xml:space="preserve">A. </w:t>
      </w:r>
      <w:r w:rsidR="74DA8887" w:rsidRPr="00AB375F">
        <w:rPr>
          <w:rFonts w:eastAsiaTheme="minorEastAsia" w:cstheme="minorEastAsia"/>
          <w:b/>
          <w:bCs/>
          <w:sz w:val="24"/>
          <w:szCs w:val="24"/>
        </w:rPr>
        <w:t>Destruction of Identifiers</w:t>
      </w:r>
    </w:p>
    <w:p w14:paraId="5E10E73D" w14:textId="2F40A0EC" w:rsidR="009164A1" w:rsidRPr="00AB375F" w:rsidRDefault="00B01624" w:rsidP="00F02E8E">
      <w:pPr>
        <w:spacing w:after="0" w:line="240" w:lineRule="auto"/>
        <w:ind w:left="720"/>
        <w:contextualSpacing/>
        <w:jc w:val="both"/>
        <w:rPr>
          <w:rFonts w:eastAsiaTheme="majorBidi" w:cstheme="majorBidi"/>
          <w:iCs/>
          <w:sz w:val="24"/>
          <w:szCs w:val="24"/>
        </w:rPr>
      </w:pPr>
      <w:r>
        <w:rPr>
          <w:rFonts w:eastAsia="Times New Roman" w:cs="Arial"/>
          <w:sz w:val="24"/>
          <w:szCs w:val="24"/>
        </w:rPr>
        <w:t>Dataset, including i</w:t>
      </w:r>
      <w:r w:rsidR="007722BA" w:rsidRPr="00AB375F">
        <w:rPr>
          <w:rFonts w:eastAsia="Times New Roman" w:cs="Arial"/>
          <w:sz w:val="24"/>
          <w:szCs w:val="24"/>
        </w:rPr>
        <w:t>dentifiers</w:t>
      </w:r>
      <w:r>
        <w:rPr>
          <w:rFonts w:eastAsia="Times New Roman" w:cs="Arial"/>
          <w:sz w:val="24"/>
          <w:szCs w:val="24"/>
        </w:rPr>
        <w:t>,</w:t>
      </w:r>
      <w:r w:rsidR="007722BA" w:rsidRPr="00AB375F">
        <w:rPr>
          <w:rFonts w:eastAsia="Times New Roman" w:cs="Arial"/>
          <w:sz w:val="24"/>
          <w:szCs w:val="24"/>
        </w:rPr>
        <w:t xml:space="preserve"> will be destroyed </w:t>
      </w:r>
      <w:r>
        <w:rPr>
          <w:rFonts w:eastAsia="Times New Roman" w:cs="Arial"/>
          <w:sz w:val="24"/>
          <w:szCs w:val="24"/>
        </w:rPr>
        <w:t>at the completion of the study</w:t>
      </w:r>
      <w:r w:rsidR="007722BA" w:rsidRPr="00AB375F">
        <w:rPr>
          <w:rFonts w:eastAsia="Times New Roman" w:cs="Arial"/>
          <w:sz w:val="24"/>
          <w:szCs w:val="24"/>
        </w:rPr>
        <w:t>.</w:t>
      </w:r>
      <w:r w:rsidR="007722BA" w:rsidRPr="00AB375F">
        <w:rPr>
          <w:rFonts w:cs="Arial"/>
          <w:sz w:val="24"/>
          <w:szCs w:val="24"/>
        </w:rPr>
        <w:t xml:space="preserve">  </w:t>
      </w:r>
    </w:p>
    <w:p w14:paraId="29051AA2" w14:textId="77777777" w:rsidR="00F02E8E" w:rsidRPr="00AB375F" w:rsidRDefault="00F02E8E" w:rsidP="00F02E8E">
      <w:pPr>
        <w:spacing w:after="0" w:line="240" w:lineRule="auto"/>
        <w:ind w:left="720"/>
        <w:contextualSpacing/>
        <w:jc w:val="both"/>
        <w:rPr>
          <w:rFonts w:eastAsiaTheme="majorBidi" w:cstheme="majorBidi"/>
          <w:i/>
          <w:iCs/>
          <w:color w:val="0070C0"/>
          <w:sz w:val="24"/>
          <w:szCs w:val="24"/>
        </w:rPr>
      </w:pPr>
    </w:p>
    <w:p w14:paraId="72C12602" w14:textId="63DDF711" w:rsidR="00DD152F" w:rsidRPr="00AB375F" w:rsidRDefault="00F02E8E" w:rsidP="00F02E8E">
      <w:pPr>
        <w:spacing w:after="0" w:line="240" w:lineRule="auto"/>
        <w:rPr>
          <w:rFonts w:eastAsiaTheme="minorEastAsia" w:cstheme="minorEastAsia"/>
          <w:b/>
          <w:bCs/>
          <w:sz w:val="24"/>
          <w:szCs w:val="24"/>
        </w:rPr>
      </w:pPr>
      <w:bookmarkStart w:id="97" w:name="Reporting_Results"/>
      <w:r w:rsidRPr="00AB375F">
        <w:rPr>
          <w:rFonts w:eastAsiaTheme="minorEastAsia" w:cstheme="minorEastAsia"/>
          <w:b/>
          <w:bCs/>
          <w:sz w:val="24"/>
          <w:szCs w:val="24"/>
        </w:rPr>
        <w:t xml:space="preserve">8.3 </w:t>
      </w:r>
      <w:r w:rsidR="25DF176C" w:rsidRPr="00AB375F">
        <w:rPr>
          <w:rFonts w:eastAsiaTheme="minorEastAsia" w:cstheme="minorEastAsia"/>
          <w:b/>
          <w:bCs/>
          <w:sz w:val="24"/>
          <w:szCs w:val="24"/>
        </w:rPr>
        <w:t>Reporting Results</w:t>
      </w:r>
    </w:p>
    <w:bookmarkEnd w:id="97"/>
    <w:p w14:paraId="63549FF7" w14:textId="1ABD9190" w:rsidR="00B5465B" w:rsidRPr="00AB375F" w:rsidRDefault="74DA8887" w:rsidP="00F02E8E">
      <w:pPr>
        <w:pStyle w:val="ListParagraph"/>
        <w:numPr>
          <w:ilvl w:val="2"/>
          <w:numId w:val="10"/>
        </w:numPr>
        <w:spacing w:after="0" w:line="240" w:lineRule="auto"/>
        <w:ind w:left="990" w:hanging="270"/>
        <w:rPr>
          <w:rFonts w:eastAsiaTheme="minorEastAsia" w:cstheme="minorEastAsia"/>
          <w:sz w:val="24"/>
          <w:szCs w:val="24"/>
        </w:rPr>
      </w:pPr>
      <w:r w:rsidRPr="00AB375F">
        <w:rPr>
          <w:rFonts w:eastAsiaTheme="minorEastAsia" w:cstheme="minorEastAsia"/>
          <w:b/>
          <w:bCs/>
          <w:sz w:val="24"/>
          <w:szCs w:val="24"/>
        </w:rPr>
        <w:t>Sharing of Results with Subjects</w:t>
      </w:r>
      <w:r w:rsidRPr="00AB375F">
        <w:rPr>
          <w:rFonts w:eastAsiaTheme="minorEastAsia" w:cstheme="minorEastAsia"/>
          <w:sz w:val="24"/>
          <w:szCs w:val="24"/>
        </w:rPr>
        <w:t xml:space="preserve"> </w:t>
      </w:r>
    </w:p>
    <w:p w14:paraId="794A94CA" w14:textId="36A4DB34" w:rsidR="00B5465B" w:rsidRPr="00AB375F" w:rsidRDefault="00CB0331" w:rsidP="00F02E8E">
      <w:pPr>
        <w:pStyle w:val="ListParagraph"/>
        <w:spacing w:after="0" w:line="240" w:lineRule="auto"/>
        <w:jc w:val="both"/>
        <w:rPr>
          <w:rFonts w:eastAsiaTheme="minorEastAsia" w:cstheme="minorEastAsia"/>
          <w:iCs/>
          <w:sz w:val="24"/>
          <w:szCs w:val="24"/>
        </w:rPr>
      </w:pPr>
      <w:r w:rsidRPr="00AB375F">
        <w:rPr>
          <w:rFonts w:eastAsiaTheme="minorEastAsia" w:cstheme="minorEastAsia"/>
          <w:iCs/>
          <w:sz w:val="24"/>
          <w:szCs w:val="24"/>
        </w:rPr>
        <w:t>N/A</w:t>
      </w:r>
    </w:p>
    <w:p w14:paraId="0FD041F0" w14:textId="2F1AE178" w:rsidR="00B5465B" w:rsidRPr="00AB375F" w:rsidRDefault="74DA8887" w:rsidP="00F02E8E">
      <w:pPr>
        <w:pStyle w:val="ListParagraph"/>
        <w:numPr>
          <w:ilvl w:val="2"/>
          <w:numId w:val="10"/>
        </w:numPr>
        <w:spacing w:after="0" w:line="240" w:lineRule="auto"/>
        <w:ind w:left="990" w:hanging="270"/>
        <w:rPr>
          <w:rFonts w:eastAsiaTheme="minorEastAsia" w:cstheme="minorEastAsia"/>
          <w:b/>
          <w:bCs/>
          <w:sz w:val="24"/>
          <w:szCs w:val="24"/>
        </w:rPr>
      </w:pPr>
      <w:r w:rsidRPr="00AB375F">
        <w:rPr>
          <w:rFonts w:eastAsiaTheme="minorEastAsia" w:cstheme="minorEastAsia"/>
          <w:b/>
          <w:bCs/>
          <w:sz w:val="24"/>
          <w:szCs w:val="24"/>
        </w:rPr>
        <w:t xml:space="preserve">Individual Results </w:t>
      </w:r>
    </w:p>
    <w:p w14:paraId="06D931D4" w14:textId="3095C73C" w:rsidR="002F4461" w:rsidRPr="00AB375F" w:rsidRDefault="009D6821" w:rsidP="00F02E8E">
      <w:pPr>
        <w:pStyle w:val="ListParagraph"/>
        <w:spacing w:after="0" w:line="240" w:lineRule="auto"/>
        <w:jc w:val="both"/>
        <w:rPr>
          <w:rFonts w:eastAsiaTheme="minorEastAsia" w:cstheme="minorEastAsia"/>
          <w:b/>
          <w:bCs/>
          <w:iCs/>
          <w:sz w:val="24"/>
          <w:szCs w:val="24"/>
        </w:rPr>
      </w:pPr>
      <w:r w:rsidRPr="00AB375F">
        <w:rPr>
          <w:rFonts w:eastAsiaTheme="minorEastAsia" w:cstheme="minorEastAsia"/>
          <w:iCs/>
          <w:sz w:val="24"/>
          <w:szCs w:val="24"/>
        </w:rPr>
        <w:t>N/A</w:t>
      </w:r>
    </w:p>
    <w:p w14:paraId="5EEEAC73" w14:textId="2EB1F904" w:rsidR="00B5465B" w:rsidRPr="00AB375F" w:rsidRDefault="74DA8887" w:rsidP="00F02E8E">
      <w:pPr>
        <w:pStyle w:val="ListParagraph"/>
        <w:numPr>
          <w:ilvl w:val="2"/>
          <w:numId w:val="10"/>
        </w:numPr>
        <w:spacing w:after="0" w:line="240" w:lineRule="auto"/>
        <w:ind w:left="990" w:hanging="270"/>
        <w:rPr>
          <w:rFonts w:eastAsiaTheme="minorEastAsia" w:cstheme="minorEastAsia"/>
          <w:b/>
          <w:bCs/>
          <w:sz w:val="24"/>
          <w:szCs w:val="24"/>
        </w:rPr>
      </w:pPr>
      <w:r w:rsidRPr="00AB375F">
        <w:rPr>
          <w:rFonts w:eastAsiaTheme="minorEastAsia" w:cstheme="minorEastAsia"/>
          <w:b/>
          <w:bCs/>
          <w:sz w:val="24"/>
          <w:szCs w:val="24"/>
        </w:rPr>
        <w:t xml:space="preserve">Aggregate Results </w:t>
      </w:r>
    </w:p>
    <w:p w14:paraId="5B1F852B" w14:textId="3CCA06F7" w:rsidR="00DD152F" w:rsidRPr="00AB375F" w:rsidRDefault="009D6821" w:rsidP="00CC47F3">
      <w:pPr>
        <w:pStyle w:val="ListParagraph"/>
        <w:spacing w:after="0" w:line="240" w:lineRule="auto"/>
        <w:jc w:val="both"/>
        <w:rPr>
          <w:rFonts w:eastAsiaTheme="minorEastAsia" w:cstheme="minorEastAsia"/>
          <w:b/>
          <w:bCs/>
          <w:iCs/>
          <w:sz w:val="24"/>
          <w:szCs w:val="24"/>
        </w:rPr>
      </w:pPr>
      <w:r w:rsidRPr="00AB375F">
        <w:rPr>
          <w:rFonts w:eastAsiaTheme="minorEastAsia" w:cstheme="minorEastAsia"/>
          <w:iCs/>
          <w:sz w:val="24"/>
          <w:szCs w:val="24"/>
        </w:rPr>
        <w:lastRenderedPageBreak/>
        <w:t>N/A</w:t>
      </w:r>
    </w:p>
    <w:p w14:paraId="09CC9D33" w14:textId="0AD18314" w:rsidR="00B545B2" w:rsidRPr="00AB375F" w:rsidRDefault="74DA8887" w:rsidP="00F02E8E">
      <w:pPr>
        <w:pStyle w:val="ListParagraph"/>
        <w:numPr>
          <w:ilvl w:val="2"/>
          <w:numId w:val="10"/>
        </w:numPr>
        <w:spacing w:after="0" w:line="240" w:lineRule="auto"/>
        <w:ind w:left="990" w:hanging="270"/>
        <w:rPr>
          <w:rFonts w:eastAsiaTheme="minorEastAsia" w:cstheme="minorEastAsia"/>
          <w:b/>
          <w:bCs/>
          <w:sz w:val="24"/>
          <w:szCs w:val="24"/>
        </w:rPr>
      </w:pPr>
      <w:r w:rsidRPr="00AB375F">
        <w:rPr>
          <w:rFonts w:eastAsiaTheme="minorEastAsia" w:cstheme="minorEastAsia"/>
          <w:b/>
          <w:bCs/>
          <w:sz w:val="24"/>
          <w:szCs w:val="24"/>
        </w:rPr>
        <w:t>Professional Reporting</w:t>
      </w:r>
    </w:p>
    <w:p w14:paraId="3EEDD60F" w14:textId="77777777" w:rsidR="00B57A13" w:rsidRPr="00AB375F" w:rsidRDefault="00B57A13" w:rsidP="00B57A13">
      <w:pPr>
        <w:pStyle w:val="ListParagraph"/>
        <w:rPr>
          <w:sz w:val="24"/>
          <w:szCs w:val="24"/>
        </w:rPr>
      </w:pPr>
      <w:bookmarkStart w:id="98" w:name="Other_Approvals"/>
      <w:r w:rsidRPr="00AB375F">
        <w:rPr>
          <w:sz w:val="24"/>
          <w:szCs w:val="24"/>
        </w:rPr>
        <w:t>We plan to present the results at state, national, international cardiology meetings, and publication in peer-reviewed journals.</w:t>
      </w:r>
    </w:p>
    <w:p w14:paraId="7221C868" w14:textId="77777777" w:rsidR="002318C4" w:rsidRPr="00AB375F" w:rsidRDefault="002318C4" w:rsidP="002318C4">
      <w:pPr>
        <w:spacing w:after="0" w:line="240" w:lineRule="auto"/>
        <w:rPr>
          <w:rFonts w:eastAsiaTheme="minorEastAsia" w:cstheme="minorEastAsia"/>
          <w:b/>
          <w:bCs/>
          <w:sz w:val="24"/>
          <w:szCs w:val="24"/>
        </w:rPr>
      </w:pPr>
    </w:p>
    <w:p w14:paraId="2534FFE3" w14:textId="6BA12E63" w:rsidR="006A003F" w:rsidRPr="00AB375F" w:rsidRDefault="00CC47F3" w:rsidP="002318C4">
      <w:pPr>
        <w:shd w:val="clear" w:color="auto" w:fill="9CC2E5" w:themeFill="accent1" w:themeFillTint="99"/>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9.0 </w:t>
      </w:r>
      <w:r w:rsidR="25DF176C" w:rsidRPr="00AB375F">
        <w:rPr>
          <w:rFonts w:eastAsiaTheme="minorEastAsia" w:cstheme="minorEastAsia"/>
          <w:b/>
          <w:bCs/>
          <w:sz w:val="24"/>
          <w:szCs w:val="24"/>
        </w:rPr>
        <w:t>Other Approvals/Authorizations</w:t>
      </w:r>
    </w:p>
    <w:bookmarkEnd w:id="98"/>
    <w:p w14:paraId="523A888B" w14:textId="181A1C34" w:rsidR="00EF5D22" w:rsidRPr="00AB375F" w:rsidRDefault="00CE0266" w:rsidP="00CE0266">
      <w:pPr>
        <w:pStyle w:val="BodyTextIndent3"/>
        <w:jc w:val="both"/>
        <w:rPr>
          <w:rFonts w:eastAsiaTheme="minorBidi" w:cstheme="minorBidi"/>
          <w:iCs/>
          <w:sz w:val="24"/>
          <w:szCs w:val="24"/>
        </w:rPr>
      </w:pPr>
      <w:r w:rsidRPr="00AB375F">
        <w:rPr>
          <w:rFonts w:eastAsiaTheme="minorBidi" w:cstheme="minorBidi"/>
          <w:iCs/>
          <w:sz w:val="24"/>
          <w:szCs w:val="24"/>
        </w:rPr>
        <w:t>Cardiovascular Scientific Review board approval has been obtained for this study, and has been provided in the IRB application.</w:t>
      </w:r>
    </w:p>
    <w:p w14:paraId="11AE879E" w14:textId="77777777" w:rsidR="002318C4" w:rsidRDefault="002318C4" w:rsidP="002318C4">
      <w:pPr>
        <w:spacing w:after="0" w:line="240" w:lineRule="auto"/>
        <w:rPr>
          <w:rFonts w:eastAsiaTheme="minorEastAsia" w:cstheme="minorEastAsia"/>
          <w:b/>
          <w:bCs/>
          <w:sz w:val="24"/>
          <w:szCs w:val="24"/>
        </w:rPr>
      </w:pPr>
      <w:bookmarkStart w:id="99" w:name="Bibliography"/>
    </w:p>
    <w:p w14:paraId="6ED56DA4" w14:textId="77777777" w:rsidR="00D604F7" w:rsidRPr="00AB375F" w:rsidRDefault="00D604F7" w:rsidP="002318C4">
      <w:pPr>
        <w:spacing w:after="0" w:line="240" w:lineRule="auto"/>
        <w:rPr>
          <w:rFonts w:eastAsiaTheme="minorEastAsia" w:cstheme="minorEastAsia"/>
          <w:b/>
          <w:bCs/>
          <w:sz w:val="24"/>
          <w:szCs w:val="24"/>
        </w:rPr>
      </w:pPr>
    </w:p>
    <w:p w14:paraId="340BEF5C" w14:textId="2AC2944D" w:rsidR="0045515C" w:rsidRPr="00AB375F" w:rsidRDefault="00CC47F3" w:rsidP="002318C4">
      <w:pPr>
        <w:shd w:val="clear" w:color="auto" w:fill="9CC2E5" w:themeFill="accent1" w:themeFillTint="99"/>
        <w:spacing w:after="0" w:line="240" w:lineRule="auto"/>
        <w:rPr>
          <w:rFonts w:eastAsiaTheme="minorEastAsia" w:cstheme="minorEastAsia"/>
          <w:b/>
          <w:bCs/>
          <w:sz w:val="24"/>
          <w:szCs w:val="24"/>
        </w:rPr>
      </w:pPr>
      <w:r w:rsidRPr="00AB375F">
        <w:rPr>
          <w:rFonts w:eastAsiaTheme="minorEastAsia" w:cstheme="minorEastAsia"/>
          <w:b/>
          <w:bCs/>
          <w:sz w:val="24"/>
          <w:szCs w:val="24"/>
        </w:rPr>
        <w:t xml:space="preserve">10.0 </w:t>
      </w:r>
      <w:r w:rsidR="25DF176C" w:rsidRPr="00AB375F">
        <w:rPr>
          <w:rFonts w:eastAsiaTheme="minorEastAsia" w:cstheme="minorEastAsia"/>
          <w:b/>
          <w:bCs/>
          <w:sz w:val="24"/>
          <w:szCs w:val="24"/>
        </w:rPr>
        <w:t>Bibliography</w:t>
      </w:r>
    </w:p>
    <w:p w14:paraId="63211547" w14:textId="77777777" w:rsidR="0045515C" w:rsidRPr="00AB375F" w:rsidRDefault="0045515C" w:rsidP="0045515C">
      <w:pPr>
        <w:pStyle w:val="WPDefaultsloca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line="240" w:lineRule="auto"/>
        <w:rPr>
          <w:rFonts w:asciiTheme="minorHAnsi" w:hAnsiTheme="minorHAnsi"/>
          <w:szCs w:val="24"/>
        </w:rPr>
      </w:pPr>
    </w:p>
    <w:bookmarkEnd w:id="99"/>
    <w:p w14:paraId="53576120" w14:textId="77777777" w:rsidR="000318E4" w:rsidRPr="00050F95" w:rsidRDefault="000318E4" w:rsidP="000318E4">
      <w:pPr>
        <w:pStyle w:val="ListParagraph"/>
        <w:numPr>
          <w:ilvl w:val="0"/>
          <w:numId w:val="18"/>
        </w:numPr>
        <w:spacing w:line="240" w:lineRule="auto"/>
        <w:jc w:val="both"/>
        <w:rPr>
          <w:rStyle w:val="Hyperlink"/>
          <w:color w:val="auto"/>
          <w:sz w:val="24"/>
          <w:szCs w:val="24"/>
        </w:rPr>
      </w:pPr>
      <w:r w:rsidRPr="00050F95">
        <w:rPr>
          <w:sz w:val="24"/>
          <w:szCs w:val="24"/>
        </w:rPr>
        <w:t xml:space="preserve">World Health Organization. The top 10 causes of death. 24 May 2018. </w:t>
      </w:r>
      <w:hyperlink r:id="rId10" w:history="1">
        <w:r w:rsidRPr="00050F95">
          <w:rPr>
            <w:rStyle w:val="Hyperlink"/>
            <w:color w:val="auto"/>
            <w:sz w:val="24"/>
            <w:szCs w:val="24"/>
          </w:rPr>
          <w:t>www.who.int/news-room/fact-sheets/detail/the-top-10-causes-of-death</w:t>
        </w:r>
      </w:hyperlink>
    </w:p>
    <w:p w14:paraId="5A35E695" w14:textId="77777777" w:rsidR="000318E4" w:rsidRPr="00050F95" w:rsidRDefault="000318E4" w:rsidP="000318E4">
      <w:pPr>
        <w:pStyle w:val="ListParagraph"/>
        <w:numPr>
          <w:ilvl w:val="0"/>
          <w:numId w:val="18"/>
        </w:numPr>
        <w:spacing w:line="240" w:lineRule="auto"/>
        <w:jc w:val="both"/>
        <w:rPr>
          <w:rStyle w:val="Hyperlink"/>
          <w:color w:val="auto"/>
          <w:sz w:val="24"/>
          <w:szCs w:val="24"/>
        </w:rPr>
      </w:pPr>
      <w:r w:rsidRPr="00050F95">
        <w:rPr>
          <w:sz w:val="24"/>
          <w:szCs w:val="24"/>
        </w:rPr>
        <w:t xml:space="preserve">Doughty M, Mehta R, </w:t>
      </w:r>
      <w:proofErr w:type="spellStart"/>
      <w:r w:rsidRPr="00050F95">
        <w:rPr>
          <w:sz w:val="24"/>
          <w:szCs w:val="24"/>
        </w:rPr>
        <w:t>Bruckman</w:t>
      </w:r>
      <w:proofErr w:type="spellEnd"/>
      <w:r w:rsidRPr="00050F95">
        <w:rPr>
          <w:sz w:val="24"/>
          <w:szCs w:val="24"/>
        </w:rPr>
        <w:t xml:space="preserve"> D, et al. Acute myocardial infarction in the young. The University of Michigan experience. Am Heart J. 2002;143:56-62.</w:t>
      </w:r>
    </w:p>
    <w:p w14:paraId="60DBD9CA" w14:textId="77777777" w:rsidR="000318E4" w:rsidRPr="002A61EF" w:rsidRDefault="000318E4" w:rsidP="000318E4">
      <w:pPr>
        <w:pStyle w:val="ListParagraph"/>
        <w:numPr>
          <w:ilvl w:val="0"/>
          <w:numId w:val="18"/>
        </w:numPr>
        <w:spacing w:line="240" w:lineRule="auto"/>
        <w:jc w:val="both"/>
        <w:rPr>
          <w:sz w:val="24"/>
          <w:szCs w:val="24"/>
        </w:rPr>
      </w:pPr>
      <w:proofErr w:type="spellStart"/>
      <w:r w:rsidRPr="00050F95">
        <w:rPr>
          <w:sz w:val="24"/>
          <w:szCs w:val="24"/>
        </w:rPr>
        <w:t>Schoenenberger</w:t>
      </w:r>
      <w:proofErr w:type="spellEnd"/>
      <w:r w:rsidRPr="00050F95">
        <w:rPr>
          <w:sz w:val="24"/>
          <w:szCs w:val="24"/>
        </w:rPr>
        <w:t xml:space="preserve"> AW, </w:t>
      </w:r>
      <w:proofErr w:type="spellStart"/>
      <w:r w:rsidRPr="00050F95">
        <w:rPr>
          <w:sz w:val="24"/>
          <w:szCs w:val="24"/>
        </w:rPr>
        <w:t>Radovanovic</w:t>
      </w:r>
      <w:proofErr w:type="spellEnd"/>
      <w:r w:rsidRPr="00050F95">
        <w:rPr>
          <w:sz w:val="24"/>
          <w:szCs w:val="24"/>
        </w:rPr>
        <w:t xml:space="preserve"> D, Stauffer JC et al. Acute coronary syndromes in young patients: presentation</w:t>
      </w:r>
      <w:r w:rsidRPr="00993407">
        <w:rPr>
          <w:sz w:val="24"/>
          <w:szCs w:val="24"/>
        </w:rPr>
        <w:t>, treatment and outcome.</w:t>
      </w:r>
      <w:r w:rsidRPr="00993407">
        <w:t xml:space="preserve"> </w:t>
      </w:r>
      <w:proofErr w:type="spellStart"/>
      <w:r w:rsidRPr="00993407">
        <w:rPr>
          <w:sz w:val="24"/>
          <w:szCs w:val="24"/>
        </w:rPr>
        <w:t>Int</w:t>
      </w:r>
      <w:proofErr w:type="spellEnd"/>
      <w:r w:rsidRPr="00993407">
        <w:rPr>
          <w:sz w:val="24"/>
          <w:szCs w:val="24"/>
        </w:rPr>
        <w:t xml:space="preserve"> J </w:t>
      </w:r>
      <w:proofErr w:type="spellStart"/>
      <w:r w:rsidRPr="00993407">
        <w:rPr>
          <w:sz w:val="24"/>
          <w:szCs w:val="24"/>
        </w:rPr>
        <w:t>Cardiol</w:t>
      </w:r>
      <w:proofErr w:type="spellEnd"/>
      <w:r w:rsidRPr="00993407">
        <w:rPr>
          <w:sz w:val="24"/>
          <w:szCs w:val="24"/>
        </w:rPr>
        <w:t>. 2011 May 5;148(3):300-4.</w:t>
      </w:r>
    </w:p>
    <w:p w14:paraId="6D3EF74B" w14:textId="77777777" w:rsidR="000318E4" w:rsidRDefault="000318E4" w:rsidP="000318E4">
      <w:pPr>
        <w:pStyle w:val="ListParagraph"/>
        <w:numPr>
          <w:ilvl w:val="0"/>
          <w:numId w:val="18"/>
        </w:numPr>
        <w:spacing w:line="240" w:lineRule="auto"/>
        <w:jc w:val="both"/>
        <w:rPr>
          <w:sz w:val="24"/>
          <w:szCs w:val="24"/>
        </w:rPr>
      </w:pPr>
      <w:proofErr w:type="spellStart"/>
      <w:r w:rsidRPr="0022445D">
        <w:rPr>
          <w:sz w:val="24"/>
          <w:szCs w:val="24"/>
        </w:rPr>
        <w:t>Eisen</w:t>
      </w:r>
      <w:proofErr w:type="spellEnd"/>
      <w:r w:rsidRPr="0022445D">
        <w:rPr>
          <w:sz w:val="24"/>
          <w:szCs w:val="24"/>
        </w:rPr>
        <w:t xml:space="preserve"> A, </w:t>
      </w:r>
      <w:proofErr w:type="spellStart"/>
      <w:r w:rsidRPr="0022445D">
        <w:rPr>
          <w:sz w:val="24"/>
          <w:szCs w:val="24"/>
        </w:rPr>
        <w:t>Giugliano</w:t>
      </w:r>
      <w:proofErr w:type="spellEnd"/>
      <w:r w:rsidRPr="0022445D">
        <w:rPr>
          <w:sz w:val="24"/>
          <w:szCs w:val="24"/>
        </w:rPr>
        <w:t xml:space="preserve"> RP, </w:t>
      </w:r>
      <w:proofErr w:type="spellStart"/>
      <w:r w:rsidRPr="0022445D">
        <w:rPr>
          <w:sz w:val="24"/>
          <w:szCs w:val="24"/>
        </w:rPr>
        <w:t>Braunwald</w:t>
      </w:r>
      <w:proofErr w:type="spellEnd"/>
      <w:r w:rsidRPr="0022445D">
        <w:rPr>
          <w:sz w:val="24"/>
          <w:szCs w:val="24"/>
        </w:rPr>
        <w:t xml:space="preserve"> E. Updates on acute coronary syndrome: a review. JAMA </w:t>
      </w:r>
      <w:proofErr w:type="spellStart"/>
      <w:r w:rsidRPr="0022445D">
        <w:rPr>
          <w:sz w:val="24"/>
          <w:szCs w:val="24"/>
        </w:rPr>
        <w:t>Cardiol</w:t>
      </w:r>
      <w:proofErr w:type="spellEnd"/>
      <w:r w:rsidRPr="0022445D">
        <w:rPr>
          <w:sz w:val="24"/>
          <w:szCs w:val="24"/>
        </w:rPr>
        <w:t>. 2016;1:718–730.</w:t>
      </w:r>
    </w:p>
    <w:p w14:paraId="23A1DB14" w14:textId="77777777" w:rsidR="000318E4" w:rsidRDefault="000318E4" w:rsidP="000318E4">
      <w:pPr>
        <w:pStyle w:val="ListParagraph"/>
        <w:numPr>
          <w:ilvl w:val="0"/>
          <w:numId w:val="18"/>
        </w:numPr>
        <w:spacing w:line="240" w:lineRule="auto"/>
        <w:jc w:val="both"/>
        <w:rPr>
          <w:sz w:val="24"/>
          <w:szCs w:val="24"/>
        </w:rPr>
      </w:pPr>
      <w:r w:rsidRPr="00993407">
        <w:rPr>
          <w:sz w:val="24"/>
          <w:szCs w:val="24"/>
        </w:rPr>
        <w:t xml:space="preserve">Gupta A, Wang Y, </w:t>
      </w:r>
      <w:proofErr w:type="spellStart"/>
      <w:r w:rsidRPr="00993407">
        <w:rPr>
          <w:sz w:val="24"/>
          <w:szCs w:val="24"/>
        </w:rPr>
        <w:t>Spertus</w:t>
      </w:r>
      <w:proofErr w:type="spellEnd"/>
      <w:r w:rsidRPr="00993407">
        <w:rPr>
          <w:sz w:val="24"/>
          <w:szCs w:val="24"/>
        </w:rPr>
        <w:t xml:space="preserve"> JA, et al. Trends in acute myocardial infarction in young patients and differences by sex and race, 2001 to 2010. J Am </w:t>
      </w:r>
      <w:proofErr w:type="spellStart"/>
      <w:r w:rsidRPr="00993407">
        <w:rPr>
          <w:sz w:val="24"/>
          <w:szCs w:val="24"/>
        </w:rPr>
        <w:t>Coll</w:t>
      </w:r>
      <w:proofErr w:type="spellEnd"/>
      <w:r w:rsidRPr="00993407">
        <w:rPr>
          <w:sz w:val="24"/>
          <w:szCs w:val="24"/>
        </w:rPr>
        <w:t xml:space="preserve"> </w:t>
      </w:r>
      <w:proofErr w:type="spellStart"/>
      <w:r w:rsidRPr="00993407">
        <w:rPr>
          <w:sz w:val="24"/>
          <w:szCs w:val="24"/>
        </w:rPr>
        <w:t>Cardiol</w:t>
      </w:r>
      <w:proofErr w:type="spellEnd"/>
      <w:r w:rsidRPr="00993407">
        <w:rPr>
          <w:sz w:val="24"/>
          <w:szCs w:val="24"/>
        </w:rPr>
        <w:t>. 2014;64:337–345.</w:t>
      </w:r>
    </w:p>
    <w:p w14:paraId="135E5839" w14:textId="77777777" w:rsidR="000318E4" w:rsidRPr="00D85D3E" w:rsidRDefault="000318E4" w:rsidP="000318E4">
      <w:pPr>
        <w:pStyle w:val="ListParagraph"/>
        <w:numPr>
          <w:ilvl w:val="0"/>
          <w:numId w:val="18"/>
        </w:numPr>
        <w:spacing w:line="240" w:lineRule="auto"/>
        <w:jc w:val="both"/>
        <w:rPr>
          <w:sz w:val="24"/>
          <w:szCs w:val="24"/>
        </w:rPr>
      </w:pPr>
      <w:r w:rsidRPr="00D85D3E">
        <w:rPr>
          <w:sz w:val="24"/>
          <w:szCs w:val="24"/>
        </w:rPr>
        <w:t xml:space="preserve">Mathers CD, </w:t>
      </w:r>
      <w:proofErr w:type="spellStart"/>
      <w:r w:rsidRPr="00D85D3E">
        <w:rPr>
          <w:sz w:val="24"/>
          <w:szCs w:val="24"/>
        </w:rPr>
        <w:t>Loncar</w:t>
      </w:r>
      <w:proofErr w:type="spellEnd"/>
      <w:r w:rsidRPr="00D85D3E">
        <w:rPr>
          <w:sz w:val="24"/>
          <w:szCs w:val="24"/>
        </w:rPr>
        <w:t xml:space="preserve"> D. Projections of global mortality and burden of</w:t>
      </w:r>
      <w:r>
        <w:rPr>
          <w:sz w:val="24"/>
          <w:szCs w:val="24"/>
        </w:rPr>
        <w:t xml:space="preserve"> </w:t>
      </w:r>
      <w:r w:rsidRPr="00D85D3E">
        <w:rPr>
          <w:sz w:val="24"/>
          <w:szCs w:val="24"/>
        </w:rPr>
        <w:t xml:space="preserve">disease from 2002 to 2030. </w:t>
      </w:r>
      <w:proofErr w:type="spellStart"/>
      <w:r w:rsidRPr="00D85D3E">
        <w:rPr>
          <w:sz w:val="24"/>
          <w:szCs w:val="24"/>
        </w:rPr>
        <w:t>PLoS</w:t>
      </w:r>
      <w:proofErr w:type="spellEnd"/>
      <w:r w:rsidRPr="00D85D3E">
        <w:rPr>
          <w:sz w:val="24"/>
          <w:szCs w:val="24"/>
        </w:rPr>
        <w:t xml:space="preserve"> Med. 2006;3:e442.</w:t>
      </w:r>
    </w:p>
    <w:p w14:paraId="256B40E6" w14:textId="77777777" w:rsidR="000318E4" w:rsidRDefault="000318E4" w:rsidP="000318E4">
      <w:pPr>
        <w:pStyle w:val="ListParagraph"/>
        <w:numPr>
          <w:ilvl w:val="0"/>
          <w:numId w:val="18"/>
        </w:numPr>
        <w:spacing w:line="240" w:lineRule="auto"/>
        <w:jc w:val="both"/>
        <w:rPr>
          <w:sz w:val="24"/>
          <w:szCs w:val="24"/>
        </w:rPr>
      </w:pPr>
      <w:proofErr w:type="spellStart"/>
      <w:r w:rsidRPr="00AC33A3">
        <w:rPr>
          <w:sz w:val="24"/>
          <w:szCs w:val="24"/>
        </w:rPr>
        <w:t>LIoyd</w:t>
      </w:r>
      <w:proofErr w:type="spellEnd"/>
      <w:r w:rsidRPr="00AC33A3">
        <w:rPr>
          <w:sz w:val="24"/>
          <w:szCs w:val="24"/>
        </w:rPr>
        <w:t xml:space="preserve"> A, Steele L, Fotheringham J, et al. Pronounced increase in risk of acute ST-segment elevation myocardial infarction in younger smokers. Heart. 2017;103:586–591.</w:t>
      </w:r>
    </w:p>
    <w:p w14:paraId="1EA58841" w14:textId="77777777" w:rsidR="000318E4" w:rsidRDefault="000318E4" w:rsidP="000318E4">
      <w:pPr>
        <w:pStyle w:val="ListParagraph"/>
        <w:numPr>
          <w:ilvl w:val="0"/>
          <w:numId w:val="18"/>
        </w:numPr>
        <w:spacing w:line="240" w:lineRule="auto"/>
        <w:jc w:val="both"/>
        <w:rPr>
          <w:sz w:val="24"/>
          <w:szCs w:val="24"/>
        </w:rPr>
      </w:pPr>
      <w:proofErr w:type="spellStart"/>
      <w:r w:rsidRPr="00AC33A3">
        <w:rPr>
          <w:sz w:val="24"/>
          <w:szCs w:val="24"/>
        </w:rPr>
        <w:t>Dabelea</w:t>
      </w:r>
      <w:proofErr w:type="spellEnd"/>
      <w:r w:rsidRPr="00AC33A3">
        <w:rPr>
          <w:sz w:val="24"/>
          <w:szCs w:val="24"/>
        </w:rPr>
        <w:t xml:space="preserve"> D, Mayer-Davis EJ, </w:t>
      </w:r>
      <w:proofErr w:type="spellStart"/>
      <w:r w:rsidRPr="00AC33A3">
        <w:rPr>
          <w:sz w:val="24"/>
          <w:szCs w:val="24"/>
        </w:rPr>
        <w:t>Saydah</w:t>
      </w:r>
      <w:proofErr w:type="spellEnd"/>
      <w:r w:rsidRPr="00AC33A3">
        <w:rPr>
          <w:sz w:val="24"/>
          <w:szCs w:val="24"/>
        </w:rPr>
        <w:t xml:space="preserve"> S, et al. SEARCH for Diabetes in Youth Study. Prevalence of type 1 and type 2 diabetes among children and adolescents from 2001 to 2009. JAMA. 2014;311:1778–1786.</w:t>
      </w:r>
    </w:p>
    <w:p w14:paraId="4F68F124" w14:textId="77777777" w:rsidR="000318E4" w:rsidRPr="00181C57" w:rsidRDefault="000318E4" w:rsidP="000318E4">
      <w:pPr>
        <w:pStyle w:val="ListParagraph"/>
        <w:numPr>
          <w:ilvl w:val="0"/>
          <w:numId w:val="18"/>
        </w:numPr>
        <w:spacing w:line="240" w:lineRule="auto"/>
        <w:jc w:val="both"/>
        <w:rPr>
          <w:sz w:val="24"/>
          <w:szCs w:val="24"/>
        </w:rPr>
      </w:pPr>
      <w:r w:rsidRPr="009605FB">
        <w:rPr>
          <w:sz w:val="24"/>
          <w:szCs w:val="24"/>
        </w:rPr>
        <w:t xml:space="preserve">McManus DD, </w:t>
      </w:r>
      <w:proofErr w:type="spellStart"/>
      <w:r w:rsidRPr="009605FB">
        <w:rPr>
          <w:sz w:val="24"/>
          <w:szCs w:val="24"/>
        </w:rPr>
        <w:t>Piacentine</w:t>
      </w:r>
      <w:proofErr w:type="spellEnd"/>
      <w:r w:rsidRPr="009605FB">
        <w:rPr>
          <w:sz w:val="24"/>
          <w:szCs w:val="24"/>
        </w:rPr>
        <w:t xml:space="preserve"> SM, </w:t>
      </w:r>
      <w:proofErr w:type="spellStart"/>
      <w:r w:rsidRPr="009605FB">
        <w:rPr>
          <w:sz w:val="24"/>
          <w:szCs w:val="24"/>
        </w:rPr>
        <w:t>Lessard</w:t>
      </w:r>
      <w:proofErr w:type="spellEnd"/>
      <w:r w:rsidRPr="009605FB">
        <w:rPr>
          <w:sz w:val="24"/>
          <w:szCs w:val="24"/>
        </w:rPr>
        <w:t xml:space="preserve"> D</w:t>
      </w:r>
      <w:r>
        <w:rPr>
          <w:sz w:val="24"/>
          <w:szCs w:val="24"/>
        </w:rPr>
        <w:t xml:space="preserve"> et al. </w:t>
      </w:r>
      <w:r w:rsidRPr="009605FB">
        <w:rPr>
          <w:sz w:val="24"/>
          <w:szCs w:val="24"/>
        </w:rPr>
        <w:t>Thirty-year (1975 to 2005) trends in the incidence rates, clinical features, treatment practices, and short-term outcomes of patients &lt;55 years of age hospitalized with an initial acute myocardial infarction.</w:t>
      </w:r>
      <w:r>
        <w:rPr>
          <w:sz w:val="24"/>
          <w:szCs w:val="24"/>
        </w:rPr>
        <w:t xml:space="preserve"> </w:t>
      </w:r>
      <w:r w:rsidRPr="009605FB">
        <w:rPr>
          <w:sz w:val="24"/>
          <w:szCs w:val="24"/>
        </w:rPr>
        <w:t xml:space="preserve">Am J </w:t>
      </w:r>
      <w:proofErr w:type="spellStart"/>
      <w:r w:rsidRPr="009605FB">
        <w:rPr>
          <w:sz w:val="24"/>
          <w:szCs w:val="24"/>
        </w:rPr>
        <w:t>Cardiol</w:t>
      </w:r>
      <w:proofErr w:type="spellEnd"/>
      <w:r w:rsidRPr="009605FB">
        <w:rPr>
          <w:sz w:val="24"/>
          <w:szCs w:val="24"/>
        </w:rPr>
        <w:t>. 2011 Aug 15;108(4):477-82.</w:t>
      </w:r>
    </w:p>
    <w:p w14:paraId="07F7CF84" w14:textId="77777777" w:rsidR="000318E4" w:rsidRDefault="000318E4" w:rsidP="000318E4">
      <w:pPr>
        <w:pStyle w:val="ListParagraph"/>
        <w:numPr>
          <w:ilvl w:val="0"/>
          <w:numId w:val="18"/>
        </w:numPr>
        <w:spacing w:line="240" w:lineRule="auto"/>
        <w:jc w:val="both"/>
        <w:rPr>
          <w:sz w:val="24"/>
          <w:szCs w:val="24"/>
        </w:rPr>
      </w:pPr>
      <w:proofErr w:type="spellStart"/>
      <w:r w:rsidRPr="00813A9A">
        <w:rPr>
          <w:sz w:val="24"/>
          <w:szCs w:val="24"/>
        </w:rPr>
        <w:t>Morillas</w:t>
      </w:r>
      <w:proofErr w:type="spellEnd"/>
      <w:r w:rsidRPr="00813A9A">
        <w:rPr>
          <w:sz w:val="24"/>
          <w:szCs w:val="24"/>
        </w:rPr>
        <w:t xml:space="preserve"> P, </w:t>
      </w:r>
      <w:proofErr w:type="spellStart"/>
      <w:r w:rsidRPr="00813A9A">
        <w:rPr>
          <w:sz w:val="24"/>
          <w:szCs w:val="24"/>
        </w:rPr>
        <w:t>Bertomeu</w:t>
      </w:r>
      <w:proofErr w:type="spellEnd"/>
      <w:r w:rsidRPr="00813A9A">
        <w:rPr>
          <w:sz w:val="24"/>
          <w:szCs w:val="24"/>
        </w:rPr>
        <w:t xml:space="preserve"> V, </w:t>
      </w:r>
      <w:proofErr w:type="spellStart"/>
      <w:r w:rsidRPr="00813A9A">
        <w:rPr>
          <w:sz w:val="24"/>
          <w:szCs w:val="24"/>
        </w:rPr>
        <w:t>Pabón</w:t>
      </w:r>
      <w:proofErr w:type="spellEnd"/>
      <w:r w:rsidRPr="00813A9A">
        <w:rPr>
          <w:sz w:val="24"/>
          <w:szCs w:val="24"/>
        </w:rPr>
        <w:t xml:space="preserve"> P</w:t>
      </w:r>
      <w:r>
        <w:rPr>
          <w:sz w:val="24"/>
          <w:szCs w:val="24"/>
        </w:rPr>
        <w:t xml:space="preserve"> et al. </w:t>
      </w:r>
      <w:r w:rsidRPr="00813A9A">
        <w:rPr>
          <w:sz w:val="24"/>
          <w:szCs w:val="24"/>
        </w:rPr>
        <w:t>Characteristics and outcome of acute myocardial infarction in young patients. The PRIAMHO II study.</w:t>
      </w:r>
      <w:r>
        <w:rPr>
          <w:sz w:val="24"/>
          <w:szCs w:val="24"/>
        </w:rPr>
        <w:t xml:space="preserve"> </w:t>
      </w:r>
      <w:r w:rsidRPr="00813A9A">
        <w:rPr>
          <w:sz w:val="24"/>
          <w:szCs w:val="24"/>
        </w:rPr>
        <w:t>Cardiology. 2007;107(4):217-25.</w:t>
      </w:r>
    </w:p>
    <w:p w14:paraId="48E0C1D6" w14:textId="77777777" w:rsidR="000318E4" w:rsidRDefault="000318E4" w:rsidP="000318E4">
      <w:pPr>
        <w:pStyle w:val="ListParagraph"/>
        <w:numPr>
          <w:ilvl w:val="0"/>
          <w:numId w:val="18"/>
        </w:numPr>
        <w:spacing w:line="240" w:lineRule="auto"/>
        <w:jc w:val="both"/>
        <w:rPr>
          <w:sz w:val="24"/>
          <w:szCs w:val="24"/>
        </w:rPr>
      </w:pPr>
      <w:r w:rsidRPr="00EA716D">
        <w:rPr>
          <w:sz w:val="24"/>
          <w:szCs w:val="24"/>
        </w:rPr>
        <w:t xml:space="preserve">William J. Kostis, Ph.D., </w:t>
      </w:r>
      <w:proofErr w:type="spellStart"/>
      <w:r w:rsidRPr="00EA716D">
        <w:rPr>
          <w:sz w:val="24"/>
          <w:szCs w:val="24"/>
        </w:rPr>
        <w:t>Kitaw</w:t>
      </w:r>
      <w:proofErr w:type="spellEnd"/>
      <w:r w:rsidRPr="00EA716D">
        <w:rPr>
          <w:sz w:val="24"/>
          <w:szCs w:val="24"/>
        </w:rPr>
        <w:t xml:space="preserve"> </w:t>
      </w:r>
      <w:proofErr w:type="spellStart"/>
      <w:r w:rsidRPr="00EA716D">
        <w:rPr>
          <w:sz w:val="24"/>
          <w:szCs w:val="24"/>
        </w:rPr>
        <w:t>Demissie</w:t>
      </w:r>
      <w:proofErr w:type="spellEnd"/>
      <w:r w:rsidRPr="00EA716D">
        <w:rPr>
          <w:sz w:val="24"/>
          <w:szCs w:val="24"/>
        </w:rPr>
        <w:t>, M.D., Ph.D., Stephen W. Marcella, M.D., M.P.H., Yu-</w:t>
      </w:r>
      <w:proofErr w:type="spellStart"/>
      <w:r w:rsidRPr="00EA716D">
        <w:rPr>
          <w:sz w:val="24"/>
          <w:szCs w:val="24"/>
        </w:rPr>
        <w:t>Hsuan</w:t>
      </w:r>
      <w:proofErr w:type="spellEnd"/>
      <w:r>
        <w:rPr>
          <w:sz w:val="24"/>
          <w:szCs w:val="24"/>
        </w:rPr>
        <w:t xml:space="preserve"> </w:t>
      </w:r>
      <w:r w:rsidRPr="00EA716D">
        <w:rPr>
          <w:sz w:val="24"/>
          <w:szCs w:val="24"/>
        </w:rPr>
        <w:t>Shao, M.H.S., Alan C. Wilson, Ph.D., and Abel E. Moreyra, M.D.et al., for the Myocardial Infarction Data</w:t>
      </w:r>
      <w:r>
        <w:rPr>
          <w:sz w:val="24"/>
          <w:szCs w:val="24"/>
        </w:rPr>
        <w:t xml:space="preserve"> </w:t>
      </w:r>
      <w:r w:rsidRPr="00EA716D">
        <w:rPr>
          <w:sz w:val="24"/>
          <w:szCs w:val="24"/>
        </w:rPr>
        <w:t>Acquisition System (MIDAS 10) Study Group</w:t>
      </w:r>
      <w:r>
        <w:rPr>
          <w:sz w:val="24"/>
          <w:szCs w:val="24"/>
        </w:rPr>
        <w:t xml:space="preserve">. </w:t>
      </w:r>
      <w:r w:rsidRPr="00EA716D">
        <w:rPr>
          <w:sz w:val="24"/>
          <w:szCs w:val="24"/>
        </w:rPr>
        <w:t>Weekend versus Weekday Admission and Mortality from</w:t>
      </w:r>
      <w:r>
        <w:rPr>
          <w:sz w:val="24"/>
          <w:szCs w:val="24"/>
        </w:rPr>
        <w:t xml:space="preserve"> </w:t>
      </w:r>
      <w:r w:rsidRPr="00EA716D">
        <w:rPr>
          <w:sz w:val="24"/>
          <w:szCs w:val="24"/>
        </w:rPr>
        <w:t>Myocardial Infarction</w:t>
      </w:r>
      <w:r>
        <w:rPr>
          <w:sz w:val="24"/>
          <w:szCs w:val="24"/>
        </w:rPr>
        <w:t>.</w:t>
      </w:r>
    </w:p>
    <w:p w14:paraId="71790222" w14:textId="77777777" w:rsidR="000318E4" w:rsidRDefault="000318E4" w:rsidP="000318E4">
      <w:pPr>
        <w:pStyle w:val="ListParagraph"/>
        <w:spacing w:line="240" w:lineRule="auto"/>
        <w:ind w:left="1440"/>
        <w:jc w:val="both"/>
        <w:rPr>
          <w:sz w:val="24"/>
          <w:szCs w:val="24"/>
        </w:rPr>
      </w:pPr>
      <w:r>
        <w:rPr>
          <w:sz w:val="24"/>
          <w:szCs w:val="24"/>
        </w:rPr>
        <w:t xml:space="preserve"> </w:t>
      </w:r>
      <w:r w:rsidRPr="00EA716D">
        <w:rPr>
          <w:sz w:val="24"/>
          <w:szCs w:val="24"/>
        </w:rPr>
        <w:t xml:space="preserve">N </w:t>
      </w:r>
      <w:proofErr w:type="spellStart"/>
      <w:r w:rsidRPr="00EA716D">
        <w:rPr>
          <w:sz w:val="24"/>
          <w:szCs w:val="24"/>
        </w:rPr>
        <w:t>Engl</w:t>
      </w:r>
      <w:proofErr w:type="spellEnd"/>
      <w:r w:rsidRPr="00EA716D">
        <w:rPr>
          <w:sz w:val="24"/>
          <w:szCs w:val="24"/>
        </w:rPr>
        <w:t xml:space="preserve"> J Med 2007; 356:1099-1109</w:t>
      </w:r>
    </w:p>
    <w:p w14:paraId="4A53D8EC" w14:textId="77777777" w:rsidR="000318E4" w:rsidRPr="00EA716D" w:rsidRDefault="000318E4" w:rsidP="000318E4">
      <w:pPr>
        <w:pStyle w:val="ListParagraph"/>
        <w:numPr>
          <w:ilvl w:val="0"/>
          <w:numId w:val="18"/>
        </w:numPr>
        <w:spacing w:line="240" w:lineRule="auto"/>
        <w:jc w:val="both"/>
        <w:rPr>
          <w:sz w:val="24"/>
          <w:szCs w:val="24"/>
        </w:rPr>
      </w:pPr>
      <w:r w:rsidRPr="00EA716D">
        <w:rPr>
          <w:sz w:val="24"/>
          <w:szCs w:val="24"/>
        </w:rPr>
        <w:lastRenderedPageBreak/>
        <w:t xml:space="preserve">William J. Kostis, Yingzi Deng, John S. Pantazopoulos, Abel E. Moreyra, </w:t>
      </w:r>
      <w:r>
        <w:rPr>
          <w:sz w:val="24"/>
          <w:szCs w:val="24"/>
        </w:rPr>
        <w:t>J</w:t>
      </w:r>
      <w:r w:rsidRPr="00EA716D">
        <w:rPr>
          <w:sz w:val="24"/>
          <w:szCs w:val="24"/>
        </w:rPr>
        <w:t>ohn B. Kostis for the Myocardial Infarction Data Acquisition System</w:t>
      </w:r>
      <w:r>
        <w:rPr>
          <w:sz w:val="24"/>
          <w:szCs w:val="24"/>
        </w:rPr>
        <w:t xml:space="preserve"> </w:t>
      </w:r>
      <w:r w:rsidRPr="00EA716D">
        <w:rPr>
          <w:sz w:val="24"/>
          <w:szCs w:val="24"/>
        </w:rPr>
        <w:t>(MIDAS14) Study Group</w:t>
      </w:r>
      <w:r>
        <w:rPr>
          <w:sz w:val="24"/>
          <w:szCs w:val="24"/>
        </w:rPr>
        <w:t xml:space="preserve">. </w:t>
      </w:r>
      <w:r w:rsidRPr="00EA716D">
        <w:rPr>
          <w:sz w:val="24"/>
          <w:szCs w:val="24"/>
        </w:rPr>
        <w:t>Trends in Mortality of Acute Myocardial Infarction After</w:t>
      </w:r>
      <w:r>
        <w:rPr>
          <w:sz w:val="24"/>
          <w:szCs w:val="24"/>
        </w:rPr>
        <w:t xml:space="preserve"> </w:t>
      </w:r>
      <w:r w:rsidRPr="00EA716D">
        <w:rPr>
          <w:sz w:val="24"/>
          <w:szCs w:val="24"/>
        </w:rPr>
        <w:t>Discharge From the Hospital</w:t>
      </w:r>
      <w:r>
        <w:rPr>
          <w:sz w:val="24"/>
          <w:szCs w:val="24"/>
        </w:rPr>
        <w:t xml:space="preserve">. </w:t>
      </w:r>
      <w:proofErr w:type="spellStart"/>
      <w:r w:rsidRPr="00EA716D">
        <w:rPr>
          <w:sz w:val="24"/>
          <w:szCs w:val="24"/>
        </w:rPr>
        <w:t>Circ</w:t>
      </w:r>
      <w:proofErr w:type="spellEnd"/>
      <w:r w:rsidRPr="00EA716D">
        <w:rPr>
          <w:sz w:val="24"/>
          <w:szCs w:val="24"/>
        </w:rPr>
        <w:t xml:space="preserve"> </w:t>
      </w:r>
      <w:proofErr w:type="spellStart"/>
      <w:r w:rsidRPr="00EA716D">
        <w:rPr>
          <w:sz w:val="24"/>
          <w:szCs w:val="24"/>
        </w:rPr>
        <w:t>Cardiovasc</w:t>
      </w:r>
      <w:proofErr w:type="spellEnd"/>
      <w:r w:rsidRPr="00EA716D">
        <w:rPr>
          <w:sz w:val="24"/>
          <w:szCs w:val="24"/>
        </w:rPr>
        <w:t xml:space="preserve"> </w:t>
      </w:r>
      <w:proofErr w:type="spellStart"/>
      <w:r w:rsidRPr="00EA716D">
        <w:rPr>
          <w:sz w:val="24"/>
          <w:szCs w:val="24"/>
        </w:rPr>
        <w:t>Qual</w:t>
      </w:r>
      <w:proofErr w:type="spellEnd"/>
      <w:r w:rsidRPr="00EA716D">
        <w:rPr>
          <w:sz w:val="24"/>
          <w:szCs w:val="24"/>
        </w:rPr>
        <w:t xml:space="preserve"> Outcomes. 2010;3:581-589</w:t>
      </w:r>
    </w:p>
    <w:p w14:paraId="0DB5B845" w14:textId="77777777" w:rsidR="000318E4" w:rsidRDefault="000318E4" w:rsidP="000318E4">
      <w:pPr>
        <w:pStyle w:val="ListParagraph"/>
        <w:numPr>
          <w:ilvl w:val="0"/>
          <w:numId w:val="18"/>
        </w:numPr>
        <w:spacing w:line="240" w:lineRule="auto"/>
        <w:jc w:val="both"/>
        <w:rPr>
          <w:sz w:val="24"/>
          <w:szCs w:val="24"/>
        </w:rPr>
      </w:pPr>
      <w:r w:rsidRPr="00EA716D">
        <w:rPr>
          <w:sz w:val="24"/>
          <w:szCs w:val="24"/>
        </w:rPr>
        <w:t xml:space="preserve">Georgia </w:t>
      </w:r>
      <w:proofErr w:type="spellStart"/>
      <w:r w:rsidRPr="00EA716D">
        <w:rPr>
          <w:sz w:val="24"/>
          <w:szCs w:val="24"/>
        </w:rPr>
        <w:t>Barbayannis</w:t>
      </w:r>
      <w:proofErr w:type="spellEnd"/>
      <w:r w:rsidRPr="00EA716D">
        <w:rPr>
          <w:sz w:val="24"/>
          <w:szCs w:val="24"/>
        </w:rPr>
        <w:t>, I-Ming Chiu, Davit Sargsyan</w:t>
      </w:r>
      <w:r>
        <w:rPr>
          <w:sz w:val="24"/>
          <w:szCs w:val="24"/>
        </w:rPr>
        <w:t xml:space="preserve">, </w:t>
      </w:r>
      <w:r w:rsidRPr="00EA716D">
        <w:rPr>
          <w:sz w:val="24"/>
          <w:szCs w:val="24"/>
        </w:rPr>
        <w:t>Javier Cabrera, Traymon E</w:t>
      </w:r>
      <w:r>
        <w:rPr>
          <w:sz w:val="24"/>
          <w:szCs w:val="24"/>
        </w:rPr>
        <w:t xml:space="preserve"> </w:t>
      </w:r>
      <w:r w:rsidRPr="00EA716D">
        <w:rPr>
          <w:sz w:val="24"/>
          <w:szCs w:val="24"/>
        </w:rPr>
        <w:t>Beavers</w:t>
      </w:r>
      <w:r>
        <w:rPr>
          <w:sz w:val="24"/>
          <w:szCs w:val="24"/>
        </w:rPr>
        <w:t>,</w:t>
      </w:r>
      <w:r w:rsidRPr="00EA716D">
        <w:rPr>
          <w:sz w:val="24"/>
          <w:szCs w:val="24"/>
        </w:rPr>
        <w:t xml:space="preserve"> John B. Kostis, Nora M. Cosgrove, Noah E. Michel,</w:t>
      </w:r>
      <w:r>
        <w:rPr>
          <w:sz w:val="24"/>
          <w:szCs w:val="24"/>
        </w:rPr>
        <w:t xml:space="preserve"> </w:t>
      </w:r>
      <w:r w:rsidRPr="00EA716D">
        <w:rPr>
          <w:sz w:val="24"/>
          <w:szCs w:val="24"/>
        </w:rPr>
        <w:t>William J. Kostis</w:t>
      </w:r>
      <w:r>
        <w:rPr>
          <w:sz w:val="24"/>
          <w:szCs w:val="24"/>
        </w:rPr>
        <w:t xml:space="preserve"> </w:t>
      </w:r>
      <w:r w:rsidRPr="00EA716D">
        <w:rPr>
          <w:sz w:val="24"/>
          <w:szCs w:val="24"/>
        </w:rPr>
        <w:t>for the Myocardial Infarction Data Acquisition System (MIDAS 32)</w:t>
      </w:r>
      <w:r>
        <w:rPr>
          <w:sz w:val="24"/>
          <w:szCs w:val="24"/>
        </w:rPr>
        <w:t xml:space="preserve"> </w:t>
      </w:r>
      <w:r w:rsidRPr="00EA716D">
        <w:rPr>
          <w:sz w:val="24"/>
          <w:szCs w:val="24"/>
        </w:rPr>
        <w:t>Study Group</w:t>
      </w:r>
      <w:r>
        <w:rPr>
          <w:sz w:val="24"/>
          <w:szCs w:val="24"/>
        </w:rPr>
        <w:t xml:space="preserve">. </w:t>
      </w:r>
      <w:r w:rsidRPr="00EA716D">
        <w:rPr>
          <w:sz w:val="24"/>
          <w:szCs w:val="24"/>
        </w:rPr>
        <w:t>Relation Between Statewide Hospital Performance</w:t>
      </w:r>
      <w:r>
        <w:rPr>
          <w:sz w:val="24"/>
          <w:szCs w:val="24"/>
        </w:rPr>
        <w:t xml:space="preserve"> </w:t>
      </w:r>
      <w:r w:rsidRPr="00EA716D">
        <w:rPr>
          <w:sz w:val="24"/>
          <w:szCs w:val="24"/>
        </w:rPr>
        <w:t>Reports on Myocardial Infarction and Cardiovascular</w:t>
      </w:r>
      <w:r>
        <w:rPr>
          <w:sz w:val="24"/>
          <w:szCs w:val="24"/>
        </w:rPr>
        <w:t xml:space="preserve"> </w:t>
      </w:r>
      <w:r w:rsidRPr="00EA716D">
        <w:rPr>
          <w:sz w:val="24"/>
          <w:szCs w:val="24"/>
        </w:rPr>
        <w:t>Outcomes</w:t>
      </w:r>
      <w:r>
        <w:rPr>
          <w:sz w:val="24"/>
          <w:szCs w:val="24"/>
        </w:rPr>
        <w:t xml:space="preserve">. </w:t>
      </w:r>
      <w:r w:rsidRPr="00EA716D">
        <w:rPr>
          <w:sz w:val="24"/>
          <w:szCs w:val="24"/>
        </w:rPr>
        <w:t xml:space="preserve">Am J </w:t>
      </w:r>
      <w:proofErr w:type="spellStart"/>
      <w:r w:rsidRPr="00EA716D">
        <w:rPr>
          <w:sz w:val="24"/>
          <w:szCs w:val="24"/>
        </w:rPr>
        <w:t>Cardiol</w:t>
      </w:r>
      <w:proofErr w:type="spellEnd"/>
      <w:r w:rsidRPr="00EA716D">
        <w:rPr>
          <w:sz w:val="24"/>
          <w:szCs w:val="24"/>
        </w:rPr>
        <w:t xml:space="preserve">. 2019 Feb 22. </w:t>
      </w:r>
      <w:proofErr w:type="spellStart"/>
      <w:r w:rsidRPr="00EA716D">
        <w:rPr>
          <w:sz w:val="24"/>
          <w:szCs w:val="24"/>
        </w:rPr>
        <w:t>pii</w:t>
      </w:r>
      <w:proofErr w:type="spellEnd"/>
      <w:r w:rsidRPr="00EA716D">
        <w:rPr>
          <w:sz w:val="24"/>
          <w:szCs w:val="24"/>
        </w:rPr>
        <w:t>: S0002-9149(19)30221-8</w:t>
      </w:r>
    </w:p>
    <w:p w14:paraId="0F6ADD13" w14:textId="41FEAFAB" w:rsidR="000318E4" w:rsidRDefault="000318E4" w:rsidP="000318E4">
      <w:pPr>
        <w:pStyle w:val="ListParagraph"/>
        <w:numPr>
          <w:ilvl w:val="0"/>
          <w:numId w:val="18"/>
        </w:numPr>
        <w:spacing w:line="240" w:lineRule="auto"/>
        <w:jc w:val="both"/>
        <w:rPr>
          <w:sz w:val="24"/>
          <w:szCs w:val="24"/>
        </w:rPr>
      </w:pPr>
      <w:r w:rsidRPr="0084495E">
        <w:rPr>
          <w:sz w:val="24"/>
          <w:szCs w:val="24"/>
        </w:rPr>
        <w:t xml:space="preserve">Kostis JB, Wilson AC, Lacy CR, Cosgrove NM, </w:t>
      </w:r>
      <w:proofErr w:type="spellStart"/>
      <w:r w:rsidRPr="0084495E">
        <w:rPr>
          <w:sz w:val="24"/>
          <w:szCs w:val="24"/>
        </w:rPr>
        <w:t>Ranjan</w:t>
      </w:r>
      <w:proofErr w:type="spellEnd"/>
      <w:r w:rsidRPr="0084495E">
        <w:rPr>
          <w:sz w:val="24"/>
          <w:szCs w:val="24"/>
        </w:rPr>
        <w:t xml:space="preserve"> R, Lawrence-Nelson J. Time trends in the occurrence and outcome of acute myocardial infarction and coronary heart disease death between 1986 and 1996 (a New Jersey statewide study). Am J </w:t>
      </w:r>
      <w:proofErr w:type="spellStart"/>
      <w:r w:rsidRPr="0084495E">
        <w:rPr>
          <w:sz w:val="24"/>
          <w:szCs w:val="24"/>
        </w:rPr>
        <w:t>Cardiol</w:t>
      </w:r>
      <w:proofErr w:type="spellEnd"/>
      <w:r w:rsidRPr="0084495E">
        <w:rPr>
          <w:sz w:val="24"/>
          <w:szCs w:val="24"/>
        </w:rPr>
        <w:t xml:space="preserve"> 2001;88:837-841</w:t>
      </w:r>
    </w:p>
    <w:p w14:paraId="5AAC6E44" w14:textId="77777777" w:rsidR="000318E4" w:rsidRPr="00AB375F" w:rsidRDefault="000318E4" w:rsidP="000318E4">
      <w:pPr>
        <w:pStyle w:val="NoSpacing"/>
        <w:numPr>
          <w:ilvl w:val="0"/>
          <w:numId w:val="18"/>
        </w:numPr>
        <w:rPr>
          <w:rFonts w:asciiTheme="minorHAnsi" w:hAnsiTheme="minorHAnsi"/>
          <w:szCs w:val="24"/>
        </w:rPr>
      </w:pPr>
      <w:proofErr w:type="spellStart"/>
      <w:r>
        <w:rPr>
          <w:rFonts w:asciiTheme="minorHAnsi" w:hAnsiTheme="minorHAnsi"/>
          <w:szCs w:val="24"/>
        </w:rPr>
        <w:t>Thygesen</w:t>
      </w:r>
      <w:proofErr w:type="spellEnd"/>
      <w:r>
        <w:rPr>
          <w:rFonts w:asciiTheme="minorHAnsi" w:hAnsiTheme="minorHAnsi"/>
          <w:szCs w:val="24"/>
        </w:rPr>
        <w:t xml:space="preserve"> K, Alpert JS, </w:t>
      </w:r>
      <w:proofErr w:type="spellStart"/>
      <w:r>
        <w:rPr>
          <w:rFonts w:asciiTheme="minorHAnsi" w:hAnsiTheme="minorHAnsi"/>
          <w:szCs w:val="24"/>
        </w:rPr>
        <w:t>Jaffeee</w:t>
      </w:r>
      <w:proofErr w:type="spellEnd"/>
      <w:r>
        <w:rPr>
          <w:rFonts w:asciiTheme="minorHAnsi" w:hAnsiTheme="minorHAnsi"/>
          <w:szCs w:val="24"/>
        </w:rPr>
        <w:t xml:space="preserve"> As </w:t>
      </w:r>
      <w:proofErr w:type="spellStart"/>
      <w:r>
        <w:rPr>
          <w:rFonts w:asciiTheme="minorHAnsi" w:hAnsiTheme="minorHAnsi"/>
          <w:szCs w:val="24"/>
        </w:rPr>
        <w:t>Chaitman</w:t>
      </w:r>
      <w:proofErr w:type="spellEnd"/>
      <w:r>
        <w:rPr>
          <w:rFonts w:asciiTheme="minorHAnsi" w:hAnsiTheme="minorHAnsi"/>
          <w:szCs w:val="24"/>
        </w:rPr>
        <w:t xml:space="preserve"> BR, </w:t>
      </w:r>
      <w:proofErr w:type="spellStart"/>
      <w:r>
        <w:rPr>
          <w:rFonts w:asciiTheme="minorHAnsi" w:hAnsiTheme="minorHAnsi"/>
          <w:szCs w:val="24"/>
        </w:rPr>
        <w:t>Brax</w:t>
      </w:r>
      <w:proofErr w:type="spellEnd"/>
      <w:r>
        <w:rPr>
          <w:rFonts w:asciiTheme="minorHAnsi" w:hAnsiTheme="minorHAnsi"/>
          <w:szCs w:val="24"/>
        </w:rPr>
        <w:t xml:space="preserve"> JJ, Morrow DA, White HD; Executive Group on behalf of the Joint European Society of Cardiology (ESC)/American College of Cardiology (ACC)/American Heart Association (AHA)/World Heart Federation (WHF) Task Force for the University Definition of Myocardial Infarction</w:t>
      </w:r>
      <w:r w:rsidRPr="00AB375F">
        <w:rPr>
          <w:rFonts w:asciiTheme="minorHAnsi" w:hAnsiTheme="minorHAnsi"/>
          <w:szCs w:val="24"/>
        </w:rPr>
        <w:t xml:space="preserve">. </w:t>
      </w:r>
      <w:r>
        <w:rPr>
          <w:rFonts w:asciiTheme="minorHAnsi" w:hAnsiTheme="minorHAnsi"/>
          <w:i/>
          <w:iCs/>
          <w:szCs w:val="24"/>
        </w:rPr>
        <w:t>Circulation</w:t>
      </w:r>
      <w:r w:rsidRPr="00AB375F">
        <w:rPr>
          <w:rFonts w:asciiTheme="minorHAnsi" w:hAnsiTheme="minorHAnsi"/>
          <w:szCs w:val="24"/>
        </w:rPr>
        <w:t>. 20</w:t>
      </w:r>
      <w:r>
        <w:rPr>
          <w:rFonts w:asciiTheme="minorHAnsi" w:hAnsiTheme="minorHAnsi"/>
          <w:szCs w:val="24"/>
        </w:rPr>
        <w:t>18</w:t>
      </w:r>
      <w:r w:rsidRPr="00AB375F">
        <w:rPr>
          <w:rFonts w:asciiTheme="minorHAnsi" w:hAnsiTheme="minorHAnsi"/>
          <w:szCs w:val="24"/>
        </w:rPr>
        <w:t>;</w:t>
      </w:r>
      <w:r>
        <w:rPr>
          <w:rFonts w:asciiTheme="minorHAnsi" w:hAnsiTheme="minorHAnsi"/>
          <w:szCs w:val="24"/>
        </w:rPr>
        <w:t>138</w:t>
      </w:r>
      <w:r w:rsidRPr="00AB375F">
        <w:rPr>
          <w:rFonts w:asciiTheme="minorHAnsi" w:hAnsiTheme="minorHAnsi"/>
          <w:szCs w:val="24"/>
        </w:rPr>
        <w:t>:</w:t>
      </w:r>
      <w:r>
        <w:rPr>
          <w:rFonts w:asciiTheme="minorHAnsi" w:hAnsiTheme="minorHAnsi"/>
          <w:szCs w:val="24"/>
        </w:rPr>
        <w:t>e618-e651</w:t>
      </w:r>
      <w:r w:rsidRPr="00AB375F">
        <w:rPr>
          <w:rFonts w:asciiTheme="minorHAnsi" w:hAnsiTheme="minorHAnsi"/>
          <w:szCs w:val="24"/>
        </w:rPr>
        <w:t xml:space="preserve">. </w:t>
      </w:r>
    </w:p>
    <w:p w14:paraId="240EFF0C" w14:textId="77777777" w:rsidR="000318E4" w:rsidRPr="00AB375F" w:rsidRDefault="000318E4" w:rsidP="000318E4">
      <w:pPr>
        <w:pStyle w:val="NoSpacing"/>
        <w:numPr>
          <w:ilvl w:val="0"/>
          <w:numId w:val="18"/>
        </w:numPr>
        <w:rPr>
          <w:rFonts w:asciiTheme="minorHAnsi" w:hAnsiTheme="minorHAnsi"/>
          <w:szCs w:val="24"/>
        </w:rPr>
      </w:pPr>
      <w:r w:rsidRPr="00AB375F">
        <w:rPr>
          <w:rFonts w:asciiTheme="minorHAnsi" w:hAnsiTheme="minorHAnsi"/>
          <w:szCs w:val="24"/>
        </w:rPr>
        <w:t xml:space="preserve">Kostis WJ, Deng Y, Pantazopoulos JS, Moreyra AE, Kostis JB; for the Myocardial Infarction Data Acquisition System (MIDAS14) Study Group. </w:t>
      </w:r>
      <w:proofErr w:type="spellStart"/>
      <w:r w:rsidRPr="00AB375F">
        <w:rPr>
          <w:rFonts w:asciiTheme="minorHAnsi" w:hAnsiTheme="minorHAnsi"/>
          <w:i/>
          <w:szCs w:val="24"/>
        </w:rPr>
        <w:t>Circ</w:t>
      </w:r>
      <w:proofErr w:type="spellEnd"/>
      <w:r w:rsidRPr="00AB375F">
        <w:rPr>
          <w:rFonts w:asciiTheme="minorHAnsi" w:hAnsiTheme="minorHAnsi"/>
          <w:i/>
          <w:szCs w:val="24"/>
        </w:rPr>
        <w:t xml:space="preserve"> </w:t>
      </w:r>
      <w:proofErr w:type="spellStart"/>
      <w:r w:rsidRPr="00AB375F">
        <w:rPr>
          <w:rFonts w:asciiTheme="minorHAnsi" w:hAnsiTheme="minorHAnsi"/>
          <w:i/>
          <w:szCs w:val="24"/>
        </w:rPr>
        <w:t>Cardiovasc</w:t>
      </w:r>
      <w:proofErr w:type="spellEnd"/>
      <w:r w:rsidRPr="00AB375F">
        <w:rPr>
          <w:rFonts w:asciiTheme="minorHAnsi" w:hAnsiTheme="minorHAnsi"/>
          <w:i/>
          <w:szCs w:val="24"/>
        </w:rPr>
        <w:t xml:space="preserve"> </w:t>
      </w:r>
      <w:proofErr w:type="spellStart"/>
      <w:r w:rsidRPr="00AB375F">
        <w:rPr>
          <w:rFonts w:asciiTheme="minorHAnsi" w:hAnsiTheme="minorHAnsi"/>
          <w:i/>
          <w:szCs w:val="24"/>
        </w:rPr>
        <w:t>Qual</w:t>
      </w:r>
      <w:proofErr w:type="spellEnd"/>
      <w:r w:rsidRPr="00AB375F">
        <w:rPr>
          <w:rFonts w:asciiTheme="minorHAnsi" w:hAnsiTheme="minorHAnsi"/>
          <w:i/>
          <w:szCs w:val="24"/>
        </w:rPr>
        <w:t xml:space="preserve"> Outcomes.</w:t>
      </w:r>
      <w:r w:rsidRPr="00AB375F">
        <w:rPr>
          <w:rFonts w:asciiTheme="minorHAnsi" w:hAnsiTheme="minorHAnsi"/>
          <w:szCs w:val="24"/>
        </w:rPr>
        <w:t xml:space="preserve"> 2010;3:581-589.</w:t>
      </w:r>
    </w:p>
    <w:p w14:paraId="6E5B28C0" w14:textId="77777777" w:rsidR="000318E4" w:rsidRPr="00957F6D" w:rsidRDefault="000318E4" w:rsidP="000318E4">
      <w:pPr>
        <w:pStyle w:val="NoSpacing"/>
        <w:numPr>
          <w:ilvl w:val="0"/>
          <w:numId w:val="18"/>
        </w:numPr>
        <w:rPr>
          <w:rFonts w:asciiTheme="minorHAnsi" w:hAnsiTheme="minorHAnsi"/>
          <w:szCs w:val="24"/>
        </w:rPr>
      </w:pPr>
      <w:r w:rsidRPr="00AB375F">
        <w:rPr>
          <w:rFonts w:asciiTheme="minorHAnsi" w:hAnsiTheme="minorHAnsi"/>
          <w:szCs w:val="24"/>
        </w:rPr>
        <w:t xml:space="preserve">Parikh NI, </w:t>
      </w:r>
      <w:proofErr w:type="spellStart"/>
      <w:r w:rsidRPr="00AB375F">
        <w:rPr>
          <w:rFonts w:asciiTheme="minorHAnsi" w:hAnsiTheme="minorHAnsi"/>
          <w:szCs w:val="24"/>
        </w:rPr>
        <w:t>Gona</w:t>
      </w:r>
      <w:proofErr w:type="spellEnd"/>
      <w:r w:rsidRPr="00AB375F">
        <w:rPr>
          <w:rFonts w:asciiTheme="minorHAnsi" w:hAnsiTheme="minorHAnsi"/>
          <w:szCs w:val="24"/>
        </w:rPr>
        <w:t xml:space="preserve"> P, Larson MG, Fox CS, Benjamin EJ, </w:t>
      </w:r>
      <w:proofErr w:type="spellStart"/>
      <w:r w:rsidRPr="00AB375F">
        <w:rPr>
          <w:rFonts w:asciiTheme="minorHAnsi" w:hAnsiTheme="minorHAnsi"/>
          <w:szCs w:val="24"/>
        </w:rPr>
        <w:t>Murabito</w:t>
      </w:r>
      <w:proofErr w:type="spellEnd"/>
      <w:r w:rsidRPr="00AB375F">
        <w:rPr>
          <w:rFonts w:asciiTheme="minorHAnsi" w:hAnsiTheme="minorHAnsi"/>
          <w:szCs w:val="24"/>
        </w:rPr>
        <w:t xml:space="preserve"> JM, O’Donnell CJ, </w:t>
      </w:r>
      <w:proofErr w:type="spellStart"/>
      <w:r w:rsidRPr="00AB375F">
        <w:rPr>
          <w:rFonts w:asciiTheme="minorHAnsi" w:hAnsiTheme="minorHAnsi"/>
          <w:szCs w:val="24"/>
        </w:rPr>
        <w:t>Vasan</w:t>
      </w:r>
      <w:proofErr w:type="spellEnd"/>
      <w:r w:rsidRPr="00AB375F">
        <w:rPr>
          <w:rFonts w:asciiTheme="minorHAnsi" w:hAnsiTheme="minorHAnsi"/>
          <w:szCs w:val="24"/>
        </w:rPr>
        <w:t xml:space="preserve"> RS, Levy D. Long-term trends in myocardial infarction incidence and case fatality in the National Heart, Lung, and Blood Institute’s Framingham Heart Study. </w:t>
      </w:r>
      <w:r w:rsidRPr="00AB375F">
        <w:rPr>
          <w:rFonts w:asciiTheme="minorHAnsi" w:hAnsiTheme="minorHAnsi"/>
          <w:i/>
          <w:iCs/>
          <w:szCs w:val="24"/>
        </w:rPr>
        <w:t>Circulation</w:t>
      </w:r>
      <w:r w:rsidRPr="00AB375F">
        <w:rPr>
          <w:rFonts w:asciiTheme="minorHAnsi" w:hAnsiTheme="minorHAnsi"/>
          <w:szCs w:val="24"/>
        </w:rPr>
        <w:t xml:space="preserve">. 2009;119:1203–1210. </w:t>
      </w:r>
    </w:p>
    <w:p w14:paraId="3A375333" w14:textId="77777777" w:rsidR="000318E4" w:rsidRPr="00AB375F" w:rsidRDefault="000318E4" w:rsidP="000318E4">
      <w:pPr>
        <w:pStyle w:val="NoSpacing"/>
        <w:numPr>
          <w:ilvl w:val="0"/>
          <w:numId w:val="18"/>
        </w:numPr>
        <w:rPr>
          <w:rFonts w:asciiTheme="minorHAnsi" w:hAnsiTheme="minorHAnsi"/>
          <w:szCs w:val="24"/>
        </w:rPr>
      </w:pPr>
      <w:r w:rsidRPr="00AB375F">
        <w:rPr>
          <w:rFonts w:asciiTheme="minorHAnsi" w:hAnsiTheme="minorHAnsi"/>
          <w:szCs w:val="24"/>
        </w:rPr>
        <w:t xml:space="preserve">Kostis JB, Wilson AC, O’Dowd K, Gregory P, </w:t>
      </w:r>
      <w:proofErr w:type="spellStart"/>
      <w:r w:rsidRPr="00AB375F">
        <w:rPr>
          <w:rFonts w:asciiTheme="minorHAnsi" w:hAnsiTheme="minorHAnsi"/>
          <w:szCs w:val="24"/>
        </w:rPr>
        <w:t>Chelton</w:t>
      </w:r>
      <w:proofErr w:type="spellEnd"/>
      <w:r w:rsidRPr="00AB375F">
        <w:rPr>
          <w:rFonts w:asciiTheme="minorHAnsi" w:hAnsiTheme="minorHAnsi"/>
          <w:szCs w:val="24"/>
        </w:rPr>
        <w:t xml:space="preserve"> S, Cosgrove NM, </w:t>
      </w:r>
      <w:proofErr w:type="spellStart"/>
      <w:r w:rsidRPr="00AB375F">
        <w:rPr>
          <w:rFonts w:asciiTheme="minorHAnsi" w:hAnsiTheme="minorHAnsi"/>
          <w:szCs w:val="24"/>
        </w:rPr>
        <w:t>Chirala</w:t>
      </w:r>
      <w:proofErr w:type="spellEnd"/>
      <w:r w:rsidRPr="00AB375F">
        <w:rPr>
          <w:rFonts w:asciiTheme="minorHAnsi" w:hAnsiTheme="minorHAnsi"/>
          <w:szCs w:val="24"/>
        </w:rPr>
        <w:t xml:space="preserve"> A, Cui T. Sex differences in the management and long-term outcome of acute myocardial infarction: a statewide study. MIDAS Study Group: Myocardial Infarction Data Acquisition System. </w:t>
      </w:r>
      <w:r w:rsidRPr="00AB375F">
        <w:rPr>
          <w:rFonts w:asciiTheme="minorHAnsi" w:hAnsiTheme="minorHAnsi"/>
          <w:i/>
          <w:iCs/>
          <w:szCs w:val="24"/>
        </w:rPr>
        <w:t>Circulation</w:t>
      </w:r>
      <w:r w:rsidRPr="00AB375F">
        <w:rPr>
          <w:rFonts w:asciiTheme="minorHAnsi" w:hAnsiTheme="minorHAnsi"/>
          <w:szCs w:val="24"/>
        </w:rPr>
        <w:t xml:space="preserve">. 1994;90:1715–1730. </w:t>
      </w:r>
      <w:r w:rsidRPr="00AB375F">
        <w:rPr>
          <w:rFonts w:ascii="MS Gothic" w:eastAsia="MS Gothic" w:hAnsi="MS Gothic" w:cs="MS Gothic" w:hint="eastAsia"/>
          <w:szCs w:val="24"/>
        </w:rPr>
        <w:t> </w:t>
      </w:r>
    </w:p>
    <w:p w14:paraId="777F9255" w14:textId="77777777" w:rsidR="000318E4" w:rsidRPr="00AB375F" w:rsidRDefault="000318E4" w:rsidP="000318E4">
      <w:pPr>
        <w:pStyle w:val="NoSpacing"/>
        <w:numPr>
          <w:ilvl w:val="0"/>
          <w:numId w:val="18"/>
        </w:numPr>
        <w:rPr>
          <w:rFonts w:asciiTheme="minorHAnsi" w:hAnsiTheme="minorHAnsi"/>
          <w:szCs w:val="24"/>
        </w:rPr>
      </w:pPr>
      <w:r w:rsidRPr="00AB375F">
        <w:rPr>
          <w:rFonts w:asciiTheme="minorHAnsi" w:hAnsiTheme="minorHAnsi"/>
          <w:szCs w:val="24"/>
        </w:rPr>
        <w:t xml:space="preserve">Kostis WJ, </w:t>
      </w:r>
      <w:proofErr w:type="spellStart"/>
      <w:r w:rsidRPr="00AB375F">
        <w:rPr>
          <w:rFonts w:asciiTheme="minorHAnsi" w:hAnsiTheme="minorHAnsi"/>
          <w:szCs w:val="24"/>
        </w:rPr>
        <w:t>Demissie</w:t>
      </w:r>
      <w:proofErr w:type="spellEnd"/>
      <w:r w:rsidRPr="00AB375F">
        <w:rPr>
          <w:rFonts w:asciiTheme="minorHAnsi" w:hAnsiTheme="minorHAnsi"/>
          <w:szCs w:val="24"/>
        </w:rPr>
        <w:t xml:space="preserve"> K, Marcella SW, Shao Y-H, Wilson AC, Moreyra AE, for the Myocardial Infarction Data Acquisition System (MIDAS 10) Study Group. Weekend versus weekday admission and mortality in patients with myocardial infarction. </w:t>
      </w:r>
      <w:r w:rsidRPr="00AB375F">
        <w:rPr>
          <w:rFonts w:asciiTheme="minorHAnsi" w:hAnsiTheme="minorHAnsi"/>
          <w:i/>
          <w:iCs/>
          <w:szCs w:val="24"/>
        </w:rPr>
        <w:t xml:space="preserve">N </w:t>
      </w:r>
      <w:proofErr w:type="spellStart"/>
      <w:r w:rsidRPr="00AB375F">
        <w:rPr>
          <w:rFonts w:asciiTheme="minorHAnsi" w:hAnsiTheme="minorHAnsi"/>
          <w:i/>
          <w:iCs/>
          <w:szCs w:val="24"/>
        </w:rPr>
        <w:t>Engl</w:t>
      </w:r>
      <w:proofErr w:type="spellEnd"/>
      <w:r w:rsidRPr="00AB375F">
        <w:rPr>
          <w:rFonts w:asciiTheme="minorHAnsi" w:hAnsiTheme="minorHAnsi"/>
          <w:i/>
          <w:iCs/>
          <w:szCs w:val="24"/>
        </w:rPr>
        <w:t xml:space="preserve"> J Med. </w:t>
      </w:r>
      <w:r w:rsidRPr="00AB375F">
        <w:rPr>
          <w:rFonts w:asciiTheme="minorHAnsi" w:hAnsiTheme="minorHAnsi"/>
          <w:szCs w:val="24"/>
        </w:rPr>
        <w:t>2007;356:1099 –1109.</w:t>
      </w:r>
    </w:p>
    <w:p w14:paraId="741DB9AB" w14:textId="77777777" w:rsidR="000318E4" w:rsidRPr="00AB375F" w:rsidRDefault="000318E4" w:rsidP="000318E4">
      <w:pPr>
        <w:pStyle w:val="NoSpacing"/>
        <w:numPr>
          <w:ilvl w:val="0"/>
          <w:numId w:val="18"/>
        </w:numPr>
        <w:rPr>
          <w:rFonts w:asciiTheme="minorHAnsi" w:hAnsiTheme="minorHAnsi"/>
          <w:szCs w:val="24"/>
        </w:rPr>
      </w:pPr>
      <w:r w:rsidRPr="00AB375F">
        <w:rPr>
          <w:rFonts w:asciiTheme="minorHAnsi" w:hAnsiTheme="minorHAnsi"/>
          <w:szCs w:val="24"/>
        </w:rPr>
        <w:t>Roger VL. Myocardial infarction outcomes. "The times, they are a-</w:t>
      </w:r>
      <w:proofErr w:type="spellStart"/>
      <w:r w:rsidRPr="00AB375F">
        <w:rPr>
          <w:rFonts w:asciiTheme="minorHAnsi" w:hAnsiTheme="minorHAnsi"/>
          <w:szCs w:val="24"/>
        </w:rPr>
        <w:t>changin</w:t>
      </w:r>
      <w:proofErr w:type="spellEnd"/>
      <w:r w:rsidRPr="00AB375F">
        <w:rPr>
          <w:rFonts w:asciiTheme="minorHAnsi" w:hAnsiTheme="minorHAnsi"/>
          <w:szCs w:val="24"/>
        </w:rPr>
        <w:t xml:space="preserve">…". </w:t>
      </w:r>
      <w:proofErr w:type="spellStart"/>
      <w:r>
        <w:rPr>
          <w:rFonts w:asciiTheme="minorHAnsi" w:hAnsiTheme="minorHAnsi"/>
          <w:i/>
          <w:szCs w:val="24"/>
        </w:rPr>
        <w:t>Circ</w:t>
      </w:r>
      <w:proofErr w:type="spellEnd"/>
      <w:r>
        <w:rPr>
          <w:rFonts w:asciiTheme="minorHAnsi" w:hAnsiTheme="minorHAnsi"/>
          <w:i/>
          <w:szCs w:val="24"/>
        </w:rPr>
        <w:t xml:space="preserve"> </w:t>
      </w:r>
      <w:proofErr w:type="spellStart"/>
      <w:r>
        <w:rPr>
          <w:rFonts w:asciiTheme="minorHAnsi" w:hAnsiTheme="minorHAnsi"/>
          <w:i/>
          <w:szCs w:val="24"/>
        </w:rPr>
        <w:t>Cardiovasc</w:t>
      </w:r>
      <w:proofErr w:type="spellEnd"/>
      <w:r>
        <w:rPr>
          <w:rFonts w:asciiTheme="minorHAnsi" w:hAnsiTheme="minorHAnsi"/>
          <w:i/>
          <w:szCs w:val="24"/>
        </w:rPr>
        <w:t xml:space="preserve"> </w:t>
      </w:r>
      <w:proofErr w:type="spellStart"/>
      <w:r>
        <w:rPr>
          <w:rFonts w:asciiTheme="minorHAnsi" w:hAnsiTheme="minorHAnsi"/>
          <w:i/>
          <w:szCs w:val="24"/>
        </w:rPr>
        <w:t>Qual</w:t>
      </w:r>
      <w:proofErr w:type="spellEnd"/>
      <w:r>
        <w:rPr>
          <w:rFonts w:asciiTheme="minorHAnsi" w:hAnsiTheme="minorHAnsi"/>
          <w:i/>
          <w:szCs w:val="24"/>
        </w:rPr>
        <w:t xml:space="preserve"> </w:t>
      </w:r>
      <w:r w:rsidRPr="00AB375F">
        <w:rPr>
          <w:rFonts w:asciiTheme="minorHAnsi" w:hAnsiTheme="minorHAnsi"/>
          <w:i/>
          <w:szCs w:val="24"/>
        </w:rPr>
        <w:t>Outcomes.</w:t>
      </w:r>
      <w:r w:rsidRPr="00AB375F">
        <w:rPr>
          <w:rFonts w:asciiTheme="minorHAnsi" w:hAnsiTheme="minorHAnsi"/>
          <w:szCs w:val="24"/>
        </w:rPr>
        <w:t xml:space="preserve"> 2010;3:568-570.</w:t>
      </w:r>
    </w:p>
    <w:p w14:paraId="62A60C5C" w14:textId="77777777" w:rsidR="000318E4" w:rsidRDefault="000318E4" w:rsidP="000318E4">
      <w:pPr>
        <w:pStyle w:val="ListParagraph"/>
        <w:spacing w:line="240" w:lineRule="auto"/>
        <w:ind w:left="1440"/>
        <w:jc w:val="both"/>
        <w:rPr>
          <w:sz w:val="24"/>
          <w:szCs w:val="24"/>
        </w:rPr>
      </w:pPr>
    </w:p>
    <w:p w14:paraId="21D5F70D" w14:textId="4F24D6F5" w:rsidR="0045515C" w:rsidRPr="00AB375F" w:rsidRDefault="0045515C" w:rsidP="000318E4">
      <w:pPr>
        <w:pStyle w:val="NoSpacing"/>
        <w:rPr>
          <w:rFonts w:eastAsiaTheme="minorEastAsia" w:cstheme="minorEastAsia"/>
          <w:szCs w:val="24"/>
        </w:rPr>
      </w:pPr>
    </w:p>
    <w:sectPr w:rsidR="0045515C" w:rsidRPr="00AB375F" w:rsidSect="00785E66">
      <w:headerReference w:type="default" r:id="rId11"/>
      <w:footerReference w:type="default" r:id="rId12"/>
      <w:pgSz w:w="12240" w:h="15840"/>
      <w:pgMar w:top="720" w:right="720" w:bottom="720" w:left="720" w:header="720" w:footer="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7C956E" w15:done="0"/>
  <w15:commentEx w15:paraId="6E371C78" w15:done="0"/>
  <w15:commentEx w15:paraId="3CC69296" w15:paraIdParent="6E371C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7C956E" w16cid:durableId="2082709B"/>
  <w16cid:commentId w16cid:paraId="6E371C78" w16cid:durableId="20827103"/>
  <w16cid:commentId w16cid:paraId="3CC69296" w16cid:durableId="208271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39DEB" w14:textId="77777777" w:rsidR="004969CA" w:rsidRDefault="004969CA" w:rsidP="00126E30">
      <w:pPr>
        <w:spacing w:after="0" w:line="240" w:lineRule="auto"/>
      </w:pPr>
      <w:r>
        <w:separator/>
      </w:r>
    </w:p>
  </w:endnote>
  <w:endnote w:type="continuationSeparator" w:id="0">
    <w:p w14:paraId="72374572" w14:textId="77777777" w:rsidR="004969CA" w:rsidRDefault="004969CA" w:rsidP="00126E30">
      <w:pPr>
        <w:spacing w:after="0" w:line="240" w:lineRule="auto"/>
      </w:pPr>
      <w:r>
        <w:continuationSeparator/>
      </w:r>
    </w:p>
  </w:endnote>
  <w:endnote w:type="continuationNotice" w:id="1">
    <w:p w14:paraId="6291CCA0" w14:textId="77777777" w:rsidR="004969CA" w:rsidRDefault="004969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imes New Roman,MS 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9652037"/>
      <w:docPartObj>
        <w:docPartGallery w:val="Page Numbers (Bottom of Page)"/>
        <w:docPartUnique/>
      </w:docPartObj>
    </w:sdtPr>
    <w:sdtEndPr>
      <w:rPr>
        <w:noProof/>
        <w:sz w:val="24"/>
      </w:rPr>
    </w:sdtEndPr>
    <w:sdtContent>
      <w:p w14:paraId="6668FCCD" w14:textId="204E9166" w:rsidR="00BE4B06" w:rsidRDefault="00BE4B06" w:rsidP="002E745E">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3181"/>
          <w:gridCol w:w="3673"/>
        </w:tblGrid>
        <w:tr w:rsidR="00BE4B06" w14:paraId="3244B841" w14:textId="77777777" w:rsidTr="74DA8887">
          <w:tc>
            <w:tcPr>
              <w:tcW w:w="1889" w:type="pct"/>
            </w:tcPr>
            <w:p w14:paraId="56FB76AA" w14:textId="6B241DD6" w:rsidR="00BE4B06" w:rsidRPr="00002B24" w:rsidRDefault="74DA8887" w:rsidP="74DA8887">
              <w:pPr>
                <w:pStyle w:val="Footer"/>
                <w:rPr>
                  <w:sz w:val="18"/>
                  <w:szCs w:val="18"/>
                </w:rPr>
              </w:pPr>
              <w:r w:rsidRPr="74DA8887">
                <w:rPr>
                  <w:sz w:val="18"/>
                  <w:szCs w:val="18"/>
                </w:rPr>
                <w:t xml:space="preserve">Protocol Number: </w:t>
              </w:r>
              <w:r w:rsidR="00DC6366">
                <w:rPr>
                  <w:sz w:val="18"/>
                  <w:szCs w:val="18"/>
                </w:rPr>
                <w:t>2019000904</w:t>
              </w:r>
            </w:p>
            <w:p w14:paraId="248AC844" w14:textId="4BA919B9" w:rsidR="00BE4B06" w:rsidRPr="00002B24" w:rsidRDefault="74DA8887" w:rsidP="74DA8887">
              <w:pPr>
                <w:pStyle w:val="Footer"/>
                <w:rPr>
                  <w:sz w:val="18"/>
                  <w:szCs w:val="18"/>
                </w:rPr>
              </w:pPr>
              <w:r w:rsidRPr="74DA8887">
                <w:rPr>
                  <w:sz w:val="18"/>
                  <w:szCs w:val="18"/>
                </w:rPr>
                <w:t xml:space="preserve">PI Name: </w:t>
              </w:r>
              <w:r w:rsidR="00863358">
                <w:rPr>
                  <w:sz w:val="18"/>
                  <w:szCs w:val="18"/>
                </w:rPr>
                <w:t xml:space="preserve">John B. Kostis, MD, </w:t>
              </w:r>
              <w:proofErr w:type="spellStart"/>
              <w:r w:rsidR="00863358">
                <w:rPr>
                  <w:sz w:val="18"/>
                  <w:szCs w:val="18"/>
                </w:rPr>
                <w:t>DPhill</w:t>
              </w:r>
              <w:proofErr w:type="spellEnd"/>
            </w:p>
            <w:p w14:paraId="08043A11" w14:textId="1CE9FC91" w:rsidR="00BE4B06" w:rsidRPr="00002B24" w:rsidRDefault="74DA8887" w:rsidP="74DA8887">
              <w:pPr>
                <w:pStyle w:val="Footer"/>
                <w:rPr>
                  <w:sz w:val="18"/>
                  <w:szCs w:val="18"/>
                </w:rPr>
              </w:pPr>
              <w:r w:rsidRPr="74DA8887">
                <w:rPr>
                  <w:sz w:val="18"/>
                  <w:szCs w:val="18"/>
                </w:rPr>
                <w:t>Protocol Title:</w:t>
              </w:r>
              <w:r w:rsidR="004D3C1D">
                <w:rPr>
                  <w:sz w:val="18"/>
                  <w:szCs w:val="18"/>
                </w:rPr>
                <w:t xml:space="preserve"> </w:t>
              </w:r>
              <w:r w:rsidR="00BB1D4A">
                <w:rPr>
                  <w:sz w:val="18"/>
                  <w:szCs w:val="18"/>
                </w:rPr>
                <w:t>Myocardial Infarction in the Young</w:t>
              </w:r>
            </w:p>
            <w:p w14:paraId="303C7ADC" w14:textId="77777777" w:rsidR="00BE4B06" w:rsidRDefault="00BE4B06" w:rsidP="002E745E">
              <w:pPr>
                <w:pStyle w:val="Footer"/>
              </w:pPr>
            </w:p>
            <w:p w14:paraId="66F54A5B" w14:textId="5DF43B24" w:rsidR="00BE4B06" w:rsidRDefault="00BE4B06" w:rsidP="002E745E">
              <w:pPr>
                <w:pStyle w:val="Footer"/>
              </w:pPr>
            </w:p>
          </w:tc>
          <w:tc>
            <w:tcPr>
              <w:tcW w:w="1444" w:type="pct"/>
            </w:tcPr>
            <w:p w14:paraId="5A36B31D" w14:textId="4C0B4F52" w:rsidR="00BE4B06" w:rsidRDefault="00BE4B06" w:rsidP="002E745E">
              <w:pPr>
                <w:pStyle w:val="Footer"/>
                <w:jc w:val="center"/>
              </w:pPr>
              <w:r w:rsidRPr="001D10CD">
                <w:rPr>
                  <w:sz w:val="20"/>
                </w:rPr>
                <w:fldChar w:fldCharType="begin"/>
              </w:r>
              <w:r w:rsidRPr="001D10CD">
                <w:rPr>
                  <w:sz w:val="20"/>
                </w:rPr>
                <w:instrText xml:space="preserve"> PAGE   \* MERGEFORMAT </w:instrText>
              </w:r>
              <w:r w:rsidRPr="001D10CD">
                <w:rPr>
                  <w:sz w:val="20"/>
                </w:rPr>
                <w:fldChar w:fldCharType="separate"/>
              </w:r>
              <w:r w:rsidR="00603DF9">
                <w:rPr>
                  <w:noProof/>
                  <w:sz w:val="20"/>
                </w:rPr>
                <w:t>3</w:t>
              </w:r>
              <w:r w:rsidRPr="001D10CD">
                <w:rPr>
                  <w:noProof/>
                  <w:sz w:val="20"/>
                </w:rPr>
                <w:fldChar w:fldCharType="end"/>
              </w:r>
            </w:p>
            <w:p w14:paraId="01BA5F75" w14:textId="77777777" w:rsidR="00BE4B06" w:rsidRDefault="00BE4B06" w:rsidP="002E745E">
              <w:pPr>
                <w:pStyle w:val="Footer"/>
                <w:jc w:val="center"/>
              </w:pPr>
            </w:p>
            <w:p w14:paraId="6B328376" w14:textId="4D74D012" w:rsidR="00BE4B06" w:rsidRDefault="00BE4B06" w:rsidP="002E745E">
              <w:pPr>
                <w:pStyle w:val="Footer"/>
                <w:jc w:val="center"/>
              </w:pPr>
            </w:p>
          </w:tc>
          <w:tc>
            <w:tcPr>
              <w:tcW w:w="1667" w:type="pct"/>
            </w:tcPr>
            <w:tbl>
              <w:tblPr>
                <w:tblStyle w:val="TableGrid"/>
                <w:tblW w:w="3062"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3062"/>
              </w:tblGrid>
              <w:tr w:rsidR="00BE4B06" w14:paraId="07EADCE3" w14:textId="77777777" w:rsidTr="74DA8887">
                <w:tc>
                  <w:tcPr>
                    <w:tcW w:w="3062" w:type="dxa"/>
                  </w:tcPr>
                  <w:p w14:paraId="78156DB3" w14:textId="77777777" w:rsidR="00BE4B06" w:rsidRPr="00002B24" w:rsidRDefault="74DA8887" w:rsidP="74DA8887">
                    <w:pPr>
                      <w:pStyle w:val="Footer"/>
                      <w:jc w:val="center"/>
                      <w:rPr>
                        <w:i/>
                        <w:iCs/>
                        <w:sz w:val="16"/>
                        <w:szCs w:val="16"/>
                      </w:rPr>
                    </w:pPr>
                    <w:r w:rsidRPr="74DA8887">
                      <w:rPr>
                        <w:i/>
                        <w:iCs/>
                        <w:sz w:val="16"/>
                        <w:szCs w:val="16"/>
                      </w:rPr>
                      <w:t>RESERVED FOR IRB STAMP</w:t>
                    </w:r>
                  </w:p>
                  <w:p w14:paraId="691E55F9" w14:textId="7CE3622A" w:rsidR="00BE4B06" w:rsidRPr="00002B24" w:rsidRDefault="74DA8887" w:rsidP="74DA8887">
                    <w:pPr>
                      <w:pStyle w:val="Footer"/>
                      <w:jc w:val="center"/>
                      <w:rPr>
                        <w:i/>
                        <w:iCs/>
                        <w:sz w:val="16"/>
                        <w:szCs w:val="16"/>
                      </w:rPr>
                    </w:pPr>
                    <w:r w:rsidRPr="74DA8887">
                      <w:rPr>
                        <w:i/>
                        <w:iCs/>
                        <w:sz w:val="16"/>
                        <w:szCs w:val="16"/>
                      </w:rPr>
                      <w:t>DO NOT MODIFY THIS SPACE</w:t>
                    </w:r>
                  </w:p>
                  <w:p w14:paraId="1FB98B27" w14:textId="77777777" w:rsidR="00BE4B06" w:rsidRDefault="00BE4B06" w:rsidP="002E745E">
                    <w:pPr>
                      <w:pStyle w:val="Footer"/>
                    </w:pPr>
                  </w:p>
                  <w:p w14:paraId="2C1C21F3" w14:textId="77777777" w:rsidR="00BE4B06" w:rsidRDefault="00BE4B06" w:rsidP="002E745E">
                    <w:pPr>
                      <w:pStyle w:val="Footer"/>
                    </w:pPr>
                  </w:p>
                  <w:p w14:paraId="608443A9" w14:textId="77777777" w:rsidR="00BE4B06" w:rsidRDefault="00BE4B06" w:rsidP="002E745E">
                    <w:pPr>
                      <w:pStyle w:val="Footer"/>
                    </w:pPr>
                  </w:p>
                  <w:p w14:paraId="24C72BDF" w14:textId="1F4E9B7E" w:rsidR="00BE4B06" w:rsidRPr="00CA37E6" w:rsidRDefault="005818DE" w:rsidP="001F4BC7">
                    <w:pPr>
                      <w:pStyle w:val="Footer"/>
                      <w:jc w:val="center"/>
                      <w:rPr>
                        <w:i/>
                        <w:iCs/>
                      </w:rPr>
                    </w:pPr>
                    <w:r>
                      <w:rPr>
                        <w:i/>
                        <w:iCs/>
                        <w:sz w:val="18"/>
                        <w:szCs w:val="18"/>
                      </w:rPr>
                      <w:t xml:space="preserve">IRB </w:t>
                    </w:r>
                    <w:r w:rsidR="74DA8887" w:rsidRPr="74DA8887">
                      <w:rPr>
                        <w:i/>
                        <w:iCs/>
                        <w:sz w:val="18"/>
                        <w:szCs w:val="18"/>
                      </w:rPr>
                      <w:t>Form Version v</w:t>
                    </w:r>
                    <w:r w:rsidR="001F4BC7">
                      <w:rPr>
                        <w:i/>
                        <w:iCs/>
                        <w:sz w:val="18"/>
                        <w:szCs w:val="18"/>
                      </w:rPr>
                      <w:t>120116</w:t>
                    </w:r>
                  </w:p>
                </w:tc>
              </w:tr>
            </w:tbl>
            <w:p w14:paraId="0BEA301E" w14:textId="77777777" w:rsidR="00BE4B06" w:rsidRDefault="00BE4B06" w:rsidP="002E745E">
              <w:pPr>
                <w:pStyle w:val="Footer"/>
              </w:pPr>
            </w:p>
          </w:tc>
        </w:tr>
      </w:tbl>
      <w:p w14:paraId="32D152A1" w14:textId="5EB190B9" w:rsidR="00BE4B06" w:rsidRPr="002E745E" w:rsidRDefault="00603DF9"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FC277" w14:textId="77777777" w:rsidR="004969CA" w:rsidRDefault="004969CA" w:rsidP="00126E30">
      <w:pPr>
        <w:spacing w:after="0" w:line="240" w:lineRule="auto"/>
      </w:pPr>
      <w:r>
        <w:separator/>
      </w:r>
    </w:p>
  </w:footnote>
  <w:footnote w:type="continuationSeparator" w:id="0">
    <w:p w14:paraId="208EF634" w14:textId="77777777" w:rsidR="004969CA" w:rsidRDefault="004969CA" w:rsidP="00126E30">
      <w:pPr>
        <w:spacing w:after="0" w:line="240" w:lineRule="auto"/>
      </w:pPr>
      <w:r>
        <w:continuationSeparator/>
      </w:r>
    </w:p>
  </w:footnote>
  <w:footnote w:type="continuationNotice" w:id="1">
    <w:p w14:paraId="234026C3" w14:textId="77777777" w:rsidR="004969CA" w:rsidRDefault="004969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F6CCD" w14:textId="576A307A" w:rsidR="00BE4B06" w:rsidRDefault="00BE4B06" w:rsidP="00C31172">
    <w:pPr>
      <w:pStyle w:val="Header"/>
    </w:pPr>
    <w:r>
      <w:rPr>
        <w:noProof/>
      </w:rPr>
      <w:drawing>
        <wp:inline distT="0" distB="0" distL="0" distR="0" wp14:anchorId="18949A78" wp14:editId="252CCBE4">
          <wp:extent cx="1417320" cy="495635"/>
          <wp:effectExtent l="0" t="0" r="0" b="0"/>
          <wp:docPr id="11" name="Picture 11" descr="https://upload.wikimedia.org/wikipedia/commons/thumb/b/b3/Rutgers_University_with_the_state_university_logo.svg/2000px-Rutgers_University_with_the_state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Rutgers_University_with_the_state_university_logo.svg/2000px-Rutgers_University_with_the_state_universit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797" cy="507342"/>
                  </a:xfrm>
                  <a:prstGeom prst="rect">
                    <a:avLst/>
                  </a:prstGeom>
                  <a:noFill/>
                  <a:ln>
                    <a:noFill/>
                  </a:ln>
                </pic:spPr>
              </pic:pic>
            </a:graphicData>
          </a:graphic>
        </wp:inline>
      </w:drawing>
    </w:r>
  </w:p>
  <w:p w14:paraId="0CA20A24" w14:textId="77777777" w:rsidR="00BE4B06" w:rsidRDefault="00BE4B06" w:rsidP="007734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48B0"/>
    <w:multiLevelType w:val="hybridMultilevel"/>
    <w:tmpl w:val="9E489956"/>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5A131D6"/>
    <w:multiLevelType w:val="hybridMultilevel"/>
    <w:tmpl w:val="57B41B9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
    <w:nsid w:val="06801BAD"/>
    <w:multiLevelType w:val="hybridMultilevel"/>
    <w:tmpl w:val="B3DCA242"/>
    <w:lvl w:ilvl="0" w:tplc="78F6FB04">
      <w:start w:val="1"/>
      <w:numFmt w:val="upperRoman"/>
      <w:lvlText w:val="%1."/>
      <w:lvlJc w:val="right"/>
      <w:pPr>
        <w:ind w:left="720" w:hanging="360"/>
      </w:pPr>
      <w:rPr>
        <w:b/>
      </w:rPr>
    </w:lvl>
    <w:lvl w:ilvl="1" w:tplc="3EE0667A">
      <w:start w:val="1"/>
      <w:numFmt w:val="lowerLetter"/>
      <w:lvlText w:val="%2."/>
      <w:lvlJc w:val="left"/>
      <w:pPr>
        <w:ind w:left="1440" w:hanging="360"/>
      </w:pPr>
      <w:rPr>
        <w:color w:val="auto"/>
      </w:rPr>
    </w:lvl>
    <w:lvl w:ilvl="2" w:tplc="35C65464">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997"/>
    <w:multiLevelType w:val="multilevel"/>
    <w:tmpl w:val="33B4DB7E"/>
    <w:lvl w:ilvl="0">
      <w:start w:val="1"/>
      <w:numFmt w:val="decimal"/>
      <w:lvlText w:val="%1)"/>
      <w:lvlJc w:val="left"/>
      <w:pPr>
        <w:ind w:left="360" w:hanging="360"/>
      </w:pPr>
      <w:rPr>
        <w:rFonts w:asciiTheme="minorHAnsi" w:eastAsiaTheme="minorHAnsi" w:hAnsiTheme="minorHAnsi" w:cstheme="minorBidi"/>
        <w:b/>
        <w:i w:val="0"/>
      </w:rPr>
    </w:lvl>
    <w:lvl w:ilvl="1">
      <w:start w:val="1"/>
      <w:numFmt w:val="lowerLetter"/>
      <w:lvlText w:val="%2)"/>
      <w:lvlJc w:val="left"/>
      <w:pPr>
        <w:ind w:left="720" w:hanging="360"/>
      </w:pPr>
      <w:rPr>
        <w:rFonts w:hint="default"/>
        <w:b/>
        <w:i w:val="0"/>
        <w:color w:val="auto"/>
      </w:rPr>
    </w:lvl>
    <w:lvl w:ilvl="2">
      <w:start w:val="1"/>
      <w:numFmt w:val="upperLetter"/>
      <w:lvlText w:val="%3."/>
      <w:lvlJc w:val="left"/>
      <w:pPr>
        <w:ind w:left="1080" w:hanging="360"/>
      </w:pPr>
      <w:rPr>
        <w:rFonts w:hint="default"/>
        <w:b/>
        <w:color w:val="auto"/>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EB588E"/>
    <w:multiLevelType w:val="multilevel"/>
    <w:tmpl w:val="205CD934"/>
    <w:numStyleLink w:val="Style1"/>
  </w:abstractNum>
  <w:abstractNum w:abstractNumId="5">
    <w:nsid w:val="1ECE0D47"/>
    <w:multiLevelType w:val="multilevel"/>
    <w:tmpl w:val="12083806"/>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b/>
        <w:i w:val="0"/>
        <w:color w:val="auto"/>
      </w:rPr>
    </w:lvl>
    <w:lvl w:ilvl="2">
      <w:start w:val="1"/>
      <w:numFmt w:val="upperLetter"/>
      <w:lvlText w:val="%3."/>
      <w:lvlJc w:val="left"/>
      <w:pPr>
        <w:ind w:left="1800" w:hanging="360"/>
      </w:pPr>
      <w:rPr>
        <w:rFonts w:hint="default"/>
        <w:b/>
        <w:color w:val="auto"/>
      </w:rPr>
    </w:lvl>
    <w:lvl w:ilvl="3">
      <w:start w:val="1"/>
      <w:numFmt w:val="bullet"/>
      <w:lvlText w:val=""/>
      <w:lvlJc w:val="left"/>
      <w:pPr>
        <w:ind w:left="2160" w:hanging="360"/>
      </w:pPr>
      <w:rPr>
        <w:rFonts w:ascii="Wingdings" w:hAnsi="Wingdings" w:hint="default"/>
        <w:b/>
        <w:color w:val="auto"/>
      </w:rPr>
    </w:lvl>
    <w:lvl w:ilvl="4">
      <w:start w:val="1"/>
      <w:numFmt w:val="lowerLetter"/>
      <w:lvlText w:val="(%5)"/>
      <w:lvlJc w:val="left"/>
      <w:pPr>
        <w:ind w:left="2520" w:hanging="360"/>
      </w:pPr>
      <w:rPr>
        <w:rFonts w:hint="default"/>
        <w:b/>
        <w:color w:val="auto"/>
      </w:rPr>
    </w:lvl>
    <w:lvl w:ilvl="5">
      <w:start w:val="1"/>
      <w:numFmt w:val="lowerRoman"/>
      <w:lvlText w:val="(%6)"/>
      <w:lvlJc w:val="left"/>
      <w:pPr>
        <w:ind w:left="2880" w:hanging="360"/>
      </w:pPr>
      <w:rPr>
        <w:rFonts w:hint="default"/>
        <w:b/>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4A45F65"/>
    <w:multiLevelType w:val="multilevel"/>
    <w:tmpl w:val="205CD934"/>
    <w:styleLink w:val="Style1"/>
    <w:lvl w:ilvl="0">
      <w:start w:val="1"/>
      <w:numFmt w:val="upperRoman"/>
      <w:lvlText w:val="%1."/>
      <w:lvlJc w:val="right"/>
      <w:pPr>
        <w:ind w:left="360" w:hanging="360"/>
      </w:pPr>
      <w:rPr>
        <w:rFonts w:hint="default"/>
        <w:b/>
      </w:rPr>
    </w:lvl>
    <w:lvl w:ilvl="1">
      <w:start w:val="1"/>
      <w:numFmt w:val="lowerLetter"/>
      <w:lvlText w:val="%2."/>
      <w:lvlJc w:val="left"/>
      <w:pPr>
        <w:ind w:left="720" w:firstLine="0"/>
      </w:pPr>
      <w:rPr>
        <w:rFonts w:hint="default"/>
        <w:b/>
      </w:rPr>
    </w:lvl>
    <w:lvl w:ilvl="2">
      <w:start w:val="1"/>
      <w:numFmt w:val="bullet"/>
      <w:lvlText w:val=""/>
      <w:lvlJc w:val="left"/>
      <w:pPr>
        <w:ind w:left="1080" w:firstLine="540"/>
      </w:pPr>
      <w:rPr>
        <w:rFonts w:ascii="Wingdings" w:hAnsi="Wingdings" w:hint="default"/>
        <w:b/>
      </w:rPr>
    </w:lvl>
    <w:lvl w:ilvl="3">
      <w:start w:val="1"/>
      <w:numFmt w:val="decimal"/>
      <w:lvlText w:val="%4."/>
      <w:lvlJc w:val="left"/>
      <w:pPr>
        <w:ind w:left="1440" w:firstLine="720"/>
      </w:pPr>
      <w:rPr>
        <w:rFonts w:hint="default"/>
      </w:rPr>
    </w:lvl>
    <w:lvl w:ilvl="4">
      <w:start w:val="3"/>
      <w:numFmt w:val="lowerRoman"/>
      <w:lvlText w:val="%5."/>
      <w:lvlJc w:val="left"/>
      <w:pPr>
        <w:ind w:left="1800" w:firstLine="1080"/>
      </w:pPr>
      <w:rPr>
        <w:rFonts w:hint="default"/>
      </w:rPr>
    </w:lvl>
    <w:lvl w:ilvl="5">
      <w:start w:val="1"/>
      <w:numFmt w:val="lowerRoman"/>
      <w:lvlText w:val="%6."/>
      <w:lvlJc w:val="right"/>
      <w:pPr>
        <w:ind w:left="2160" w:firstLine="162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337F599C"/>
    <w:multiLevelType w:val="multilevel"/>
    <w:tmpl w:val="00250409"/>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35D14F8C"/>
    <w:multiLevelType w:val="multilevel"/>
    <w:tmpl w:val="45AA171C"/>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b/>
        <w:i w:val="0"/>
        <w:color w:val="auto"/>
      </w:rPr>
    </w:lvl>
    <w:lvl w:ilvl="2">
      <w:start w:val="1"/>
      <w:numFmt w:val="upperLetter"/>
      <w:lvlText w:val="%3."/>
      <w:lvlJc w:val="left"/>
      <w:pPr>
        <w:ind w:left="1800" w:hanging="360"/>
      </w:pPr>
      <w:rPr>
        <w:rFonts w:hint="default"/>
        <w:b/>
        <w:color w:val="auto"/>
      </w:rPr>
    </w:lvl>
    <w:lvl w:ilvl="3">
      <w:start w:val="1"/>
      <w:numFmt w:val="decimal"/>
      <w:lvlText w:val="(%4)"/>
      <w:lvlJc w:val="left"/>
      <w:pPr>
        <w:ind w:left="2160" w:hanging="360"/>
      </w:pPr>
      <w:rPr>
        <w:rFonts w:hint="default"/>
        <w:b/>
        <w:color w:val="auto"/>
      </w:rPr>
    </w:lvl>
    <w:lvl w:ilvl="4">
      <w:start w:val="1"/>
      <w:numFmt w:val="lowerLetter"/>
      <w:lvlText w:val="(%5)"/>
      <w:lvlJc w:val="left"/>
      <w:pPr>
        <w:ind w:left="2520" w:hanging="360"/>
      </w:pPr>
      <w:rPr>
        <w:rFonts w:hint="default"/>
        <w:b/>
        <w:color w:val="auto"/>
      </w:rPr>
    </w:lvl>
    <w:lvl w:ilvl="5">
      <w:start w:val="1"/>
      <w:numFmt w:val="lowerRoman"/>
      <w:lvlText w:val="(%6)"/>
      <w:lvlJc w:val="left"/>
      <w:pPr>
        <w:ind w:left="2880" w:hanging="360"/>
      </w:pPr>
      <w:rPr>
        <w:rFonts w:hint="default"/>
        <w:b/>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3DBE716E"/>
    <w:multiLevelType w:val="hybridMultilevel"/>
    <w:tmpl w:val="C218B080"/>
    <w:lvl w:ilvl="0" w:tplc="04090001">
      <w:start w:val="1"/>
      <w:numFmt w:val="bullet"/>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nsid w:val="555B4E55"/>
    <w:multiLevelType w:val="multilevel"/>
    <w:tmpl w:val="A8D0CF50"/>
    <w:lvl w:ilvl="0">
      <w:start w:val="1"/>
      <w:numFmt w:val="decimal"/>
      <w:lvlText w:val="%1)"/>
      <w:lvlJc w:val="left"/>
      <w:pPr>
        <w:ind w:left="360" w:hanging="360"/>
      </w:pPr>
      <w:rPr>
        <w:rFonts w:asciiTheme="minorHAnsi" w:eastAsiaTheme="minorHAnsi" w:hAnsiTheme="minorHAnsi" w:cstheme="minorBidi"/>
        <w:b/>
        <w:i w:val="0"/>
      </w:rPr>
    </w:lvl>
    <w:lvl w:ilvl="1">
      <w:start w:val="1"/>
      <w:numFmt w:val="lowerLetter"/>
      <w:lvlText w:val="%2)"/>
      <w:lvlJc w:val="left"/>
      <w:pPr>
        <w:ind w:left="720" w:hanging="360"/>
      </w:pPr>
      <w:rPr>
        <w:rFonts w:hint="default"/>
        <w:b/>
        <w:i w:val="0"/>
        <w:color w:val="auto"/>
      </w:rPr>
    </w:lvl>
    <w:lvl w:ilvl="2">
      <w:start w:val="1"/>
      <w:numFmt w:val="upperLetter"/>
      <w:lvlText w:val="%3."/>
      <w:lvlJc w:val="left"/>
      <w:pPr>
        <w:ind w:left="1080" w:hanging="360"/>
      </w:pPr>
      <w:rPr>
        <w:rFont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816C80"/>
    <w:multiLevelType w:val="hybridMultilevel"/>
    <w:tmpl w:val="656EC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D41240"/>
    <w:multiLevelType w:val="hybridMultilevel"/>
    <w:tmpl w:val="ADC60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B5E2E"/>
    <w:multiLevelType w:val="multilevel"/>
    <w:tmpl w:val="EEC81766"/>
    <w:lvl w:ilvl="0">
      <w:start w:val="1"/>
      <w:numFmt w:val="decimal"/>
      <w:lvlText w:val="%1)"/>
      <w:lvlJc w:val="left"/>
      <w:pPr>
        <w:ind w:left="360" w:hanging="360"/>
      </w:pPr>
      <w:rPr>
        <w:rFonts w:asciiTheme="minorHAnsi" w:eastAsiaTheme="minorHAnsi" w:hAnsiTheme="minorHAnsi" w:cstheme="minorBidi"/>
        <w:b/>
        <w:i w:val="0"/>
      </w:rPr>
    </w:lvl>
    <w:lvl w:ilvl="1">
      <w:start w:val="1"/>
      <w:numFmt w:val="lowerLetter"/>
      <w:lvlText w:val="%2)"/>
      <w:lvlJc w:val="left"/>
      <w:pPr>
        <w:ind w:left="720" w:hanging="360"/>
      </w:pPr>
      <w:rPr>
        <w:rFonts w:hint="default"/>
        <w:b/>
        <w:i w:val="0"/>
        <w:color w:val="auto"/>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6E21199"/>
    <w:multiLevelType w:val="hybridMultilevel"/>
    <w:tmpl w:val="454C07A2"/>
    <w:lvl w:ilvl="0" w:tplc="64D82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455EE8"/>
    <w:multiLevelType w:val="multilevel"/>
    <w:tmpl w:val="45AA171C"/>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b/>
        <w:i w:val="0"/>
        <w:color w:val="auto"/>
      </w:rPr>
    </w:lvl>
    <w:lvl w:ilvl="2">
      <w:start w:val="1"/>
      <w:numFmt w:val="upperLetter"/>
      <w:lvlText w:val="%3."/>
      <w:lvlJc w:val="left"/>
      <w:pPr>
        <w:ind w:left="1800" w:hanging="360"/>
      </w:pPr>
      <w:rPr>
        <w:rFonts w:hint="default"/>
        <w:b/>
        <w:color w:val="auto"/>
      </w:rPr>
    </w:lvl>
    <w:lvl w:ilvl="3">
      <w:start w:val="1"/>
      <w:numFmt w:val="decimal"/>
      <w:lvlText w:val="(%4)"/>
      <w:lvlJc w:val="left"/>
      <w:pPr>
        <w:ind w:left="2160" w:hanging="360"/>
      </w:pPr>
      <w:rPr>
        <w:rFonts w:hint="default"/>
        <w:b/>
        <w:color w:val="auto"/>
      </w:rPr>
    </w:lvl>
    <w:lvl w:ilvl="4">
      <w:start w:val="1"/>
      <w:numFmt w:val="lowerLetter"/>
      <w:lvlText w:val="(%5)"/>
      <w:lvlJc w:val="left"/>
      <w:pPr>
        <w:ind w:left="2520" w:hanging="360"/>
      </w:pPr>
      <w:rPr>
        <w:rFonts w:hint="default"/>
        <w:b/>
        <w:color w:val="auto"/>
      </w:rPr>
    </w:lvl>
    <w:lvl w:ilvl="5">
      <w:start w:val="1"/>
      <w:numFmt w:val="lowerRoman"/>
      <w:lvlText w:val="(%6)"/>
      <w:lvlJc w:val="left"/>
      <w:pPr>
        <w:ind w:left="2880" w:hanging="360"/>
      </w:pPr>
      <w:rPr>
        <w:rFonts w:hint="default"/>
        <w:b/>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78617CD5"/>
    <w:multiLevelType w:val="multilevel"/>
    <w:tmpl w:val="A8D0CF50"/>
    <w:lvl w:ilvl="0">
      <w:start w:val="1"/>
      <w:numFmt w:val="decimal"/>
      <w:lvlText w:val="%1)"/>
      <w:lvlJc w:val="left"/>
      <w:pPr>
        <w:ind w:left="360" w:hanging="360"/>
      </w:pPr>
      <w:rPr>
        <w:rFonts w:asciiTheme="minorHAnsi" w:eastAsiaTheme="minorHAnsi" w:hAnsiTheme="minorHAnsi" w:cstheme="minorBidi"/>
        <w:b/>
        <w:i w:val="0"/>
      </w:rPr>
    </w:lvl>
    <w:lvl w:ilvl="1">
      <w:start w:val="1"/>
      <w:numFmt w:val="lowerLetter"/>
      <w:lvlText w:val="%2)"/>
      <w:lvlJc w:val="left"/>
      <w:pPr>
        <w:ind w:left="720" w:hanging="360"/>
      </w:pPr>
      <w:rPr>
        <w:rFonts w:hint="default"/>
        <w:b/>
        <w:i w:val="0"/>
        <w:color w:val="auto"/>
      </w:rPr>
    </w:lvl>
    <w:lvl w:ilvl="2">
      <w:start w:val="1"/>
      <w:numFmt w:val="upperLetter"/>
      <w:lvlText w:val="%3."/>
      <w:lvlJc w:val="left"/>
      <w:pPr>
        <w:ind w:left="1080" w:hanging="360"/>
      </w:pPr>
      <w:rPr>
        <w:rFont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6"/>
  </w:num>
  <w:num w:numId="3">
    <w:abstractNumId w:val="3"/>
  </w:num>
  <w:num w:numId="4">
    <w:abstractNumId w:val="2"/>
  </w:num>
  <w:num w:numId="5">
    <w:abstractNumId w:val="11"/>
  </w:num>
  <w:num w:numId="6">
    <w:abstractNumId w:val="15"/>
  </w:num>
  <w:num w:numId="7">
    <w:abstractNumId w:val="4"/>
    <w:lvlOverride w:ilvl="1">
      <w:lvl w:ilvl="1">
        <w:start w:val="1"/>
        <w:numFmt w:val="lowerLetter"/>
        <w:lvlText w:val="%2."/>
        <w:lvlJc w:val="left"/>
        <w:pPr>
          <w:ind w:left="720" w:firstLine="0"/>
        </w:pPr>
        <w:rPr>
          <w:rFonts w:hint="default"/>
          <w:b/>
          <w:i w:val="0"/>
          <w:color w:val="auto"/>
        </w:rPr>
      </w:lvl>
    </w:lvlOverride>
  </w:num>
  <w:num w:numId="8">
    <w:abstractNumId w:val="14"/>
  </w:num>
  <w:num w:numId="9">
    <w:abstractNumId w:val="17"/>
  </w:num>
  <w:num w:numId="10">
    <w:abstractNumId w:val="10"/>
  </w:num>
  <w:num w:numId="11">
    <w:abstractNumId w:val="0"/>
  </w:num>
  <w:num w:numId="12">
    <w:abstractNumId w:val="16"/>
  </w:num>
  <w:num w:numId="13">
    <w:abstractNumId w:val="1"/>
  </w:num>
  <w:num w:numId="14">
    <w:abstractNumId w:val="8"/>
  </w:num>
  <w:num w:numId="15">
    <w:abstractNumId w:val="9"/>
  </w:num>
  <w:num w:numId="16">
    <w:abstractNumId w:val="5"/>
  </w:num>
  <w:num w:numId="17">
    <w:abstractNumId w:val="13"/>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2A"/>
    <w:rsid w:val="00000B5C"/>
    <w:rsid w:val="00002B24"/>
    <w:rsid w:val="000032DA"/>
    <w:rsid w:val="00004876"/>
    <w:rsid w:val="000079BD"/>
    <w:rsid w:val="000123E6"/>
    <w:rsid w:val="000146DC"/>
    <w:rsid w:val="00015996"/>
    <w:rsid w:val="00015BDF"/>
    <w:rsid w:val="00022541"/>
    <w:rsid w:val="000306B9"/>
    <w:rsid w:val="000318E4"/>
    <w:rsid w:val="0003724F"/>
    <w:rsid w:val="00037D37"/>
    <w:rsid w:val="0004384A"/>
    <w:rsid w:val="000503D6"/>
    <w:rsid w:val="00050860"/>
    <w:rsid w:val="00050F95"/>
    <w:rsid w:val="0006314A"/>
    <w:rsid w:val="00064C1B"/>
    <w:rsid w:val="0007335A"/>
    <w:rsid w:val="00075767"/>
    <w:rsid w:val="00080A9B"/>
    <w:rsid w:val="00080D44"/>
    <w:rsid w:val="000820AF"/>
    <w:rsid w:val="00082D13"/>
    <w:rsid w:val="00083DAC"/>
    <w:rsid w:val="00093CEE"/>
    <w:rsid w:val="00095968"/>
    <w:rsid w:val="00096AD0"/>
    <w:rsid w:val="000A7C85"/>
    <w:rsid w:val="000B6CE9"/>
    <w:rsid w:val="000B70B3"/>
    <w:rsid w:val="000B72DE"/>
    <w:rsid w:val="000B7E2B"/>
    <w:rsid w:val="000C4031"/>
    <w:rsid w:val="000C4A68"/>
    <w:rsid w:val="000C5EB1"/>
    <w:rsid w:val="000C60A5"/>
    <w:rsid w:val="000C6CE9"/>
    <w:rsid w:val="000C7D14"/>
    <w:rsid w:val="000E1BA9"/>
    <w:rsid w:val="000E1BF6"/>
    <w:rsid w:val="000E3698"/>
    <w:rsid w:val="000F343A"/>
    <w:rsid w:val="00102026"/>
    <w:rsid w:val="00110645"/>
    <w:rsid w:val="00111F50"/>
    <w:rsid w:val="00112033"/>
    <w:rsid w:val="00114BB1"/>
    <w:rsid w:val="00115F81"/>
    <w:rsid w:val="00124B7E"/>
    <w:rsid w:val="00126E30"/>
    <w:rsid w:val="00130FB5"/>
    <w:rsid w:val="001313A6"/>
    <w:rsid w:val="00133A1E"/>
    <w:rsid w:val="001345F6"/>
    <w:rsid w:val="00136A96"/>
    <w:rsid w:val="0014536F"/>
    <w:rsid w:val="00161ECF"/>
    <w:rsid w:val="00165F4E"/>
    <w:rsid w:val="00170653"/>
    <w:rsid w:val="00170820"/>
    <w:rsid w:val="001761DE"/>
    <w:rsid w:val="00177125"/>
    <w:rsid w:val="00181249"/>
    <w:rsid w:val="00183D5F"/>
    <w:rsid w:val="00184B10"/>
    <w:rsid w:val="001909E1"/>
    <w:rsid w:val="00191E12"/>
    <w:rsid w:val="001923FD"/>
    <w:rsid w:val="001939C7"/>
    <w:rsid w:val="00197CA3"/>
    <w:rsid w:val="001A39AA"/>
    <w:rsid w:val="001A58C0"/>
    <w:rsid w:val="001B029A"/>
    <w:rsid w:val="001B5BD5"/>
    <w:rsid w:val="001C3ED3"/>
    <w:rsid w:val="001C450E"/>
    <w:rsid w:val="001C4E3A"/>
    <w:rsid w:val="001C7702"/>
    <w:rsid w:val="001C77A3"/>
    <w:rsid w:val="001D10CD"/>
    <w:rsid w:val="001F112C"/>
    <w:rsid w:val="001F1D30"/>
    <w:rsid w:val="001F358E"/>
    <w:rsid w:val="001F4BC7"/>
    <w:rsid w:val="001F4DC9"/>
    <w:rsid w:val="002002AA"/>
    <w:rsid w:val="002013D2"/>
    <w:rsid w:val="0020373C"/>
    <w:rsid w:val="00204478"/>
    <w:rsid w:val="00205266"/>
    <w:rsid w:val="00210486"/>
    <w:rsid w:val="0023062D"/>
    <w:rsid w:val="002318C4"/>
    <w:rsid w:val="00232113"/>
    <w:rsid w:val="002334E5"/>
    <w:rsid w:val="00243008"/>
    <w:rsid w:val="0024544D"/>
    <w:rsid w:val="00245E4F"/>
    <w:rsid w:val="002509D9"/>
    <w:rsid w:val="00253478"/>
    <w:rsid w:val="0025407B"/>
    <w:rsid w:val="00263662"/>
    <w:rsid w:val="002743BB"/>
    <w:rsid w:val="002805B2"/>
    <w:rsid w:val="00294854"/>
    <w:rsid w:val="00296AFD"/>
    <w:rsid w:val="002978EB"/>
    <w:rsid w:val="00297C44"/>
    <w:rsid w:val="002A053D"/>
    <w:rsid w:val="002A11D4"/>
    <w:rsid w:val="002A3258"/>
    <w:rsid w:val="002A4138"/>
    <w:rsid w:val="002A7C7E"/>
    <w:rsid w:val="002B0FA5"/>
    <w:rsid w:val="002B79F6"/>
    <w:rsid w:val="002B7BC9"/>
    <w:rsid w:val="002C7195"/>
    <w:rsid w:val="002D04AF"/>
    <w:rsid w:val="002D342B"/>
    <w:rsid w:val="002D3815"/>
    <w:rsid w:val="002D42E3"/>
    <w:rsid w:val="002D54A6"/>
    <w:rsid w:val="002D7ED2"/>
    <w:rsid w:val="002E3606"/>
    <w:rsid w:val="002E566A"/>
    <w:rsid w:val="002E6131"/>
    <w:rsid w:val="002E745E"/>
    <w:rsid w:val="002E7E78"/>
    <w:rsid w:val="002F091C"/>
    <w:rsid w:val="002F2306"/>
    <w:rsid w:val="002F28C4"/>
    <w:rsid w:val="002F4461"/>
    <w:rsid w:val="002F5A9D"/>
    <w:rsid w:val="003022DB"/>
    <w:rsid w:val="0030313B"/>
    <w:rsid w:val="00311582"/>
    <w:rsid w:val="0031681D"/>
    <w:rsid w:val="00326CD1"/>
    <w:rsid w:val="00335947"/>
    <w:rsid w:val="003366EB"/>
    <w:rsid w:val="003521A9"/>
    <w:rsid w:val="00352859"/>
    <w:rsid w:val="003572D4"/>
    <w:rsid w:val="00362A53"/>
    <w:rsid w:val="0037513A"/>
    <w:rsid w:val="00375B21"/>
    <w:rsid w:val="0037615B"/>
    <w:rsid w:val="00380318"/>
    <w:rsid w:val="00385F4C"/>
    <w:rsid w:val="00391864"/>
    <w:rsid w:val="0039456B"/>
    <w:rsid w:val="00394DBD"/>
    <w:rsid w:val="003A0012"/>
    <w:rsid w:val="003A04B6"/>
    <w:rsid w:val="003B1500"/>
    <w:rsid w:val="003B2158"/>
    <w:rsid w:val="003B2439"/>
    <w:rsid w:val="003C12CE"/>
    <w:rsid w:val="003C70FC"/>
    <w:rsid w:val="003F27BD"/>
    <w:rsid w:val="004005B8"/>
    <w:rsid w:val="00401853"/>
    <w:rsid w:val="00404557"/>
    <w:rsid w:val="004061D5"/>
    <w:rsid w:val="00412ADB"/>
    <w:rsid w:val="00413A55"/>
    <w:rsid w:val="00424306"/>
    <w:rsid w:val="0042740F"/>
    <w:rsid w:val="0044223C"/>
    <w:rsid w:val="00443A1F"/>
    <w:rsid w:val="004442BF"/>
    <w:rsid w:val="004453DE"/>
    <w:rsid w:val="0045515C"/>
    <w:rsid w:val="004553BD"/>
    <w:rsid w:val="00460C97"/>
    <w:rsid w:val="00462036"/>
    <w:rsid w:val="004622BE"/>
    <w:rsid w:val="00465163"/>
    <w:rsid w:val="00467F25"/>
    <w:rsid w:val="00470506"/>
    <w:rsid w:val="00476E63"/>
    <w:rsid w:val="00483837"/>
    <w:rsid w:val="00483B48"/>
    <w:rsid w:val="004936FE"/>
    <w:rsid w:val="0049613E"/>
    <w:rsid w:val="004969CA"/>
    <w:rsid w:val="004A0C92"/>
    <w:rsid w:val="004A3467"/>
    <w:rsid w:val="004A5F43"/>
    <w:rsid w:val="004B40D3"/>
    <w:rsid w:val="004B4BCD"/>
    <w:rsid w:val="004C483A"/>
    <w:rsid w:val="004D016A"/>
    <w:rsid w:val="004D3C1D"/>
    <w:rsid w:val="004D4987"/>
    <w:rsid w:val="004D79E6"/>
    <w:rsid w:val="004E07EA"/>
    <w:rsid w:val="004E08AE"/>
    <w:rsid w:val="004E29D8"/>
    <w:rsid w:val="004E2C9A"/>
    <w:rsid w:val="004E6157"/>
    <w:rsid w:val="004F13D5"/>
    <w:rsid w:val="004F63A5"/>
    <w:rsid w:val="004F79C5"/>
    <w:rsid w:val="005045BA"/>
    <w:rsid w:val="005100E1"/>
    <w:rsid w:val="00511975"/>
    <w:rsid w:val="00512F18"/>
    <w:rsid w:val="005141CC"/>
    <w:rsid w:val="0051469B"/>
    <w:rsid w:val="00514C24"/>
    <w:rsid w:val="005237A3"/>
    <w:rsid w:val="005317FC"/>
    <w:rsid w:val="00537F96"/>
    <w:rsid w:val="00540387"/>
    <w:rsid w:val="00541A5E"/>
    <w:rsid w:val="005602B8"/>
    <w:rsid w:val="005617AC"/>
    <w:rsid w:val="00565B64"/>
    <w:rsid w:val="00570B8E"/>
    <w:rsid w:val="005818DE"/>
    <w:rsid w:val="00582B2E"/>
    <w:rsid w:val="00582C46"/>
    <w:rsid w:val="00584831"/>
    <w:rsid w:val="00585549"/>
    <w:rsid w:val="005A0E99"/>
    <w:rsid w:val="005A2AAC"/>
    <w:rsid w:val="005A2FB5"/>
    <w:rsid w:val="005A56AA"/>
    <w:rsid w:val="005B011C"/>
    <w:rsid w:val="005B135F"/>
    <w:rsid w:val="005B1454"/>
    <w:rsid w:val="005B7B9B"/>
    <w:rsid w:val="005C7E3A"/>
    <w:rsid w:val="005D1F2A"/>
    <w:rsid w:val="005D681F"/>
    <w:rsid w:val="005D7B17"/>
    <w:rsid w:val="005F0D4C"/>
    <w:rsid w:val="005F35D7"/>
    <w:rsid w:val="005F4D24"/>
    <w:rsid w:val="005F57F1"/>
    <w:rsid w:val="005F71E3"/>
    <w:rsid w:val="00603DF9"/>
    <w:rsid w:val="006135DD"/>
    <w:rsid w:val="006258C6"/>
    <w:rsid w:val="006269EB"/>
    <w:rsid w:val="0062762F"/>
    <w:rsid w:val="006313FA"/>
    <w:rsid w:val="0063437E"/>
    <w:rsid w:val="00640541"/>
    <w:rsid w:val="00642A73"/>
    <w:rsid w:val="00646F61"/>
    <w:rsid w:val="0065269D"/>
    <w:rsid w:val="00652B83"/>
    <w:rsid w:val="0065719A"/>
    <w:rsid w:val="00657582"/>
    <w:rsid w:val="00657CBE"/>
    <w:rsid w:val="00660748"/>
    <w:rsid w:val="00664B65"/>
    <w:rsid w:val="00672CC0"/>
    <w:rsid w:val="00673B8A"/>
    <w:rsid w:val="00686AF7"/>
    <w:rsid w:val="006906DF"/>
    <w:rsid w:val="00697C87"/>
    <w:rsid w:val="006A003F"/>
    <w:rsid w:val="006A305D"/>
    <w:rsid w:val="006A49D5"/>
    <w:rsid w:val="006A6637"/>
    <w:rsid w:val="006B5E2F"/>
    <w:rsid w:val="006C01E3"/>
    <w:rsid w:val="006C351E"/>
    <w:rsid w:val="006D1CE0"/>
    <w:rsid w:val="006D60F4"/>
    <w:rsid w:val="006E4685"/>
    <w:rsid w:val="006E7BDC"/>
    <w:rsid w:val="006F5584"/>
    <w:rsid w:val="00703746"/>
    <w:rsid w:val="00704505"/>
    <w:rsid w:val="007143E9"/>
    <w:rsid w:val="00714489"/>
    <w:rsid w:val="00723D49"/>
    <w:rsid w:val="007301BA"/>
    <w:rsid w:val="00742B93"/>
    <w:rsid w:val="00746226"/>
    <w:rsid w:val="00747163"/>
    <w:rsid w:val="007538B1"/>
    <w:rsid w:val="00755007"/>
    <w:rsid w:val="00755191"/>
    <w:rsid w:val="00755603"/>
    <w:rsid w:val="0076132C"/>
    <w:rsid w:val="0076644B"/>
    <w:rsid w:val="007722BA"/>
    <w:rsid w:val="007734EE"/>
    <w:rsid w:val="00777975"/>
    <w:rsid w:val="007821A4"/>
    <w:rsid w:val="00785E66"/>
    <w:rsid w:val="007A1B55"/>
    <w:rsid w:val="007A28D7"/>
    <w:rsid w:val="007A302A"/>
    <w:rsid w:val="007A3100"/>
    <w:rsid w:val="007A3827"/>
    <w:rsid w:val="007A3AEC"/>
    <w:rsid w:val="007A4322"/>
    <w:rsid w:val="007A7FEB"/>
    <w:rsid w:val="007B1F1F"/>
    <w:rsid w:val="007C184E"/>
    <w:rsid w:val="007C6573"/>
    <w:rsid w:val="007D5B67"/>
    <w:rsid w:val="007E0187"/>
    <w:rsid w:val="007E356A"/>
    <w:rsid w:val="007E3C34"/>
    <w:rsid w:val="007E5DAE"/>
    <w:rsid w:val="0080273E"/>
    <w:rsid w:val="00806A58"/>
    <w:rsid w:val="00813BF6"/>
    <w:rsid w:val="00816C2D"/>
    <w:rsid w:val="008208F9"/>
    <w:rsid w:val="008225B7"/>
    <w:rsid w:val="00823677"/>
    <w:rsid w:val="00824609"/>
    <w:rsid w:val="008249A5"/>
    <w:rsid w:val="00827480"/>
    <w:rsid w:val="00834FA5"/>
    <w:rsid w:val="00837AD6"/>
    <w:rsid w:val="00844540"/>
    <w:rsid w:val="00860F71"/>
    <w:rsid w:val="00862574"/>
    <w:rsid w:val="00863358"/>
    <w:rsid w:val="00866A37"/>
    <w:rsid w:val="00870218"/>
    <w:rsid w:val="008729FE"/>
    <w:rsid w:val="00874785"/>
    <w:rsid w:val="00876309"/>
    <w:rsid w:val="00882A43"/>
    <w:rsid w:val="00883215"/>
    <w:rsid w:val="008857E4"/>
    <w:rsid w:val="00886614"/>
    <w:rsid w:val="008873A8"/>
    <w:rsid w:val="008943BF"/>
    <w:rsid w:val="00894868"/>
    <w:rsid w:val="008A518C"/>
    <w:rsid w:val="008B0151"/>
    <w:rsid w:val="008B1721"/>
    <w:rsid w:val="008B4250"/>
    <w:rsid w:val="008B65AF"/>
    <w:rsid w:val="008B6C4B"/>
    <w:rsid w:val="008B7712"/>
    <w:rsid w:val="008C594B"/>
    <w:rsid w:val="008D452C"/>
    <w:rsid w:val="008D7AB7"/>
    <w:rsid w:val="008E24E6"/>
    <w:rsid w:val="008E7E69"/>
    <w:rsid w:val="008F1B61"/>
    <w:rsid w:val="008F438F"/>
    <w:rsid w:val="008F5ECF"/>
    <w:rsid w:val="008F7FEE"/>
    <w:rsid w:val="009035E2"/>
    <w:rsid w:val="00912CC7"/>
    <w:rsid w:val="009164A1"/>
    <w:rsid w:val="00916654"/>
    <w:rsid w:val="0092016F"/>
    <w:rsid w:val="009261F3"/>
    <w:rsid w:val="009304EF"/>
    <w:rsid w:val="009348FD"/>
    <w:rsid w:val="00935328"/>
    <w:rsid w:val="009518A9"/>
    <w:rsid w:val="009572B2"/>
    <w:rsid w:val="00960FFC"/>
    <w:rsid w:val="009677A3"/>
    <w:rsid w:val="00975CE9"/>
    <w:rsid w:val="0098449F"/>
    <w:rsid w:val="009844B4"/>
    <w:rsid w:val="00985164"/>
    <w:rsid w:val="00990E48"/>
    <w:rsid w:val="009937EF"/>
    <w:rsid w:val="00994247"/>
    <w:rsid w:val="009946A5"/>
    <w:rsid w:val="0099712A"/>
    <w:rsid w:val="009A5810"/>
    <w:rsid w:val="009B1784"/>
    <w:rsid w:val="009B1DE1"/>
    <w:rsid w:val="009B4C93"/>
    <w:rsid w:val="009C3F42"/>
    <w:rsid w:val="009C7FD8"/>
    <w:rsid w:val="009D1071"/>
    <w:rsid w:val="009D208F"/>
    <w:rsid w:val="009D323C"/>
    <w:rsid w:val="009D4976"/>
    <w:rsid w:val="009D6821"/>
    <w:rsid w:val="009D776F"/>
    <w:rsid w:val="009D7D28"/>
    <w:rsid w:val="009E4BB3"/>
    <w:rsid w:val="009E7515"/>
    <w:rsid w:val="009E7A07"/>
    <w:rsid w:val="009F0974"/>
    <w:rsid w:val="009F2D8E"/>
    <w:rsid w:val="00A04D07"/>
    <w:rsid w:val="00A05509"/>
    <w:rsid w:val="00A0601C"/>
    <w:rsid w:val="00A1467E"/>
    <w:rsid w:val="00A17840"/>
    <w:rsid w:val="00A23E11"/>
    <w:rsid w:val="00A24B8B"/>
    <w:rsid w:val="00A37E3E"/>
    <w:rsid w:val="00A419FC"/>
    <w:rsid w:val="00A43885"/>
    <w:rsid w:val="00A51361"/>
    <w:rsid w:val="00A57A1D"/>
    <w:rsid w:val="00A65D98"/>
    <w:rsid w:val="00A665A2"/>
    <w:rsid w:val="00A66EC8"/>
    <w:rsid w:val="00A714D2"/>
    <w:rsid w:val="00A739D4"/>
    <w:rsid w:val="00A8118A"/>
    <w:rsid w:val="00A81AD2"/>
    <w:rsid w:val="00A8470A"/>
    <w:rsid w:val="00A934E6"/>
    <w:rsid w:val="00AA57D5"/>
    <w:rsid w:val="00AA607C"/>
    <w:rsid w:val="00AA676C"/>
    <w:rsid w:val="00AA7D2E"/>
    <w:rsid w:val="00AB1E1B"/>
    <w:rsid w:val="00AB375F"/>
    <w:rsid w:val="00AC03AE"/>
    <w:rsid w:val="00AC0710"/>
    <w:rsid w:val="00AD3C90"/>
    <w:rsid w:val="00AD4BDC"/>
    <w:rsid w:val="00AE5441"/>
    <w:rsid w:val="00AE6E72"/>
    <w:rsid w:val="00AE749B"/>
    <w:rsid w:val="00AF2104"/>
    <w:rsid w:val="00AF328E"/>
    <w:rsid w:val="00B01624"/>
    <w:rsid w:val="00B0272E"/>
    <w:rsid w:val="00B254DB"/>
    <w:rsid w:val="00B25D64"/>
    <w:rsid w:val="00B402E9"/>
    <w:rsid w:val="00B40ED2"/>
    <w:rsid w:val="00B41EBB"/>
    <w:rsid w:val="00B5099F"/>
    <w:rsid w:val="00B53DAB"/>
    <w:rsid w:val="00B53F3F"/>
    <w:rsid w:val="00B545B2"/>
    <w:rsid w:val="00B5465B"/>
    <w:rsid w:val="00B57A13"/>
    <w:rsid w:val="00B6312A"/>
    <w:rsid w:val="00B72712"/>
    <w:rsid w:val="00B7670D"/>
    <w:rsid w:val="00B8294D"/>
    <w:rsid w:val="00B82E21"/>
    <w:rsid w:val="00B83363"/>
    <w:rsid w:val="00B95D25"/>
    <w:rsid w:val="00B95EBA"/>
    <w:rsid w:val="00BA4E69"/>
    <w:rsid w:val="00BA563E"/>
    <w:rsid w:val="00BB023F"/>
    <w:rsid w:val="00BB1D4A"/>
    <w:rsid w:val="00BB2000"/>
    <w:rsid w:val="00BB60F9"/>
    <w:rsid w:val="00BB7F6B"/>
    <w:rsid w:val="00BC0E0A"/>
    <w:rsid w:val="00BC332D"/>
    <w:rsid w:val="00BC47C1"/>
    <w:rsid w:val="00BC60B7"/>
    <w:rsid w:val="00BC66F0"/>
    <w:rsid w:val="00BC7B47"/>
    <w:rsid w:val="00BD0B1C"/>
    <w:rsid w:val="00BD0B4D"/>
    <w:rsid w:val="00BE1A29"/>
    <w:rsid w:val="00BE4B06"/>
    <w:rsid w:val="00BE4CC0"/>
    <w:rsid w:val="00BE58D8"/>
    <w:rsid w:val="00BF2CC2"/>
    <w:rsid w:val="00BF386A"/>
    <w:rsid w:val="00BF4D7C"/>
    <w:rsid w:val="00C023BC"/>
    <w:rsid w:val="00C111D4"/>
    <w:rsid w:val="00C16002"/>
    <w:rsid w:val="00C31172"/>
    <w:rsid w:val="00C346CD"/>
    <w:rsid w:val="00C4062F"/>
    <w:rsid w:val="00C44332"/>
    <w:rsid w:val="00C4735A"/>
    <w:rsid w:val="00C50463"/>
    <w:rsid w:val="00C51970"/>
    <w:rsid w:val="00C54580"/>
    <w:rsid w:val="00C57A76"/>
    <w:rsid w:val="00C62504"/>
    <w:rsid w:val="00C67AF5"/>
    <w:rsid w:val="00C76DBD"/>
    <w:rsid w:val="00C82D3D"/>
    <w:rsid w:val="00C8548A"/>
    <w:rsid w:val="00C8661D"/>
    <w:rsid w:val="00C97FFD"/>
    <w:rsid w:val="00CA178A"/>
    <w:rsid w:val="00CA1FD1"/>
    <w:rsid w:val="00CA37E6"/>
    <w:rsid w:val="00CA4D73"/>
    <w:rsid w:val="00CA5FAA"/>
    <w:rsid w:val="00CA6B5B"/>
    <w:rsid w:val="00CB0331"/>
    <w:rsid w:val="00CB117B"/>
    <w:rsid w:val="00CB1481"/>
    <w:rsid w:val="00CB1DDD"/>
    <w:rsid w:val="00CB3208"/>
    <w:rsid w:val="00CB32B1"/>
    <w:rsid w:val="00CB3904"/>
    <w:rsid w:val="00CB3910"/>
    <w:rsid w:val="00CB676C"/>
    <w:rsid w:val="00CC47F3"/>
    <w:rsid w:val="00CC5C6D"/>
    <w:rsid w:val="00CC7FA4"/>
    <w:rsid w:val="00CD2108"/>
    <w:rsid w:val="00CE0266"/>
    <w:rsid w:val="00CE71BE"/>
    <w:rsid w:val="00CF207A"/>
    <w:rsid w:val="00CF290C"/>
    <w:rsid w:val="00D0219D"/>
    <w:rsid w:val="00D0419B"/>
    <w:rsid w:val="00D05C92"/>
    <w:rsid w:val="00D1023B"/>
    <w:rsid w:val="00D113E3"/>
    <w:rsid w:val="00D15CF8"/>
    <w:rsid w:val="00D31A52"/>
    <w:rsid w:val="00D32CAC"/>
    <w:rsid w:val="00D44AE4"/>
    <w:rsid w:val="00D46820"/>
    <w:rsid w:val="00D52B5E"/>
    <w:rsid w:val="00D534D7"/>
    <w:rsid w:val="00D546F2"/>
    <w:rsid w:val="00D604F7"/>
    <w:rsid w:val="00D63809"/>
    <w:rsid w:val="00D6394A"/>
    <w:rsid w:val="00D66E6E"/>
    <w:rsid w:val="00D72C9F"/>
    <w:rsid w:val="00D77C41"/>
    <w:rsid w:val="00D802C9"/>
    <w:rsid w:val="00D853E2"/>
    <w:rsid w:val="00D90EC4"/>
    <w:rsid w:val="00DA1522"/>
    <w:rsid w:val="00DA2497"/>
    <w:rsid w:val="00DA3EE3"/>
    <w:rsid w:val="00DA400A"/>
    <w:rsid w:val="00DA55FC"/>
    <w:rsid w:val="00DA7A71"/>
    <w:rsid w:val="00DB4B5D"/>
    <w:rsid w:val="00DB5CDB"/>
    <w:rsid w:val="00DB6443"/>
    <w:rsid w:val="00DC18E4"/>
    <w:rsid w:val="00DC32CC"/>
    <w:rsid w:val="00DC59A9"/>
    <w:rsid w:val="00DC6366"/>
    <w:rsid w:val="00DD0719"/>
    <w:rsid w:val="00DD0994"/>
    <w:rsid w:val="00DD152F"/>
    <w:rsid w:val="00DD1888"/>
    <w:rsid w:val="00DE6AE1"/>
    <w:rsid w:val="00DF691E"/>
    <w:rsid w:val="00E00DA8"/>
    <w:rsid w:val="00E0526A"/>
    <w:rsid w:val="00E12186"/>
    <w:rsid w:val="00E17986"/>
    <w:rsid w:val="00E20D3A"/>
    <w:rsid w:val="00E24DFF"/>
    <w:rsid w:val="00E256D4"/>
    <w:rsid w:val="00E3104B"/>
    <w:rsid w:val="00E326C9"/>
    <w:rsid w:val="00E3309E"/>
    <w:rsid w:val="00E335F6"/>
    <w:rsid w:val="00E35F26"/>
    <w:rsid w:val="00E364C5"/>
    <w:rsid w:val="00E41FFB"/>
    <w:rsid w:val="00E44BE4"/>
    <w:rsid w:val="00E47587"/>
    <w:rsid w:val="00E50D7D"/>
    <w:rsid w:val="00E54031"/>
    <w:rsid w:val="00E64B63"/>
    <w:rsid w:val="00E65436"/>
    <w:rsid w:val="00E66266"/>
    <w:rsid w:val="00E71D79"/>
    <w:rsid w:val="00E804BB"/>
    <w:rsid w:val="00E81B1E"/>
    <w:rsid w:val="00E853BF"/>
    <w:rsid w:val="00E8559F"/>
    <w:rsid w:val="00E86356"/>
    <w:rsid w:val="00E86AA1"/>
    <w:rsid w:val="00E90742"/>
    <w:rsid w:val="00E929B2"/>
    <w:rsid w:val="00E930D8"/>
    <w:rsid w:val="00E93BD2"/>
    <w:rsid w:val="00E94145"/>
    <w:rsid w:val="00EA15B7"/>
    <w:rsid w:val="00EB097A"/>
    <w:rsid w:val="00EB38B4"/>
    <w:rsid w:val="00EB6915"/>
    <w:rsid w:val="00EB6B13"/>
    <w:rsid w:val="00EC144C"/>
    <w:rsid w:val="00EC2E0A"/>
    <w:rsid w:val="00EC5700"/>
    <w:rsid w:val="00EC6CE7"/>
    <w:rsid w:val="00ED55AB"/>
    <w:rsid w:val="00EE474E"/>
    <w:rsid w:val="00EE638B"/>
    <w:rsid w:val="00EF0321"/>
    <w:rsid w:val="00EF2F8D"/>
    <w:rsid w:val="00EF3AA1"/>
    <w:rsid w:val="00EF5D22"/>
    <w:rsid w:val="00EF6352"/>
    <w:rsid w:val="00EF7DED"/>
    <w:rsid w:val="00F000C4"/>
    <w:rsid w:val="00F02E8E"/>
    <w:rsid w:val="00F035C5"/>
    <w:rsid w:val="00F03AE0"/>
    <w:rsid w:val="00F04AC9"/>
    <w:rsid w:val="00F12F5F"/>
    <w:rsid w:val="00F22896"/>
    <w:rsid w:val="00F24CC8"/>
    <w:rsid w:val="00F25630"/>
    <w:rsid w:val="00F271E5"/>
    <w:rsid w:val="00F27B1E"/>
    <w:rsid w:val="00F30F30"/>
    <w:rsid w:val="00F320CE"/>
    <w:rsid w:val="00F34436"/>
    <w:rsid w:val="00F42335"/>
    <w:rsid w:val="00F44A86"/>
    <w:rsid w:val="00F45709"/>
    <w:rsid w:val="00F60F56"/>
    <w:rsid w:val="00F6340C"/>
    <w:rsid w:val="00F7307B"/>
    <w:rsid w:val="00F73EC1"/>
    <w:rsid w:val="00F76940"/>
    <w:rsid w:val="00F855D5"/>
    <w:rsid w:val="00F85981"/>
    <w:rsid w:val="00FA063B"/>
    <w:rsid w:val="00FB20F5"/>
    <w:rsid w:val="00FC69D7"/>
    <w:rsid w:val="00FE5594"/>
    <w:rsid w:val="00FF018F"/>
    <w:rsid w:val="00FF18C3"/>
    <w:rsid w:val="00FF7A2C"/>
    <w:rsid w:val="25DF176C"/>
    <w:rsid w:val="325105D5"/>
    <w:rsid w:val="33AC79FC"/>
    <w:rsid w:val="5CB52E1D"/>
    <w:rsid w:val="645075D7"/>
    <w:rsid w:val="682AD85E"/>
    <w:rsid w:val="70288EBC"/>
    <w:rsid w:val="74779D8A"/>
    <w:rsid w:val="74DA8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8A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uiPriority w:val="99"/>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uiPriority w:val="99"/>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NoSpacing">
    <w:name w:val="No Spacing"/>
    <w:uiPriority w:val="99"/>
    <w:qFormat/>
    <w:rsid w:val="009164A1"/>
    <w:pPr>
      <w:spacing w:after="0" w:line="240" w:lineRule="auto"/>
    </w:pPr>
    <w:rPr>
      <w:rFonts w:ascii="Times" w:eastAsia="Times New Roman" w:hAnsi="Times" w:cs="Times New Roman"/>
      <w:sz w:val="24"/>
      <w:szCs w:val="20"/>
    </w:rPr>
  </w:style>
  <w:style w:type="paragraph" w:styleId="NormalWeb">
    <w:name w:val="Normal (Web)"/>
    <w:basedOn w:val="Normal"/>
    <w:uiPriority w:val="99"/>
    <w:semiHidden/>
    <w:unhideWhenUsed/>
    <w:rsid w:val="00E4758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13BF6"/>
    <w:pPr>
      <w:spacing w:after="0" w:line="240" w:lineRule="auto"/>
      <w:jc w:val="both"/>
    </w:pPr>
    <w:rPr>
      <w:rFonts w:eastAsia="Times New Roman,MS Gothic" w:cs="Times New Roman,MS Gothic"/>
      <w:i/>
      <w:iCs/>
      <w:color w:val="0070C0"/>
      <w:sz w:val="20"/>
      <w:szCs w:val="20"/>
    </w:rPr>
  </w:style>
  <w:style w:type="character" w:customStyle="1" w:styleId="BodyTextChar">
    <w:name w:val="Body Text Char"/>
    <w:basedOn w:val="DefaultParagraphFont"/>
    <w:link w:val="BodyText"/>
    <w:uiPriority w:val="99"/>
    <w:rsid w:val="00813BF6"/>
    <w:rPr>
      <w:rFonts w:eastAsia="Times New Roman,MS Gothic" w:cs="Times New Roman,MS Gothic"/>
      <w:i/>
      <w:iCs/>
      <w:color w:val="0070C0"/>
      <w:sz w:val="20"/>
      <w:szCs w:val="20"/>
    </w:rPr>
  </w:style>
  <w:style w:type="character" w:styleId="PageNumber">
    <w:name w:val="page number"/>
    <w:basedOn w:val="DefaultParagraphFont"/>
    <w:uiPriority w:val="99"/>
    <w:rsid w:val="0045515C"/>
    <w:rPr>
      <w:rFonts w:cs="Times New Roman"/>
    </w:rPr>
  </w:style>
  <w:style w:type="paragraph" w:customStyle="1" w:styleId="Level1Text">
    <w:name w:val="Level 1 Text"/>
    <w:basedOn w:val="Normal"/>
    <w:uiPriority w:val="99"/>
    <w:rsid w:val="00657CBE"/>
    <w:pPr>
      <w:spacing w:before="80" w:after="80" w:line="240" w:lineRule="auto"/>
      <w:ind w:left="720"/>
      <w:jc w:val="both"/>
    </w:pPr>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uiPriority w:val="99"/>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uiPriority w:val="99"/>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NoSpacing">
    <w:name w:val="No Spacing"/>
    <w:uiPriority w:val="99"/>
    <w:qFormat/>
    <w:rsid w:val="009164A1"/>
    <w:pPr>
      <w:spacing w:after="0" w:line="240" w:lineRule="auto"/>
    </w:pPr>
    <w:rPr>
      <w:rFonts w:ascii="Times" w:eastAsia="Times New Roman" w:hAnsi="Times" w:cs="Times New Roman"/>
      <w:sz w:val="24"/>
      <w:szCs w:val="20"/>
    </w:rPr>
  </w:style>
  <w:style w:type="paragraph" w:styleId="NormalWeb">
    <w:name w:val="Normal (Web)"/>
    <w:basedOn w:val="Normal"/>
    <w:uiPriority w:val="99"/>
    <w:semiHidden/>
    <w:unhideWhenUsed/>
    <w:rsid w:val="00E4758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13BF6"/>
    <w:pPr>
      <w:spacing w:after="0" w:line="240" w:lineRule="auto"/>
      <w:jc w:val="both"/>
    </w:pPr>
    <w:rPr>
      <w:rFonts w:eastAsia="Times New Roman,MS Gothic" w:cs="Times New Roman,MS Gothic"/>
      <w:i/>
      <w:iCs/>
      <w:color w:val="0070C0"/>
      <w:sz w:val="20"/>
      <w:szCs w:val="20"/>
    </w:rPr>
  </w:style>
  <w:style w:type="character" w:customStyle="1" w:styleId="BodyTextChar">
    <w:name w:val="Body Text Char"/>
    <w:basedOn w:val="DefaultParagraphFont"/>
    <w:link w:val="BodyText"/>
    <w:uiPriority w:val="99"/>
    <w:rsid w:val="00813BF6"/>
    <w:rPr>
      <w:rFonts w:eastAsia="Times New Roman,MS Gothic" w:cs="Times New Roman,MS Gothic"/>
      <w:i/>
      <w:iCs/>
      <w:color w:val="0070C0"/>
      <w:sz w:val="20"/>
      <w:szCs w:val="20"/>
    </w:rPr>
  </w:style>
  <w:style w:type="character" w:styleId="PageNumber">
    <w:name w:val="page number"/>
    <w:basedOn w:val="DefaultParagraphFont"/>
    <w:uiPriority w:val="99"/>
    <w:rsid w:val="0045515C"/>
    <w:rPr>
      <w:rFonts w:cs="Times New Roman"/>
    </w:rPr>
  </w:style>
  <w:style w:type="paragraph" w:customStyle="1" w:styleId="Level1Text">
    <w:name w:val="Level 1 Text"/>
    <w:basedOn w:val="Normal"/>
    <w:uiPriority w:val="99"/>
    <w:rsid w:val="00657CBE"/>
    <w:pPr>
      <w:spacing w:before="80" w:after="80" w:line="240" w:lineRule="auto"/>
      <w:ind w:left="720"/>
      <w:jc w:val="both"/>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4121">
      <w:bodyDiv w:val="1"/>
      <w:marLeft w:val="0"/>
      <w:marRight w:val="0"/>
      <w:marTop w:val="0"/>
      <w:marBottom w:val="0"/>
      <w:divBdr>
        <w:top w:val="none" w:sz="0" w:space="0" w:color="auto"/>
        <w:left w:val="none" w:sz="0" w:space="0" w:color="auto"/>
        <w:bottom w:val="none" w:sz="0" w:space="0" w:color="auto"/>
        <w:right w:val="none" w:sz="0" w:space="0" w:color="auto"/>
      </w:divBdr>
    </w:div>
    <w:div w:id="204757907">
      <w:bodyDiv w:val="1"/>
      <w:marLeft w:val="0"/>
      <w:marRight w:val="0"/>
      <w:marTop w:val="0"/>
      <w:marBottom w:val="0"/>
      <w:divBdr>
        <w:top w:val="none" w:sz="0" w:space="0" w:color="auto"/>
        <w:left w:val="none" w:sz="0" w:space="0" w:color="auto"/>
        <w:bottom w:val="none" w:sz="0" w:space="0" w:color="auto"/>
        <w:right w:val="none" w:sz="0" w:space="0" w:color="auto"/>
      </w:divBdr>
    </w:div>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293172129">
      <w:bodyDiv w:val="1"/>
      <w:marLeft w:val="0"/>
      <w:marRight w:val="0"/>
      <w:marTop w:val="0"/>
      <w:marBottom w:val="0"/>
      <w:divBdr>
        <w:top w:val="none" w:sz="0" w:space="0" w:color="auto"/>
        <w:left w:val="none" w:sz="0" w:space="0" w:color="auto"/>
        <w:bottom w:val="none" w:sz="0" w:space="0" w:color="auto"/>
        <w:right w:val="none" w:sz="0" w:space="0" w:color="auto"/>
      </w:divBdr>
    </w:div>
    <w:div w:id="1431928340">
      <w:bodyDiv w:val="1"/>
      <w:marLeft w:val="0"/>
      <w:marRight w:val="0"/>
      <w:marTop w:val="0"/>
      <w:marBottom w:val="0"/>
      <w:divBdr>
        <w:top w:val="none" w:sz="0" w:space="0" w:color="auto"/>
        <w:left w:val="none" w:sz="0" w:space="0" w:color="auto"/>
        <w:bottom w:val="none" w:sz="0" w:space="0" w:color="auto"/>
        <w:right w:val="none" w:sz="0" w:space="0" w:color="auto"/>
      </w:divBdr>
    </w:div>
    <w:div w:id="1617325884">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 w:id="1925646374">
      <w:bodyDiv w:val="1"/>
      <w:marLeft w:val="0"/>
      <w:marRight w:val="0"/>
      <w:marTop w:val="0"/>
      <w:marBottom w:val="0"/>
      <w:divBdr>
        <w:top w:val="none" w:sz="0" w:space="0" w:color="auto"/>
        <w:left w:val="none" w:sz="0" w:space="0" w:color="auto"/>
        <w:bottom w:val="none" w:sz="0" w:space="0" w:color="auto"/>
        <w:right w:val="none" w:sz="0" w:space="0" w:color="auto"/>
      </w:divBdr>
    </w:div>
    <w:div w:id="193659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ho.int/news-room/fact-sheets/detail/the-top-10-causes-of-death" TargetMode="External"/><Relationship Id="rId4" Type="http://schemas.microsoft.com/office/2007/relationships/stylesWithEffects" Target="stylesWithEffects.xml"/><Relationship Id="rId9" Type="http://schemas.openxmlformats.org/officeDocument/2006/relationships/hyperlink" Target="http://eirb.umdnj.edu/eirb/Rooms/DisplayPages/LayoutInitial?Container=com.webridge.entity.Entity%5bOID%5b1B38EE38A2720F40B24FE4257F082701%5d%5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74CC-CE3B-4AF8-A6D6-CC8CFC55A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2916</Words>
  <Characters>16511</Characters>
  <Application>Microsoft Office Word</Application>
  <DocSecurity>0</DocSecurity>
  <Lines>2063</Lines>
  <Paragraphs>1766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2019-05-14T15:28:00Z</dcterms:created>
  <dcterms:modified xsi:type="dcterms:W3CDTF">2019-05-14T15:28:00Z</dcterms:modified>
</cp:coreProperties>
</file>