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36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Habitat</w:t>
      </w:r>
      <w:r>
        <w:t xml:space="preserve"> </w:t>
      </w:r>
      <w:r>
        <w:t xml:space="preserve">Decay</w:t>
      </w:r>
      <w:r>
        <w:t xml:space="preserve"> </w:t>
      </w:r>
      <w:r>
        <w:t xml:space="preserve">Analysis</w:t>
      </w:r>
    </w:p>
    <w:bookmarkStart w:id="31" w:name="data-preperation"/>
    <w:p>
      <w:pPr>
        <w:pStyle w:val="Heading2"/>
      </w:pPr>
      <w:r>
        <w:t xml:space="preserve">Data Preperation</w:t>
      </w:r>
    </w:p>
    <w:p>
      <w:pPr>
        <w:pStyle w:val="FirstParagraph"/>
      </w:pPr>
      <w:r>
        <w:t xml:space="preserve">This section outlines how data was wrangled for use in this analysis.</w:t>
      </w:r>
      <w:r>
        <w:t xml:space="preserve"> </w:t>
      </w:r>
      <w:r>
        <w:t xml:space="preserve">These section are referenced through out this document.</w:t>
      </w:r>
    </w:p>
    <w:bookmarkStart w:id="23" w:name="gravel-size"/>
    <w:p>
      <w:pPr>
        <w:pStyle w:val="Heading3"/>
      </w:pPr>
      <w:r>
        <w:t xml:space="preserve">Gravel Size</w:t>
      </w:r>
    </w:p>
    <w:p>
      <w:pPr>
        <w:pStyle w:val="FirstParagraph"/>
      </w:pPr>
      <w:r>
        <w:t xml:space="preserve">Gravel size data was obtained by digitizing the bar plot shown below</w:t>
      </w:r>
      <w:r>
        <w:t xml:space="preserve"> </w:t>
      </w:r>
      <w:r>
        <w:t xml:space="preserve">from the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link to report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662714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ssets/gravel-scaledown-sourc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62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The digitizing process was done using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Webplot Digitizer</w:t>
        </w:r>
      </w:hyperlink>
      <w:r>
        <w:t xml:space="preserve"> </w:t>
      </w:r>
      <w:r>
        <w:t xml:space="preserve">and produced the following</w:t>
      </w:r>
      <w:r>
        <w:t xml:space="preserve"> </w:t>
      </w:r>
      <w:r>
        <w:t xml:space="preserve">data.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Flow (m3s)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0.08060183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kes_to_ben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0.28909189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kes_to_ben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0.46587856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kes_to_ben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0.60881247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kes_to_ben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0.65502418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kes_to_ben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kes_to_ben</w:t>
            </w:r>
          </w:p>
        </w:tc>
      </w:tr>
    </w:tbl>
    <w:p>
      <w:pPr>
        <w:pStyle w:val="BodyText"/>
      </w:pPr>
      <w:r>
        <w:t xml:space="preserve">Gravel scaledown is further summarized to a single flow to fraction of movement</w:t>
      </w:r>
      <w:r>
        <w:t xml:space="preserve"> </w:t>
      </w:r>
      <w:r>
        <w:t xml:space="preserve">curve to represent the entire area of interest. This process is shown below as</w:t>
      </w:r>
      <w:r>
        <w:t xml:space="preserve"> </w:t>
      </w:r>
      <w:r>
        <w:t xml:space="preserve">well as the output.</w:t>
      </w:r>
    </w:p>
    <w:p>
      <w:pPr>
        <w:pStyle w:val="SourceCode"/>
      </w:pPr>
      <w:r>
        <w:rPr>
          <w:rStyle w:val="NormalTok"/>
        </w:rPr>
        <w:t xml:space="preserve">gravel_size_scaledown_summarized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gravel_size_scaledown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flow_cfs =</w:t>
      </w:r>
      <w:r>
        <w:rPr>
          <w:rStyle w:val="NormalTok"/>
        </w:rPr>
        <w:t xml:space="preserve"> flow_m3s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35.315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flow_cfday =</w:t>
      </w:r>
      <w:r>
        <w:rPr>
          <w:rStyle w:val="NormalTok"/>
        </w:rPr>
        <w:t xml:space="preserve"> flow_cfs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(flow_cfs)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min_fraction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(fraction),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avg_fraction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(fraction),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max_fraction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(fraction)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(gravel_size_scaledown_summarized)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flow_cfs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min_fraction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avg_fraction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max_fraction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7416.15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0.08060183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0.09683229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0.1217712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17657.50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0.19411461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0.27333493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0.3368477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26486.25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0.30252969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0.41972416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0.4928835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35315.00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0.38306660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0.51274475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0.6088125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44143.75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0.41610738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0.54521928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0.6550242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52972.50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0.43675787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0.57055581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0.7044600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70630.00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0.44708312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0.57851267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0.7442235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79105.60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0.42886387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0.54217490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0.7603439</w:t>
            </w:r>
          </w:p>
        </w:tc>
      </w:tr>
    </w:tbl>
    <w:bookmarkEnd w:id="23"/>
    <w:bookmarkStart w:id="29" w:name="flow-to-transport-curves"/>
    <w:p>
      <w:pPr>
        <w:pStyle w:val="Heading3"/>
      </w:pPr>
      <w:r>
        <w:t xml:space="preserve">Flow to transport curves</w:t>
      </w:r>
    </w:p>
    <w:p>
      <w:pPr>
        <w:pStyle w:val="FirstParagraph"/>
      </w:pPr>
      <w:r>
        <w:t xml:space="preserve">Flow to sediment transport curves were created using an SRH2D model developed</w:t>
      </w:r>
      <w:r>
        <w:t xml:space="preserve"> </w:t>
      </w:r>
      <w:r>
        <w:t xml:space="preserve">for the Upper Sacramento River.</w:t>
      </w:r>
    </w:p>
    <w:p>
      <w:pPr>
        <w:pStyle w:val="BodyText"/>
      </w:pPr>
      <w:r>
        <w:t xml:space="preserve">The raw data has the following format:</w:t>
      </w:r>
    </w:p>
    <w:tbl>
      <w:tblPr>
        <w:tblStyle w:val="Table"/>
        <w:tblW w:type="auto" w:w="0"/>
        <w:tblLook w:firstRow="1" w:lastRow="1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Flow (cfs)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Wilcock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Gaeuman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River Mile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0.005301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0.150990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0.368879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0.036586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0.085184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283.33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355 additional rows not shown</w:t>
            </w:r>
          </w:p>
        </w:tc>
      </w:tr>
    </w:tbl>
    <w:bookmarkStart w:id="27" w:name="processing-transport-curves"/>
    <w:p>
      <w:pPr>
        <w:pStyle w:val="Heading4"/>
      </w:pPr>
      <w:r>
        <w:t xml:space="preserve">Processing transport curves</w:t>
      </w:r>
    </w:p>
    <w:p>
      <w:pPr>
        <w:pStyle w:val="FirstParagraph"/>
      </w:pPr>
      <w:r>
        <w:t xml:space="preserve">Transport curves for 4 different</w:t>
      </w:r>
      <w:r>
        <w:t xml:space="preserve"> </w:t>
      </w:r>
      <w:r>
        <w:rPr>
          <w:bCs/>
          <w:b/>
        </w:rPr>
        <w:t xml:space="preserve">models</w:t>
      </w:r>
      <w:r>
        <w:t xml:space="preserve"> </w:t>
      </w:r>
      <w:r>
        <w:t xml:space="preserve">are provided, each of these is defined</w:t>
      </w:r>
      <w:r>
        <w:t xml:space="preserve"> </w:t>
      </w:r>
      <w:r>
        <w:t xml:space="preserve">for set of flows and at a set of river mile locations. We compute a single curve</w:t>
      </w:r>
      <w:r>
        <w:t xml:space="preserve"> </w:t>
      </w:r>
      <w:r>
        <w:t xml:space="preserve">from these by first extracting the minumum transport from each of the 4 curves</w:t>
      </w:r>
      <w:r>
        <w:t xml:space="preserve"> </w:t>
      </w:r>
      <w:r>
        <w:t xml:space="preserve">at corresponding river mile and flow values. After this we summarize again,</w:t>
      </w:r>
      <w:r>
        <w:t xml:space="preserve"> </w:t>
      </w:r>
      <w:r>
        <w:t xml:space="preserve">this time across all river miles. We end up with a single curve with shown below.</w:t>
      </w:r>
    </w:p>
    <w:p>
      <w:pPr>
        <w:pStyle w:val="BodyText"/>
      </w:pPr>
      <w:r>
        <w:rPr>
          <w:iCs/>
          <w:i/>
        </w:rPr>
        <w:t xml:space="preserve">Note: our choice choosing the minimum in the first summary above is somewhat arbitraty and can be easily updated</w:t>
      </w:r>
    </w:p>
    <w:p>
      <w:pPr>
        <w:pStyle w:val="BodyText"/>
      </w:pPr>
      <w:r>
        <w:t xml:space="preserve">This results in the following data: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abitat-decay-analysis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generalizing-the-relationship"/>
    <w:p>
      <w:pPr>
        <w:pStyle w:val="Heading4"/>
      </w:pPr>
      <w:r>
        <w:t xml:space="preserve">Generalizing the relationship</w:t>
      </w:r>
    </w:p>
    <w:p>
      <w:pPr>
        <w:pStyle w:val="FirstParagraph"/>
      </w:pPr>
      <w:r>
        <w:t xml:space="preserve">We generalize the relationship above by making use of R’s</w:t>
      </w:r>
      <w:r>
        <w:t xml:space="preserve"> </w:t>
      </w:r>
      <w:r>
        <w:rPr>
          <w:rStyle w:val="VerbatimChar"/>
        </w:rPr>
        <w:t xml:space="preserve">approxfun</w:t>
      </w:r>
      <w:r>
        <w:t xml:space="preserve"> </w:t>
      </w:r>
      <w:r>
        <w:t xml:space="preserve">function generator. The setup of this is shown here:</w:t>
      </w:r>
    </w:p>
    <w:p>
      <w:pPr>
        <w:pStyle w:val="SourceCode"/>
      </w:pPr>
      <w:r>
        <w:rPr>
          <w:rStyle w:val="NormalTok"/>
        </w:rPr>
        <w:t xml:space="preserve">flow_cfs_to_sed_transport_cfs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approxfun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rating_curve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flow_cfs,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rating_curve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sed_ft3_per_second_min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flow_cfs_to_sed_transport_cfd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approxfun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rating_curve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flow_cfs,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rating_curve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sed_ft3_per_day_min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two functions can be used to obtain a transport value given a flow value</w:t>
      </w:r>
      <w:r>
        <w:t xml:space="preserve"> </w:t>
      </w:r>
      <w:r>
        <w:t xml:space="preserve">in cfs. R’s</w:t>
      </w:r>
      <w:r>
        <w:t xml:space="preserve"> </w:t>
      </w:r>
      <w:r>
        <w:rPr>
          <w:rStyle w:val="VerbatimChar"/>
        </w:rPr>
        <w:t xml:space="preserve">approxfun</w:t>
      </w:r>
      <w:r>
        <w:t xml:space="preserve"> </w:t>
      </w:r>
      <w:r>
        <w:t xml:space="preserve">uses linear interpolation to calculate these.</w:t>
      </w:r>
    </w:p>
    <w:bookmarkEnd w:id="28"/>
    <w:bookmarkEnd w:id="29"/>
    <w:bookmarkStart w:id="30" w:name="flow-data"/>
    <w:p>
      <w:pPr>
        <w:pStyle w:val="Heading3"/>
      </w:pPr>
      <w:r>
        <w:t xml:space="preserve">Flow Data</w:t>
      </w:r>
    </w:p>
    <w:p>
      <w:pPr>
        <w:pStyle w:val="FirstParagraph"/>
      </w:pPr>
      <w:r>
        <w:t xml:space="preserve">Ultimately we will use the flow data from the DSM package</w:t>
      </w:r>
      <w:r>
        <w:t xml:space="preserve"> </w:t>
      </w:r>
      <w:r>
        <w:rPr>
          <w:rStyle w:val="VerbatimChar"/>
        </w:rPr>
        <w:t xml:space="preserve">DSMflow</w:t>
      </w:r>
      <w:r>
        <w:t xml:space="preserve"> </w:t>
      </w:r>
      <w:r>
        <w:t xml:space="preserve">to drive</w:t>
      </w:r>
      <w:r>
        <w:t xml:space="preserve"> </w:t>
      </w:r>
      <w:r>
        <w:t xml:space="preserve">our decay values. However, we want to make sure that the flows that were used</w:t>
      </w:r>
      <w:r>
        <w:t xml:space="preserve"> </w:t>
      </w:r>
      <w:r>
        <w:t xml:space="preserve">to develop these curves are reasonable close to those from the DSM to proceed</w:t>
      </w:r>
      <w:r>
        <w:t xml:space="preserve"> </w:t>
      </w:r>
      <w:r>
        <w:t xml:space="preserve">in the process.</w:t>
      </w:r>
    </w:p>
    <w:p>
      <w:pPr>
        <w:pStyle w:val="BodyText"/>
      </w:pPr>
      <w:r>
        <w:rPr>
          <w:iCs/>
          <w:i/>
        </w:rPr>
        <w:t xml:space="preserve">TODO: emanuel to move old figures here</w:t>
      </w:r>
    </w:p>
    <w:bookmarkEnd w:id="30"/>
    <w:bookmarkEnd w:id="31"/>
    <w:bookmarkStart w:id="53" w:name="optimizations-and-scale-downs"/>
    <w:p>
      <w:pPr>
        <w:pStyle w:val="Heading2"/>
      </w:pPr>
      <w:r>
        <w:t xml:space="preserve">Optimizations and scale-downs</w:t>
      </w:r>
    </w:p>
    <w:p>
      <w:pPr>
        <w:pStyle w:val="FirstParagraph"/>
      </w:pPr>
      <w:r>
        <w:t xml:space="preserve">In this section we describe a series ot</w:t>
      </w:r>
      <w:r>
        <w:t xml:space="preserve"> </w:t>
      </w:r>
      <w:r>
        <w:t xml:space="preserve">“</w:t>
      </w:r>
      <w:r>
        <w:t xml:space="preserve">scale-downs</w:t>
      </w:r>
      <w:r>
        <w:t xml:space="preserve">”</w:t>
      </w:r>
      <w:r>
        <w:t xml:space="preserve"> </w:t>
      </w:r>
      <w:r>
        <w:t xml:space="preserve">performed to the transport curves in order to better represent known events, and domain expert observations.</w:t>
      </w:r>
    </w:p>
    <w:bookmarkStart w:id="35" w:name="gravel-size-scaledown"/>
    <w:p>
      <w:pPr>
        <w:pStyle w:val="Heading3"/>
      </w:pPr>
      <w:r>
        <w:t xml:space="preserve">Gravel Size Scaledown</w:t>
      </w:r>
    </w:p>
    <w:p>
      <w:pPr>
        <w:pStyle w:val="FirstParagraph"/>
      </w:pPr>
      <w:r>
        <w:t xml:space="preserve">The first scale-down is based on a size threshold. Given a flow we assume</w:t>
      </w:r>
      <w:r>
        <w:t xml:space="preserve"> </w:t>
      </w:r>
      <w:r>
        <w:t xml:space="preserve">only a fraction of gravel is able to move based on its size. This data was processed</w:t>
      </w:r>
      <w:r>
        <w:t xml:space="preserve"> </w:t>
      </w:r>
      <w:r>
        <w:t xml:space="preserve">in the</w:t>
      </w:r>
      <w:r>
        <w:t xml:space="preserve"> </w:t>
      </w:r>
      <w:hyperlink w:anchor="gravel-size-scaledown">
        <w:r>
          <w:rPr>
            <w:rStyle w:val="Hyperlink"/>
          </w:rPr>
          <w:t xml:space="preserve">Gravel Size Scaledown</w:t>
        </w:r>
      </w:hyperlink>
      <w:r>
        <w:t xml:space="preserve"> </w:t>
      </w:r>
      <w:r>
        <w:t xml:space="preserve">section above. We use the average</w:t>
      </w:r>
      <w:r>
        <w:t xml:space="preserve"> </w:t>
      </w:r>
      <w:r>
        <w:t xml:space="preserve">flow to fraction of movement curve across all reaches defined in the data to scale-down</w:t>
      </w:r>
      <w:r>
        <w:t xml:space="preserve"> </w:t>
      </w:r>
      <w:r>
        <w:t xml:space="preserve">the transport curve.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abitat-decay-analysis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sediment-in-motion-scaledown"/>
    <w:p>
      <w:pPr>
        <w:pStyle w:val="Heading3"/>
      </w:pPr>
      <w:r>
        <w:t xml:space="preserve">Sediment in Motion Scaledown</w:t>
      </w:r>
    </w:p>
    <w:p>
      <w:pPr>
        <w:pStyle w:val="FirstParagraph"/>
      </w:pPr>
      <w:r>
        <w:t xml:space="preserve">The second scale-down we perform is to account for sediment still in motion.</w:t>
      </w:r>
      <w:r>
        <w:t xml:space="preserve"> </w:t>
      </w:r>
      <w:r>
        <w:t xml:space="preserve">To do this we carry out an optimization process that assumes full habitat amount on the</w:t>
      </w:r>
      <w:r>
        <w:t xml:space="preserve"> </w:t>
      </w:r>
      <w:r>
        <w:t xml:space="preserve">first day of 2015. That is 254690.3 square meters. When converted to cubic feet for</w:t>
      </w:r>
      <w:r>
        <w:t xml:space="preserve"> </w:t>
      </w:r>
      <w:r>
        <w:t xml:space="preserve">use alongside the sediment transport we assume 2 feet of depth and value becomes</w:t>
      </w:r>
      <w:r>
        <w:t xml:space="preserve"> </w:t>
      </w:r>
      <w:r>
        <w:t xml:space="preserve">5482973 cubic feet. Based on observed data we anticipate this volume of habitat to</w:t>
      </w:r>
      <w:r>
        <w:t xml:space="preserve"> </w:t>
      </w:r>
      <w:r>
        <w:t xml:space="preserve">have decayed to zero by April 1st of 2017. The objective function and process</w:t>
      </w:r>
      <w:r>
        <w:t xml:space="preserve"> </w:t>
      </w:r>
      <w:r>
        <w:t xml:space="preserve">is shown below.</w:t>
      </w:r>
    </w:p>
    <w:p>
      <w:pPr>
        <w:pStyle w:val="SourceCode"/>
      </w:pPr>
      <w:r>
        <w:rPr>
          <w:rStyle w:val="NormalTok"/>
        </w:rPr>
        <w:t xml:space="preserve">objective_func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(threshold)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scale down the tranport curves to just the d50mm threshold of movement</w:t>
      </w:r>
      <w:r>
        <w:br/>
      </w:r>
      <w:r>
        <w:rPr>
          <w:rStyle w:val="NormalTok"/>
        </w:rPr>
        <w:t xml:space="preserve">  scaled_sed_transport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rating_curve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sed_ft3_per_day_min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gravel_size_scaledown_summarized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avg_fraction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an approxfun given a threshold of movement (this value will be searched by the optim function)</w:t>
      </w:r>
      <w:r>
        <w:br/>
      </w:r>
      <w:r>
        <w:rPr>
          <w:rStyle w:val="NormalTok"/>
        </w:rPr>
        <w:t xml:space="preserve">  calib_sed_curve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approxfun</w:t>
      </w:r>
      <w:r>
        <w:rPr>
          <w:rStyle w:val="NormalTok"/>
        </w:rPr>
        <w:t xml:space="preserve">(rating_curve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flow_cfs, </w:t>
      </w:r>
      <w:r>
        <w:br/>
      </w:r>
      <w:r>
        <w:rPr>
          <w:rStyle w:val="NormalTok"/>
        </w:rPr>
        <w:t xml:space="preserve">                         scaled_sed_transport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(threshold,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(rating_curve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flow_cfs)))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square meters to cubic feet, assume 2ft depth</w:t>
      </w:r>
      <w:r>
        <w:br/>
      </w:r>
      <w:r>
        <w:rPr>
          <w:rStyle w:val="NormalTok"/>
        </w:rPr>
        <w:t xml:space="preserve">  starting_volume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254690.3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10.764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calib_kwk_sed_transport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kwk_usgs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flow =</w:t>
      </w:r>
      <w:r>
        <w:rPr>
          <w:rStyle w:val="NormalTok"/>
        </w:rPr>
        <w:t xml:space="preserve"> kwk_usgs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Flow,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sediment_transport_f3_day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calib_sed_curve</w:t>
      </w:r>
      <w:r>
        <w:rPr>
          <w:rStyle w:val="NormalTok"/>
        </w:rPr>
        <w:t xml:space="preserve">(flow)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sediment_transport_f3_day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(sediment_transport_f3_day),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sediment_transport_f3_day))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calib_kwk_sed_transport_sim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calib_kwk_sed_transport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"2015-01-01"</w:t>
      </w:r>
      <w:r>
        <w:rPr>
          <w:rStyle w:val="NormalTok"/>
        </w:rPr>
        <w:t xml:space="preserve">, 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"2017-04-01"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sediment_transport_f3_day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(sediment_transport_f3_day),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sediment_transport_f3_day),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sediment_transport_f3_day_accum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(sediment_transport_f3_day),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current_vol =</w:t>
      </w:r>
      <w:r>
        <w:rPr>
          <w:rStyle w:val="NormalTok"/>
        </w:rPr>
        <w:t xml:space="preserve"> starting_volume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sediment_transport_f3_day_accum)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last_volume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calib_kwk_sed_transport_sim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(current_vol)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absolute distance to zero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(last_volume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We want to optimize the function by the threshold value that results</w:t>
      </w:r>
      <w:r>
        <w:br/>
      </w:r>
      <w:r>
        <w:rPr>
          <w:rStyle w:val="CommentTok"/>
        </w:rPr>
        <w:t xml:space="preserve"># in the volumne nearest zero.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optimise</w:t>
      </w:r>
      <w:r>
        <w:rPr>
          <w:rStyle w:val="NormalTok"/>
        </w:rPr>
        <w:t xml:space="preserve">(objective_func,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abitat-decay-analysis_files/figure-docx/unnamed-chunk-12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52" w:name="augmentations-and-depositions"/>
    <w:p>
      <w:pPr>
        <w:pStyle w:val="Heading3"/>
      </w:pPr>
      <w:r>
        <w:t xml:space="preserve">Augmentations and Depositions</w:t>
      </w:r>
    </w:p>
    <w:p>
      <w:pPr>
        <w:pStyle w:val="FirstParagraph"/>
      </w:pPr>
      <w:r>
        <w:t xml:space="preserve">The goal for this optimization process is to scale the curve so that we are meeting</w:t>
      </w:r>
      <w:r>
        <w:t xml:space="preserve"> </w:t>
      </w:r>
      <w:r>
        <w:t xml:space="preserve">known annual decay after accounting for augmentations and depositions. This annual decay</w:t>
      </w:r>
      <w:r>
        <w:t xml:space="preserve"> </w:t>
      </w:r>
      <w:r>
        <w:t xml:space="preserve">rate was obtained by consulting domain experts who have been working in the Upper</w:t>
      </w:r>
      <w:r>
        <w:t xml:space="preserve"> </w:t>
      </w:r>
      <w:r>
        <w:t xml:space="preserve">Sacramento River for over 15 years. Based on input we expect to see on average about</w:t>
      </w:r>
      <w:r>
        <w:t xml:space="preserve"> </w:t>
      </w:r>
      <w:r>
        <w:t xml:space="preserve">1 acre of decay per year.</w:t>
      </w:r>
    </w:p>
    <w:bookmarkStart w:id="40" w:name="augmentation-data"/>
    <w:p>
      <w:pPr>
        <w:pStyle w:val="Heading4"/>
      </w:pPr>
      <w:r>
        <w:t xml:space="preserve">Augmentation Data</w:t>
      </w:r>
    </w:p>
    <w:p>
      <w:pPr>
        <w:pStyle w:val="FirstParagraph"/>
      </w:pPr>
      <w:r>
        <w:t xml:space="preserve">Augmentation data was obtained from two sources</w:t>
      </w:r>
    </w:p>
    <w:p>
      <w:pPr>
        <w:numPr>
          <w:ilvl w:val="0"/>
          <w:numId w:val="1001"/>
        </w:numPr>
        <w:pStyle w:val="Compact"/>
      </w:pPr>
      <w:r>
        <w:t xml:space="preserve">John Hannon - Upper Sacramento River Augmentations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source</w:t>
        </w:r>
      </w:hyperlink>
    </w:p>
    <w:p>
      <w:pPr>
        <w:numPr>
          <w:ilvl w:val="0"/>
          <w:numId w:val="1001"/>
        </w:numPr>
        <w:pStyle w:val="Compact"/>
      </w:pPr>
      <w:r>
        <w:t xml:space="preserve">Stillwater - Sacramento River Ecological Flows Study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source</w:t>
        </w:r>
      </w:hyperlink>
    </w:p>
    <w:p>
      <w:pPr>
        <w:pStyle w:val="FirstParagraph"/>
      </w:pPr>
      <w:r>
        <w:t xml:space="preserve">These two sources we combined and converted to acres, to produce the</w:t>
      </w:r>
      <w:r>
        <w:t xml:space="preserve"> </w:t>
      </w:r>
      <w:r>
        <w:t xml:space="preserve">following: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1978-01-31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1.426869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1979-01-31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2.695647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1988-01-31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4.957558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1989-01-31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2.480806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1990-01-31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30.965483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1997-01-31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6.404959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1998-01-31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4.752066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1999-01-31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5.165289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2000-01-31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6.611570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2002-01-31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3.099174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2003-01-31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1.818182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2004-01-31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1.756198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1.487603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2006-01-31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1.239669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1.239669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2008-01-31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1.714876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2.045455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1.136364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2011-01-31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1.033058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2012-01-31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3.099174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2013-01-31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2.892562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6.611570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2.892562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6.611570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2022-01-31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4.132231</w:t>
            </w:r>
          </w:p>
        </w:tc>
      </w:tr>
    </w:tbl>
    <w:bookmarkEnd w:id="40"/>
    <w:bookmarkStart w:id="47" w:name="apply-decay-and-augmentations"/>
    <w:p>
      <w:pPr>
        <w:pStyle w:val="Heading4"/>
      </w:pPr>
      <w:r>
        <w:t xml:space="preserve">Apply Decay and Augmentations</w:t>
      </w:r>
    </w:p>
    <w:p>
      <w:pPr>
        <w:pStyle w:val="FirstParagraph"/>
      </w:pPr>
      <w:r>
        <w:t xml:space="preserve">At this point we apply the decay curves (with threshold of movement and still-in motion</w:t>
      </w:r>
      <w:r>
        <w:t xml:space="preserve"> </w:t>
      </w:r>
      <w:r>
        <w:t xml:space="preserve">scale-downs already applied) to the DSM Flows to calculate decay and add to this the</w:t>
      </w:r>
      <w:r>
        <w:t xml:space="preserve"> </w:t>
      </w:r>
      <w:r>
        <w:t xml:space="preserve">observed augmentations.</w:t>
      </w:r>
    </w:p>
    <w:p>
      <w:pPr>
        <w:pStyle w:val="BodyText"/>
      </w:pPr>
      <w:r>
        <w:t xml:space="preserve">We can use two sources for flows, DSM flows (CALSIM) used in the DSM models 1980-2000 or known</w:t>
      </w:r>
      <w:r>
        <w:t xml:space="preserve"> </w:t>
      </w:r>
      <w:r>
        <w:t xml:space="preserve">USGS flows 1980-2022.</w:t>
      </w:r>
    </w:p>
    <w:p>
      <w:pPr>
        <w:pStyle w:val="BodyText"/>
      </w:pPr>
      <w:r>
        <w:rPr>
          <w:bCs/>
          <w:b/>
        </w:rPr>
        <w:t xml:space="preserve">DSM Flows</w:t>
      </w:r>
    </w:p>
    <w:p>
      <w:pPr>
        <w:pStyle w:val="BodyText"/>
      </w:pPr>
      <w:r>
        <w:t xml:space="preserve">Average annual decay with final scale-down.</w:t>
      </w:r>
    </w:p>
    <w:p>
      <w:pPr>
        <w:pStyle w:val="SourceCode"/>
      </w:pPr>
      <w:r>
        <w:rPr>
          <w:rStyle w:val="VerbatimChar"/>
        </w:rPr>
        <w:t xml:space="preserve">[1] -1.17586</w:t>
      </w:r>
    </w:p>
    <w:p>
      <w:pPr>
        <w:pStyle w:val="FirstParagraph"/>
      </w:pPr>
      <w:r>
        <w:t xml:space="preserve">Accumulated decay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abitat-decay-analysis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USGS Flows</w:t>
      </w:r>
    </w:p>
    <w:p>
      <w:pPr>
        <w:pStyle w:val="BodyText"/>
      </w:pPr>
      <w:r>
        <w:t xml:space="preserve">Average annual decay with final scale-down.</w:t>
      </w:r>
    </w:p>
    <w:p>
      <w:pPr>
        <w:pStyle w:val="SourceCode"/>
      </w:pPr>
      <w:r>
        <w:rPr>
          <w:rStyle w:val="VerbatimChar"/>
        </w:rPr>
        <w:t xml:space="preserve">[1] -1.151983</w:t>
      </w:r>
    </w:p>
    <w:p>
      <w:pPr>
        <w:pStyle w:val="FirstParagraph"/>
      </w:pPr>
      <w:r>
        <w:t xml:space="preserve">Accumulated decay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abitat-decay-analysis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apply-decay-to-spawning-habitat"/>
    <w:p>
      <w:pPr>
        <w:pStyle w:val="Heading4"/>
      </w:pPr>
      <w:r>
        <w:t xml:space="preserve">Apply Decay to Spawning Habitat</w:t>
      </w:r>
    </w:p>
    <w:p>
      <w:pPr>
        <w:pStyle w:val="FirstParagraph"/>
      </w:pPr>
      <w:r>
        <w:t xml:space="preserve">Here we apply the final version of the curve to the spawning habitat used</w:t>
      </w:r>
      <w:r>
        <w:t xml:space="preserve"> </w:t>
      </w:r>
      <w:r>
        <w:t xml:space="preserve">in the model.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abitat-decay-analysis_files/figure-docx/unnamed-chunk-17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End w:id="53"/>
    <w:bookmarkStart w:id="67" w:name="scaling-to-other-watersheds"/>
    <w:p>
      <w:pPr>
        <w:pStyle w:val="Heading2"/>
      </w:pPr>
      <w:r>
        <w:t xml:space="preserve">Scaling To Other Watersheds</w:t>
      </w:r>
    </w:p>
    <w:bookmarkStart w:id="66" w:name="comparing-usgs-vs-dsm-flows"/>
    <w:p>
      <w:pPr>
        <w:pStyle w:val="Heading3"/>
      </w:pPr>
      <w:r>
        <w:t xml:space="preserve">Comparing USGS vs DSM flows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habitat-decay-analysis_files/figure-docx/unnamed-chunk-18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habitat-decay-analysis_files/figure-docx/unnamed-chunk-18-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summary stats</w:t>
      </w:r>
    </w:p>
    <w:p>
      <w:pPr>
        <w:pStyle w:val="SourceCode"/>
      </w:pPr>
      <w:r>
        <w:rPr>
          <w:rStyle w:val="VerbatimChar"/>
        </w:rPr>
        <w:t xml:space="preserve"># A tibble: 7,819 × 4</w:t>
      </w:r>
      <w:r>
        <w:br/>
      </w:r>
      <w:r>
        <w:rPr>
          <w:rStyle w:val="VerbatimChar"/>
        </w:rPr>
        <w:t xml:space="preserve">   date        flow exceedance_p source</w:t>
      </w:r>
      <w:r>
        <w:br/>
      </w:r>
      <w:r>
        <w:rPr>
          <w:rStyle w:val="VerbatimChar"/>
        </w:rPr>
        <w:t xml:space="preserve">   &lt;date&gt;     &lt;dbl&gt;        &lt;dbl&gt; &lt;chr&gt; </w:t>
      </w:r>
      <w:r>
        <w:br/>
      </w:r>
      <w:r>
        <w:rPr>
          <w:rStyle w:val="VerbatimChar"/>
        </w:rPr>
        <w:t xml:space="preserve"> 1 1986-04-30  7530          0.5 cdec  </w:t>
      </w:r>
      <w:r>
        <w:br/>
      </w:r>
      <w:r>
        <w:rPr>
          <w:rStyle w:val="VerbatimChar"/>
        </w:rPr>
        <w:t xml:space="preserve"> 2 1986-09-20  7530          0.5 cdec  </w:t>
      </w:r>
      <w:r>
        <w:br/>
      </w:r>
      <w:r>
        <w:rPr>
          <w:rStyle w:val="VerbatimChar"/>
        </w:rPr>
        <w:t xml:space="preserve"> 3 1986-09-21  7530          0.5 cdec  </w:t>
      </w:r>
      <w:r>
        <w:br/>
      </w:r>
      <w:r>
        <w:rPr>
          <w:rStyle w:val="VerbatimChar"/>
        </w:rPr>
        <w:t xml:space="preserve"> 4 1986-09-22  7530          0.5 cdec  </w:t>
      </w:r>
      <w:r>
        <w:br/>
      </w:r>
      <w:r>
        <w:rPr>
          <w:rStyle w:val="VerbatimChar"/>
        </w:rPr>
        <w:t xml:space="preserve"> 5 1991-09-03  7530          0.5 cdec  </w:t>
      </w:r>
      <w:r>
        <w:br/>
      </w:r>
      <w:r>
        <w:rPr>
          <w:rStyle w:val="VerbatimChar"/>
        </w:rPr>
        <w:t xml:space="preserve"> 6 1992-06-12  7530          0.5 cdec  </w:t>
      </w:r>
      <w:r>
        <w:br/>
      </w:r>
      <w:r>
        <w:rPr>
          <w:rStyle w:val="VerbatimChar"/>
        </w:rPr>
        <w:t xml:space="preserve"> 7 1992-07-15  7530          0.5 cdec  </w:t>
      </w:r>
      <w:r>
        <w:br/>
      </w:r>
      <w:r>
        <w:rPr>
          <w:rStyle w:val="VerbatimChar"/>
        </w:rPr>
        <w:t xml:space="preserve"> 8 1993-05-07  7530          0.5 cdec  </w:t>
      </w:r>
      <w:r>
        <w:br/>
      </w:r>
      <w:r>
        <w:rPr>
          <w:rStyle w:val="VerbatimChar"/>
        </w:rPr>
        <w:t xml:space="preserve"> 9 1998-10-10  7530          0.5 cdec  </w:t>
      </w:r>
      <w:r>
        <w:br/>
      </w:r>
      <w:r>
        <w:rPr>
          <w:rStyle w:val="VerbatimChar"/>
        </w:rPr>
        <w:t xml:space="preserve">10 1999-01-31  7530          0.5 cdec  </w:t>
      </w:r>
      <w:r>
        <w:br/>
      </w:r>
      <w:r>
        <w:rPr>
          <w:rStyle w:val="VerbatimChar"/>
        </w:rPr>
        <w:t xml:space="preserve"># … with 7,809 more rows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date        flow exceedance_p source</w:t>
      </w:r>
      <w:r>
        <w:br/>
      </w:r>
      <w:r>
        <w:rPr>
          <w:rStyle w:val="VerbatimChar"/>
        </w:rPr>
        <w:t xml:space="preserve">  &lt;date&gt;     &lt;dbl&gt;        &lt;dbl&gt; &lt;chr&gt; </w:t>
      </w:r>
      <w:r>
        <w:br/>
      </w:r>
      <w:r>
        <w:rPr>
          <w:rStyle w:val="VerbatimChar"/>
        </w:rPr>
        <w:t xml:space="preserve">1 2000-02-15 40000       0.0147 cdec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habitat-decay-analysis_files/figure-docx/unnamed-chunk-20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habitat-decay-analysis_files/figure-docx/unnamed-chunk-20-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Habitat Decay Analysis</dc:title>
  <dc:creator/>
  <cp:keywords/>
  <dcterms:created xsi:type="dcterms:W3CDTF">2022-09-26T18:56:24Z</dcterms:created>
  <dcterms:modified xsi:type="dcterms:W3CDTF">2022-09-26T18:56:24Z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ckgroundcolor">
    <vt:lpwstr>#faf8f6</vt:lpwstr>
  </property>
  <property fmtid="{D5CDD505-2E9C-101B-9397-08002B2CF9AE}" pid="3" name="biblio-config">
    <vt:lpwstr>True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mainfont">
    <vt:lpwstr>Spectral</vt:lpwstr>
  </property>
  <property fmtid="{D5CDD505-2E9C-101B-9397-08002B2CF9AE}" pid="11" name="monofont">
    <vt:lpwstr>Cascadia Mono</vt:lpwstr>
  </property>
  <property fmtid="{D5CDD505-2E9C-101B-9397-08002B2CF9AE}" pid="12" name="toc-title">
    <vt:lpwstr>Table of contents</vt:lpwstr>
  </property>
</Properties>
</file>