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B0D19" w14:textId="77777777" w:rsidR="007A65EB" w:rsidRPr="00FE37D9" w:rsidRDefault="007A65EB" w:rsidP="007A65EB">
      <w:pPr>
        <w:spacing w:line="240" w:lineRule="auto"/>
        <w:contextualSpacing/>
        <w:jc w:val="center"/>
        <w:rPr>
          <w:rFonts w:eastAsiaTheme="minorEastAsia"/>
          <w:b/>
          <w:bCs/>
          <w:sz w:val="28"/>
          <w:szCs w:val="28"/>
        </w:rPr>
      </w:pPr>
      <w:r w:rsidRPr="326423FF">
        <w:rPr>
          <w:rFonts w:eastAsiaTheme="minorEastAsia"/>
          <w:b/>
          <w:bCs/>
          <w:sz w:val="28"/>
          <w:szCs w:val="28"/>
        </w:rPr>
        <w:t>CWE Board</w:t>
      </w:r>
    </w:p>
    <w:p w14:paraId="3DE270B8" w14:textId="77777777" w:rsidR="007A65EB" w:rsidRPr="00FE37D9" w:rsidRDefault="007A65EB" w:rsidP="007A65EB">
      <w:pPr>
        <w:spacing w:line="240" w:lineRule="auto"/>
        <w:contextualSpacing/>
        <w:jc w:val="center"/>
        <w:rPr>
          <w:rFonts w:eastAsiaTheme="minorEastAsia"/>
          <w:b/>
          <w:bCs/>
          <w:sz w:val="28"/>
          <w:szCs w:val="28"/>
        </w:rPr>
      </w:pPr>
      <w:r w:rsidRPr="326423FF">
        <w:rPr>
          <w:rFonts w:eastAsiaTheme="minorEastAsia"/>
          <w:b/>
          <w:bCs/>
          <w:sz w:val="28"/>
          <w:szCs w:val="28"/>
        </w:rPr>
        <w:t>Meeting Minutes</w:t>
      </w:r>
    </w:p>
    <w:p w14:paraId="330B0767" w14:textId="77777777" w:rsidR="007A65EB" w:rsidRDefault="007A65EB" w:rsidP="007A65EB">
      <w:pPr>
        <w:spacing w:line="240" w:lineRule="auto"/>
        <w:contextualSpacing/>
        <w:jc w:val="center"/>
        <w:rPr>
          <w:rFonts w:eastAsiaTheme="minorEastAsia"/>
          <w:b/>
          <w:bCs/>
        </w:rPr>
      </w:pPr>
      <w:r w:rsidRPr="00C378E0">
        <w:rPr>
          <w:rFonts w:eastAsiaTheme="minorEastAsia"/>
          <w:b/>
          <w:bCs/>
        </w:rPr>
        <w:t>January 28, 2026</w:t>
      </w:r>
    </w:p>
    <w:p w14:paraId="192ECC55" w14:textId="77777777" w:rsidR="007A65EB" w:rsidRDefault="007A65EB" w:rsidP="007A65EB"/>
    <w:p w14:paraId="3361896F" w14:textId="77777777" w:rsidR="007A65EB" w:rsidRPr="00D97995" w:rsidRDefault="007A65EB" w:rsidP="007A65EB">
      <w:pPr>
        <w:pStyle w:val="Heading2"/>
        <w:rPr>
          <w:rFonts w:asciiTheme="minorHAnsi" w:eastAsiaTheme="minorEastAsia" w:hAnsiTheme="minorHAnsi" w:cstheme="minorBidi"/>
        </w:rPr>
      </w:pPr>
      <w:r w:rsidRPr="00D97995">
        <w:rPr>
          <w:rFonts w:asciiTheme="minorHAnsi" w:eastAsiaTheme="minorEastAsia" w:hAnsiTheme="minorHAnsi" w:cstheme="minorBidi"/>
        </w:rPr>
        <w:t>Meeting Attendance</w:t>
      </w:r>
    </w:p>
    <w:p w14:paraId="3FE235C6" w14:textId="77777777" w:rsidR="007A65EB" w:rsidRPr="00797380" w:rsidRDefault="007A65EB" w:rsidP="007A65EB">
      <w:pPr>
        <w:spacing w:after="0" w:line="240" w:lineRule="auto"/>
        <w:ind w:left="360"/>
        <w:rPr>
          <w:rFonts w:eastAsiaTheme="minorEastAsia"/>
        </w:rPr>
        <w:sectPr w:rsidR="007A65EB" w:rsidRPr="00797380" w:rsidSect="007A65EB">
          <w:footerReference w:type="default" r:id="rId10"/>
          <w:pgSz w:w="12240" w:h="15840"/>
          <w:pgMar w:top="1440" w:right="1440" w:bottom="1440" w:left="1440" w:header="720" w:footer="720" w:gutter="0"/>
          <w:cols w:space="720"/>
          <w:docGrid w:linePitch="360"/>
        </w:sectPr>
      </w:pPr>
      <w:r w:rsidRPr="003E0D79">
        <w:rPr>
          <w:rFonts w:eastAsiaTheme="minorEastAsia"/>
        </w:rPr>
        <w:t>Attendees:</w:t>
      </w:r>
    </w:p>
    <w:p w14:paraId="6435CD96" w14:textId="77777777" w:rsidR="007A65EB" w:rsidRDefault="004968CE" w:rsidP="007A65EB">
      <w:pPr>
        <w:spacing w:after="0" w:line="240" w:lineRule="auto"/>
        <w:ind w:left="720"/>
        <w:rPr>
          <w:rFonts w:ascii="MS Gothic" w:eastAsia="MS Gothic" w:hAnsi="MS Gothic"/>
        </w:rPr>
      </w:pPr>
      <w:sdt>
        <w:sdtPr>
          <w:rPr>
            <w:rFonts w:ascii="MS Gothic" w:eastAsia="MS Gothic" w:hAnsi="MS Gothic"/>
          </w:rPr>
          <w:id w:val="-1011832555"/>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Pr>
          <w:rFonts w:ascii="MS Gothic" w:eastAsia="MS Gothic" w:hAnsi="MS Gothic"/>
        </w:rPr>
        <w:t xml:space="preserve"> </w:t>
      </w:r>
      <w:r w:rsidR="007A65EB" w:rsidRPr="002844FE">
        <w:rPr>
          <w:rFonts w:eastAsiaTheme="minorEastAsia"/>
        </w:rPr>
        <w:t>Steve Christey</w:t>
      </w:r>
      <w:r w:rsidR="007A65EB">
        <w:rPr>
          <w:rFonts w:eastAsiaTheme="minorEastAsia"/>
        </w:rPr>
        <w:t xml:space="preserve"> Coley (Guest)</w:t>
      </w:r>
    </w:p>
    <w:p w14:paraId="7F1CD977" w14:textId="77777777" w:rsidR="007A65EB" w:rsidRPr="000615A0" w:rsidRDefault="004968CE" w:rsidP="007A65EB">
      <w:pPr>
        <w:spacing w:after="0" w:line="240" w:lineRule="auto"/>
        <w:ind w:left="720"/>
        <w:rPr>
          <w:rFonts w:eastAsiaTheme="minorEastAsia"/>
        </w:rPr>
      </w:pPr>
      <w:sdt>
        <w:sdtPr>
          <w:rPr>
            <w:rFonts w:ascii="MS Gothic" w:eastAsia="MS Gothic" w:hAnsi="MS Gothic"/>
          </w:rPr>
          <w:id w:val="-177659721"/>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 xml:space="preserve"> Bill Curtis</w:t>
      </w:r>
    </w:p>
    <w:p w14:paraId="10CFB29A" w14:textId="77777777" w:rsidR="007A65EB" w:rsidRPr="000615A0" w:rsidRDefault="004968CE" w:rsidP="007A65EB">
      <w:pPr>
        <w:pStyle w:val="ListParagraph"/>
        <w:spacing w:after="0" w:line="240" w:lineRule="auto"/>
        <w:rPr>
          <w:rFonts w:eastAsiaTheme="minorEastAsia"/>
        </w:rPr>
      </w:pPr>
      <w:sdt>
        <w:sdtPr>
          <w:rPr>
            <w:rFonts w:eastAsiaTheme="minorEastAsia"/>
          </w:rPr>
          <w:id w:val="-61567203"/>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Chris Eng</w:t>
      </w:r>
    </w:p>
    <w:p w14:paraId="0B0387E7" w14:textId="77777777" w:rsidR="007A65EB" w:rsidRPr="000615A0" w:rsidRDefault="004968CE" w:rsidP="007A65EB">
      <w:pPr>
        <w:pStyle w:val="ListParagraph"/>
        <w:spacing w:after="0" w:line="240" w:lineRule="auto"/>
        <w:rPr>
          <w:rFonts w:eastAsiaTheme="minorEastAsia"/>
        </w:rPr>
      </w:pPr>
      <w:sdt>
        <w:sdtPr>
          <w:rPr>
            <w:rFonts w:eastAsiaTheme="minorEastAsia"/>
          </w:rPr>
          <w:id w:val="1418366557"/>
          <w14:checkbox>
            <w14:checked w14:val="0"/>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Jason Fung</w:t>
      </w:r>
    </w:p>
    <w:p w14:paraId="2181671C" w14:textId="77777777" w:rsidR="007A65EB" w:rsidRPr="000615A0" w:rsidRDefault="004968CE" w:rsidP="007A65EB">
      <w:pPr>
        <w:pStyle w:val="ListParagraph"/>
        <w:spacing w:after="0" w:line="240" w:lineRule="auto"/>
        <w:rPr>
          <w:rFonts w:eastAsiaTheme="minorEastAsia"/>
        </w:rPr>
      </w:pPr>
      <w:sdt>
        <w:sdtPr>
          <w:rPr>
            <w:rFonts w:eastAsiaTheme="minorEastAsia"/>
          </w:rPr>
          <w:id w:val="1809282856"/>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Robin Gandhi</w:t>
      </w:r>
    </w:p>
    <w:p w14:paraId="7C5D6DDE" w14:textId="77777777" w:rsidR="007A65EB" w:rsidRPr="000615A0" w:rsidRDefault="007A65EB" w:rsidP="007A65EB">
      <w:pPr>
        <w:spacing w:after="0" w:line="240" w:lineRule="auto"/>
        <w:rPr>
          <w:rFonts w:eastAsiaTheme="minorEastAsia"/>
          <w:vanish/>
          <w:specVanish/>
        </w:rPr>
      </w:pPr>
    </w:p>
    <w:p w14:paraId="274CCF8B" w14:textId="77777777" w:rsidR="007A65EB" w:rsidRPr="000615A0" w:rsidRDefault="004968CE" w:rsidP="007A65EB">
      <w:pPr>
        <w:pStyle w:val="ListParagraph"/>
        <w:spacing w:after="0" w:line="240" w:lineRule="auto"/>
        <w:rPr>
          <w:rFonts w:eastAsiaTheme="minorEastAsia"/>
        </w:rPr>
      </w:pPr>
      <w:sdt>
        <w:sdtPr>
          <w:rPr>
            <w:rFonts w:eastAsiaTheme="minorEastAsia"/>
          </w:rPr>
          <w:id w:val="195438672"/>
          <w14:checkbox>
            <w14:checked w14:val="0"/>
            <w14:checkedState w14:val="2612" w14:font="MS Gothic"/>
            <w14:uncheckedState w14:val="2610" w14:font="MS Gothic"/>
          </w14:checkbox>
        </w:sdtPr>
        <w:sdtEndPr/>
        <w:sdtContent>
          <w:r w:rsidR="007A65EB" w:rsidRPr="000615A0">
            <w:rPr>
              <w:rFonts w:ascii="MS Gothic" w:eastAsia="MS Gothic" w:hAnsi="MS Gothic" w:hint="eastAsia"/>
            </w:rPr>
            <w:t>☐</w:t>
          </w:r>
        </w:sdtContent>
      </w:sdt>
      <w:r w:rsidR="007A65EB" w:rsidRPr="000615A0">
        <w:rPr>
          <w:rFonts w:eastAsiaTheme="minorEastAsia"/>
        </w:rPr>
        <w:t>Jay Gazlay</w:t>
      </w:r>
    </w:p>
    <w:p w14:paraId="48C2BE91" w14:textId="77777777" w:rsidR="007A65EB" w:rsidRPr="000615A0" w:rsidRDefault="004968CE" w:rsidP="007A65EB">
      <w:pPr>
        <w:pStyle w:val="ListParagraph"/>
        <w:spacing w:after="0" w:line="240" w:lineRule="auto"/>
        <w:rPr>
          <w:rFonts w:eastAsiaTheme="minorEastAsia"/>
        </w:rPr>
      </w:pPr>
      <w:sdt>
        <w:sdtPr>
          <w:rPr>
            <w:rFonts w:eastAsiaTheme="minorEastAsia"/>
          </w:rPr>
          <w:id w:val="-1893416262"/>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Alex Hoole</w:t>
      </w:r>
    </w:p>
    <w:p w14:paraId="7215ADEB" w14:textId="77777777" w:rsidR="007A65EB" w:rsidRPr="000615A0" w:rsidRDefault="004968CE" w:rsidP="007A65EB">
      <w:pPr>
        <w:pStyle w:val="ListParagraph"/>
        <w:spacing w:after="0" w:line="240" w:lineRule="auto"/>
        <w:rPr>
          <w:rFonts w:eastAsiaTheme="minorEastAsia"/>
        </w:rPr>
      </w:pPr>
      <w:sdt>
        <w:sdtPr>
          <w:rPr>
            <w:rFonts w:eastAsiaTheme="minorEastAsia"/>
          </w:rPr>
          <w:id w:val="2079626035"/>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Joe Jarzombek</w:t>
      </w:r>
    </w:p>
    <w:p w14:paraId="44BE0A21" w14:textId="77777777" w:rsidR="007A65EB" w:rsidRPr="000615A0" w:rsidRDefault="004968CE" w:rsidP="007A65EB">
      <w:pPr>
        <w:pStyle w:val="ListParagraph"/>
        <w:spacing w:after="0" w:line="240" w:lineRule="auto"/>
        <w:rPr>
          <w:rFonts w:eastAsiaTheme="minorEastAsia"/>
        </w:rPr>
      </w:pPr>
      <w:sdt>
        <w:sdtPr>
          <w:rPr>
            <w:rFonts w:eastAsiaTheme="minorEastAsia"/>
          </w:rPr>
          <w:id w:val="2002309919"/>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 xml:space="preserve"> Bob Heinemann</w:t>
      </w:r>
    </w:p>
    <w:p w14:paraId="49977445" w14:textId="77777777" w:rsidR="007A65EB" w:rsidRPr="000615A0" w:rsidRDefault="004968CE" w:rsidP="007A65EB">
      <w:pPr>
        <w:pStyle w:val="ListParagraph"/>
        <w:spacing w:after="0" w:line="240" w:lineRule="auto"/>
        <w:rPr>
          <w:rFonts w:eastAsiaTheme="minorEastAsia"/>
        </w:rPr>
      </w:pPr>
      <w:sdt>
        <w:sdtPr>
          <w:rPr>
            <w:rFonts w:eastAsiaTheme="minorEastAsia"/>
          </w:rPr>
          <w:id w:val="1942721193"/>
          <w14:checkbox>
            <w14:checked w14:val="0"/>
            <w14:checkedState w14:val="2612" w14:font="MS Gothic"/>
            <w14:uncheckedState w14:val="2610" w14:font="MS Gothic"/>
          </w14:checkbox>
        </w:sdtPr>
        <w:sdtEndPr/>
        <w:sdtContent>
          <w:r w:rsidR="007A65EB">
            <w:rPr>
              <w:rFonts w:ascii="MS Gothic" w:eastAsia="MS Gothic" w:hAnsi="MS Gothic" w:hint="eastAsia"/>
            </w:rPr>
            <w:t>☐</w:t>
          </w:r>
        </w:sdtContent>
      </w:sdt>
      <w:r w:rsidR="007A65EB">
        <w:rPr>
          <w:rFonts w:eastAsiaTheme="minorEastAsia"/>
        </w:rPr>
        <w:t xml:space="preserve"> </w:t>
      </w:r>
      <w:r w:rsidR="007A65EB" w:rsidRPr="000615A0">
        <w:rPr>
          <w:rFonts w:eastAsiaTheme="minorEastAsia"/>
        </w:rPr>
        <w:t>Jason Lam</w:t>
      </w:r>
    </w:p>
    <w:p w14:paraId="52546491" w14:textId="77777777" w:rsidR="007A65EB" w:rsidRPr="000615A0" w:rsidRDefault="004968CE" w:rsidP="007A65EB">
      <w:pPr>
        <w:pStyle w:val="ListParagraph"/>
        <w:spacing w:after="0" w:line="240" w:lineRule="auto"/>
        <w:rPr>
          <w:rFonts w:eastAsiaTheme="minorEastAsia"/>
        </w:rPr>
      </w:pPr>
      <w:sdt>
        <w:sdtPr>
          <w:rPr>
            <w:rFonts w:eastAsiaTheme="minorEastAsia"/>
          </w:rPr>
          <w:id w:val="1314904944"/>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Jason Oberg</w:t>
      </w:r>
    </w:p>
    <w:p w14:paraId="0AA2DEED" w14:textId="77777777" w:rsidR="007A65EB" w:rsidRPr="000615A0" w:rsidRDefault="004968CE" w:rsidP="007A65EB">
      <w:pPr>
        <w:pStyle w:val="ListParagraph"/>
        <w:spacing w:after="0" w:line="240" w:lineRule="auto"/>
        <w:rPr>
          <w:rFonts w:eastAsiaTheme="minorEastAsia"/>
        </w:rPr>
      </w:pPr>
      <w:sdt>
        <w:sdtPr>
          <w:rPr>
            <w:rFonts w:eastAsiaTheme="minorEastAsia"/>
          </w:rPr>
          <w:id w:val="1059125102"/>
          <w14:checkbox>
            <w14:checked w14:val="0"/>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Deana O’Meara</w:t>
      </w:r>
    </w:p>
    <w:p w14:paraId="254EF22E" w14:textId="77777777" w:rsidR="007A65EB" w:rsidRPr="000615A0" w:rsidRDefault="004968CE" w:rsidP="007A65EB">
      <w:pPr>
        <w:pStyle w:val="ListParagraph"/>
        <w:spacing w:after="0" w:line="240" w:lineRule="auto"/>
        <w:rPr>
          <w:rFonts w:eastAsiaTheme="minorEastAsia"/>
        </w:rPr>
      </w:pPr>
      <w:sdt>
        <w:sdtPr>
          <w:rPr>
            <w:rFonts w:eastAsiaTheme="minorEastAsia"/>
          </w:rPr>
          <w:id w:val="-1202162746"/>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Kurt Seifried</w:t>
      </w:r>
    </w:p>
    <w:p w14:paraId="60AD9E82" w14:textId="77777777" w:rsidR="007A65EB" w:rsidRPr="000615A0" w:rsidRDefault="004968CE" w:rsidP="007A65EB">
      <w:pPr>
        <w:pStyle w:val="ListParagraph"/>
        <w:spacing w:after="0" w:line="240" w:lineRule="auto"/>
        <w:rPr>
          <w:rFonts w:eastAsiaTheme="minorEastAsia"/>
        </w:rPr>
      </w:pPr>
      <w:sdt>
        <w:sdtPr>
          <w:rPr>
            <w:rFonts w:eastAsiaTheme="minorEastAsia"/>
          </w:rPr>
          <w:id w:val="-78675488"/>
          <w14:checkbox>
            <w14:checked w14:val="1"/>
            <w14:checkedState w14:val="2612" w14:font="MS Gothic"/>
            <w14:uncheckedState w14:val="2610" w14:font="MS Gothic"/>
          </w14:checkbox>
        </w:sdtPr>
        <w:sdtEndPr/>
        <w:sdtContent>
          <w:r w:rsidR="007A65EB">
            <w:rPr>
              <w:rFonts w:ascii="MS Gothic" w:eastAsia="MS Gothic" w:hAnsi="MS Gothic" w:hint="eastAsia"/>
            </w:rPr>
            <w:t>☒</w:t>
          </w:r>
        </w:sdtContent>
      </w:sdt>
      <w:r w:rsidR="007A65EB" w:rsidRPr="000615A0">
        <w:rPr>
          <w:rFonts w:eastAsiaTheme="minorEastAsia"/>
        </w:rPr>
        <w:t>Alec J. Summers</w:t>
      </w:r>
    </w:p>
    <w:p w14:paraId="7FA6CC38" w14:textId="77777777" w:rsidR="007A65EB" w:rsidRPr="000615A0" w:rsidRDefault="004968CE" w:rsidP="007A65EB">
      <w:pPr>
        <w:pStyle w:val="ListParagraph"/>
        <w:spacing w:after="0" w:line="240" w:lineRule="auto"/>
        <w:rPr>
          <w:rFonts w:eastAsiaTheme="minorEastAsia"/>
        </w:rPr>
      </w:pPr>
      <w:sdt>
        <w:sdtPr>
          <w:rPr>
            <w:rFonts w:eastAsiaTheme="minorEastAsia"/>
          </w:rPr>
          <w:id w:val="-363602190"/>
          <w14:checkbox>
            <w14:checked w14:val="0"/>
            <w14:checkedState w14:val="2612" w14:font="MS Gothic"/>
            <w14:uncheckedState w14:val="2610" w14:font="MS Gothic"/>
          </w14:checkbox>
        </w:sdtPr>
        <w:sdtEndPr/>
        <w:sdtContent>
          <w:r w:rsidR="007A65EB" w:rsidRPr="000615A0">
            <w:rPr>
              <w:rFonts w:ascii="MS Gothic" w:eastAsia="MS Gothic" w:hAnsi="MS Gothic" w:hint="eastAsia"/>
            </w:rPr>
            <w:t>☐</w:t>
          </w:r>
        </w:sdtContent>
      </w:sdt>
      <w:r w:rsidR="007A65EB" w:rsidRPr="000615A0">
        <w:rPr>
          <w:rFonts w:eastAsiaTheme="minorEastAsia"/>
        </w:rPr>
        <w:t>Chris Turner</w:t>
      </w:r>
    </w:p>
    <w:p w14:paraId="3CF58F3C" w14:textId="77777777" w:rsidR="007A65EB" w:rsidRDefault="004968CE" w:rsidP="007A65EB">
      <w:pPr>
        <w:pStyle w:val="ListParagraph"/>
        <w:spacing w:after="0" w:line="240" w:lineRule="auto"/>
        <w:rPr>
          <w:rFonts w:eastAsiaTheme="minorEastAsia"/>
        </w:rPr>
      </w:pPr>
      <w:sdt>
        <w:sdtPr>
          <w:rPr>
            <w:rFonts w:eastAsiaTheme="minorEastAsia"/>
          </w:rPr>
          <w:id w:val="-1141346421"/>
          <w14:checkbox>
            <w14:checked w14:val="0"/>
            <w14:checkedState w14:val="2612" w14:font="MS Gothic"/>
            <w14:uncheckedState w14:val="2610" w14:font="MS Gothic"/>
          </w14:checkbox>
        </w:sdtPr>
        <w:sdtEndPr/>
        <w:sdtContent>
          <w:r w:rsidR="007A65EB" w:rsidRPr="000615A0">
            <w:rPr>
              <w:rFonts w:ascii="MS Gothic" w:eastAsia="MS Gothic" w:hAnsi="MS Gothic" w:hint="eastAsia"/>
            </w:rPr>
            <w:t>☐</w:t>
          </w:r>
        </w:sdtContent>
      </w:sdt>
      <w:r w:rsidR="007A65EB" w:rsidRPr="000615A0">
        <w:rPr>
          <w:rFonts w:eastAsiaTheme="minorEastAsia"/>
        </w:rPr>
        <w:t>Jeremy West</w:t>
      </w:r>
    </w:p>
    <w:p w14:paraId="3384B342" w14:textId="77777777" w:rsidR="007A65EB" w:rsidRDefault="007A65EB" w:rsidP="007A65EB">
      <w:pPr>
        <w:pStyle w:val="Heading2"/>
        <w:rPr>
          <w:rFonts w:asciiTheme="minorHAnsi" w:eastAsiaTheme="minorEastAsia" w:hAnsiTheme="minorHAnsi" w:cstheme="minorBidi"/>
          <w:shd w:val="clear" w:color="auto" w:fill="FFFFFF"/>
        </w:rPr>
        <w:sectPr w:rsidR="007A65EB" w:rsidSect="007A65EB">
          <w:type w:val="continuous"/>
          <w:pgSz w:w="12240" w:h="15840"/>
          <w:pgMar w:top="1440" w:right="1440" w:bottom="1440" w:left="1440" w:header="720" w:footer="720" w:gutter="0"/>
          <w:cols w:num="2" w:space="720"/>
          <w:docGrid w:linePitch="360"/>
        </w:sectPr>
      </w:pPr>
    </w:p>
    <w:p w14:paraId="04DDC93E" w14:textId="77777777" w:rsidR="007A65EB" w:rsidRPr="001D1398" w:rsidRDefault="007A65EB" w:rsidP="007A65EB">
      <w:pPr>
        <w:pStyle w:val="Heading2"/>
        <w:rPr>
          <w:rFonts w:asciiTheme="minorHAnsi" w:eastAsiaTheme="minorEastAsia" w:hAnsiTheme="minorHAnsi" w:cstheme="minorBidi"/>
          <w:b/>
          <w:bCs/>
          <w:shd w:val="clear" w:color="auto" w:fill="FFFFFF"/>
        </w:rPr>
      </w:pPr>
      <w:r w:rsidRPr="001D1398">
        <w:rPr>
          <w:rFonts w:asciiTheme="minorHAnsi" w:eastAsiaTheme="minorEastAsia" w:hAnsiTheme="minorHAnsi" w:cstheme="minorBidi"/>
          <w:shd w:val="clear" w:color="auto" w:fill="FFFFFF"/>
        </w:rPr>
        <w:t>Agenda</w:t>
      </w:r>
    </w:p>
    <w:p w14:paraId="4B7DEFF8" w14:textId="77777777" w:rsidR="007A65EB" w:rsidRDefault="007A65EB" w:rsidP="007A65EB">
      <w:pPr>
        <w:pStyle w:val="ListParagraph"/>
        <w:numPr>
          <w:ilvl w:val="0"/>
          <w:numId w:val="1"/>
        </w:numPr>
        <w:spacing w:before="120" w:after="120" w:line="240" w:lineRule="auto"/>
        <w:ind w:left="720"/>
        <w:rPr>
          <w:rFonts w:eastAsiaTheme="minorEastAsia"/>
        </w:rPr>
      </w:pPr>
      <w:r w:rsidRPr="00035BAF">
        <w:rPr>
          <w:rFonts w:eastAsiaTheme="minorEastAsia"/>
        </w:rPr>
        <w:t>Introduction</w:t>
      </w:r>
    </w:p>
    <w:p w14:paraId="396BC985" w14:textId="77777777" w:rsidR="007A65EB" w:rsidRDefault="007A65EB" w:rsidP="007A65EB">
      <w:pPr>
        <w:pStyle w:val="ListParagraph"/>
        <w:numPr>
          <w:ilvl w:val="0"/>
          <w:numId w:val="1"/>
        </w:numPr>
        <w:spacing w:before="120" w:after="120" w:line="240" w:lineRule="auto"/>
        <w:ind w:left="720"/>
        <w:rPr>
          <w:rFonts w:eastAsiaTheme="minorEastAsia"/>
        </w:rPr>
      </w:pPr>
      <w:r>
        <w:rPr>
          <w:rFonts w:eastAsiaTheme="minorEastAsia"/>
        </w:rPr>
        <w:t>RTL</w:t>
      </w:r>
      <w:r w:rsidRPr="00D600F7">
        <w:rPr>
          <w:rFonts w:eastAsiaTheme="minorEastAsia"/>
        </w:rPr>
        <w:t xml:space="preserve"> Ad Hoc Working Group </w:t>
      </w:r>
    </w:p>
    <w:p w14:paraId="771ED7A4" w14:textId="77777777" w:rsidR="007A65EB" w:rsidRDefault="007A65EB" w:rsidP="007A65EB">
      <w:pPr>
        <w:pStyle w:val="ListParagraph"/>
        <w:numPr>
          <w:ilvl w:val="0"/>
          <w:numId w:val="1"/>
        </w:numPr>
        <w:spacing w:before="120" w:after="120" w:line="240" w:lineRule="auto"/>
        <w:ind w:left="720"/>
        <w:rPr>
          <w:rFonts w:eastAsiaTheme="minorEastAsia"/>
        </w:rPr>
      </w:pPr>
      <w:r>
        <w:rPr>
          <w:rFonts w:eastAsiaTheme="minorEastAsia"/>
        </w:rPr>
        <w:t>Completeness Effort: Status Update</w:t>
      </w:r>
    </w:p>
    <w:p w14:paraId="7543B718" w14:textId="77777777" w:rsidR="007A65EB" w:rsidRDefault="007A65EB" w:rsidP="007A65EB">
      <w:pPr>
        <w:pStyle w:val="ListParagraph"/>
        <w:numPr>
          <w:ilvl w:val="0"/>
          <w:numId w:val="1"/>
        </w:numPr>
        <w:spacing w:before="120" w:after="120" w:line="240" w:lineRule="auto"/>
        <w:ind w:left="720"/>
        <w:rPr>
          <w:rFonts w:eastAsiaTheme="minorEastAsia"/>
        </w:rPr>
      </w:pPr>
      <w:r>
        <w:rPr>
          <w:rFonts w:eastAsiaTheme="minorEastAsia"/>
        </w:rPr>
        <w:t xml:space="preserve">Top 25 Reflection and Trend Analyses </w:t>
      </w:r>
    </w:p>
    <w:p w14:paraId="41D4121F" w14:textId="77777777" w:rsidR="007A65EB" w:rsidRDefault="007A65EB" w:rsidP="007A65EB">
      <w:pPr>
        <w:pStyle w:val="ListParagraph"/>
        <w:numPr>
          <w:ilvl w:val="0"/>
          <w:numId w:val="1"/>
        </w:numPr>
        <w:spacing w:before="120" w:after="120" w:line="240" w:lineRule="auto"/>
        <w:ind w:left="720"/>
        <w:rPr>
          <w:rFonts w:eastAsiaTheme="minorEastAsia"/>
        </w:rPr>
      </w:pPr>
      <w:r>
        <w:rPr>
          <w:rFonts w:eastAsiaTheme="minorEastAsia"/>
        </w:rPr>
        <w:t>Open Discussion</w:t>
      </w:r>
    </w:p>
    <w:p w14:paraId="7FC81995" w14:textId="77777777" w:rsidR="007A65EB" w:rsidRPr="0033357A" w:rsidRDefault="007A65EB" w:rsidP="007A65EB">
      <w:pPr>
        <w:pStyle w:val="Heading2"/>
        <w:rPr>
          <w:rFonts w:asciiTheme="minorHAnsi" w:eastAsiaTheme="minorEastAsia" w:hAnsiTheme="minorHAnsi" w:cstheme="minorBidi"/>
        </w:rPr>
      </w:pPr>
      <w:r w:rsidRPr="0033357A">
        <w:rPr>
          <w:rFonts w:asciiTheme="minorHAnsi" w:eastAsiaTheme="minorEastAsia" w:hAnsiTheme="minorHAnsi" w:cstheme="minorBidi"/>
        </w:rPr>
        <w:t>Action Items</w:t>
      </w:r>
    </w:p>
    <w:p w14:paraId="3A8A5FAB" w14:textId="66D53579" w:rsidR="007A65EB" w:rsidRDefault="00F134B2" w:rsidP="007A65EB">
      <w:pPr>
        <w:pStyle w:val="ListParagraph"/>
        <w:numPr>
          <w:ilvl w:val="0"/>
          <w:numId w:val="4"/>
        </w:numPr>
      </w:pPr>
      <w:r>
        <w:t>Members will share</w:t>
      </w:r>
      <w:r w:rsidR="007A65EB">
        <w:t xml:space="preserve"> feedback with the AI Working </w:t>
      </w:r>
      <w:proofErr w:type="gramStart"/>
      <w:r w:rsidR="007A65EB">
        <w:t>Group, and</w:t>
      </w:r>
      <w:proofErr w:type="gramEnd"/>
      <w:r w:rsidR="007A65EB">
        <w:t xml:space="preserve"> </w:t>
      </w:r>
      <w:r>
        <w:t>share</w:t>
      </w:r>
      <w:r w:rsidR="007A65EB">
        <w:t xml:space="preserve"> a</w:t>
      </w:r>
      <w:r>
        <w:t xml:space="preserve"> relevant</w:t>
      </w:r>
      <w:r w:rsidR="007A65EB">
        <w:t xml:space="preserve"> data report.</w:t>
      </w:r>
    </w:p>
    <w:p w14:paraId="6984E462" w14:textId="77777777" w:rsidR="007A65EB" w:rsidRPr="000432D0" w:rsidRDefault="007A65EB" w:rsidP="007A65EB">
      <w:pPr>
        <w:pStyle w:val="Heading2"/>
      </w:pPr>
      <w:r w:rsidRPr="000432D0">
        <w:t>Topics</w:t>
      </w:r>
    </w:p>
    <w:p w14:paraId="2A3A6576" w14:textId="77777777" w:rsidR="007A65EB" w:rsidRPr="00605A17" w:rsidRDefault="007A65EB" w:rsidP="007A65EB">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 xml:space="preserve">RTL Working Group </w:t>
      </w:r>
    </w:p>
    <w:p w14:paraId="1D531BE3" w14:textId="1F17F6B8" w:rsidR="007A65EB" w:rsidRDefault="00F134B2" w:rsidP="007A65EB">
      <w:pPr>
        <w:pStyle w:val="ListParagraph"/>
        <w:numPr>
          <w:ilvl w:val="0"/>
          <w:numId w:val="2"/>
        </w:numPr>
        <w:contextualSpacing w:val="0"/>
      </w:pPr>
      <w:r>
        <w:t>A member</w:t>
      </w:r>
      <w:r w:rsidR="007A65EB">
        <w:t xml:space="preserve"> of the Hardware SIG introduced the Register-Level Transfer (RTL) </w:t>
      </w:r>
      <w:proofErr w:type="gramStart"/>
      <w:r w:rsidR="007A65EB">
        <w:t>ad</w:t>
      </w:r>
      <w:proofErr w:type="gramEnd"/>
      <w:r w:rsidR="007A65EB">
        <w:t xml:space="preserve"> hoc working group, introduced the working group’s ongoing study of </w:t>
      </w:r>
      <w:r w:rsidR="007A65EB" w:rsidRPr="00245568">
        <w:t>security-related flaws</w:t>
      </w:r>
      <w:r w:rsidR="007A65EB">
        <w:t>. These include risky RTL patterns like incorrectly coded RTL, simulation and synthesis mismatches, and clock-domain issues like control hand signaling.</w:t>
      </w:r>
    </w:p>
    <w:p w14:paraId="186199E6" w14:textId="6609A818" w:rsidR="007A65EB" w:rsidRDefault="007A65EB" w:rsidP="007A65EB">
      <w:pPr>
        <w:pStyle w:val="ListParagraph"/>
        <w:numPr>
          <w:ilvl w:val="1"/>
          <w:numId w:val="2"/>
        </w:numPr>
        <w:contextualSpacing w:val="0"/>
      </w:pPr>
      <w:r>
        <w:t xml:space="preserve">The RTL Working Group has 20 members and </w:t>
      </w:r>
      <w:proofErr w:type="gramStart"/>
      <w:r>
        <w:t>held</w:t>
      </w:r>
      <w:proofErr w:type="gramEnd"/>
      <w:r>
        <w:t xml:space="preserve"> its kickoff meeting on December 18</w:t>
      </w:r>
      <w:r w:rsidR="00F134B2">
        <w:t xml:space="preserve">. Its </w:t>
      </w:r>
      <w:r>
        <w:t>first working session</w:t>
      </w:r>
      <w:r w:rsidR="00F134B2">
        <w:t xml:space="preserve"> occurred</w:t>
      </w:r>
      <w:r>
        <w:t xml:space="preserve"> on January 26. </w:t>
      </w:r>
    </w:p>
    <w:p w14:paraId="7359DC80" w14:textId="77777777" w:rsidR="007A65EB" w:rsidRDefault="007A65EB" w:rsidP="007A65EB">
      <w:pPr>
        <w:pStyle w:val="ListParagraph"/>
        <w:numPr>
          <w:ilvl w:val="0"/>
          <w:numId w:val="2"/>
        </w:numPr>
        <w:contextualSpacing w:val="0"/>
      </w:pPr>
      <w:r>
        <w:t>In addition to investigating weaknesses, the working group intends to</w:t>
      </w:r>
      <w:r w:rsidRPr="000673AC">
        <w:t xml:space="preserve"> </w:t>
      </w:r>
      <w:r>
        <w:t>foster</w:t>
      </w:r>
      <w:r w:rsidRPr="000673AC">
        <w:t xml:space="preserve"> collaboration between community subject matter experts and </w:t>
      </w:r>
      <w:r>
        <w:t xml:space="preserve">members of the broader </w:t>
      </w:r>
      <w:r w:rsidRPr="000673AC">
        <w:t xml:space="preserve">CWE </w:t>
      </w:r>
      <w:r>
        <w:t>community</w:t>
      </w:r>
      <w:r w:rsidRPr="000673AC">
        <w:t>, aiming to combine hardware expertise with CWE methodology for comprehensive analysis.</w:t>
      </w:r>
    </w:p>
    <w:p w14:paraId="596D136F" w14:textId="738D8D56" w:rsidR="007A65EB" w:rsidRDefault="007A65EB" w:rsidP="007A65EB">
      <w:pPr>
        <w:pStyle w:val="ListParagraph"/>
        <w:numPr>
          <w:ilvl w:val="0"/>
          <w:numId w:val="2"/>
        </w:numPr>
        <w:contextualSpacing w:val="0"/>
      </w:pPr>
      <w:r>
        <w:t>The CWE Board discussed</w:t>
      </w:r>
      <w:r w:rsidRPr="00F46BE6">
        <w:t xml:space="preserve"> the nature of unused logic versus dead code, hardware equivalents of time-of-check/time-of-use vulnerabilities, and the distinction between reliability and security</w:t>
      </w:r>
      <w:r>
        <w:t xml:space="preserve"> in the study. </w:t>
      </w:r>
      <w:r w:rsidR="00F134B2">
        <w:t>E</w:t>
      </w:r>
      <w:r>
        <w:t xml:space="preserve">xisting resources have identified best practices for RTL coding practices, although resources for physical phenomenon are lacking. </w:t>
      </w:r>
    </w:p>
    <w:p w14:paraId="488F69C2" w14:textId="49474E8F" w:rsidR="007A65EB" w:rsidRDefault="007A65EB" w:rsidP="007A65EB">
      <w:pPr>
        <w:pStyle w:val="ListParagraph"/>
        <w:numPr>
          <w:ilvl w:val="1"/>
          <w:numId w:val="2"/>
        </w:numPr>
        <w:contextualSpacing w:val="0"/>
      </w:pPr>
      <w:r>
        <w:t xml:space="preserve">In a discussion on how unused logic differs from dead code and whether unreachable code is more applicable, </w:t>
      </w:r>
      <w:r w:rsidR="00F134B2">
        <w:t>a member</w:t>
      </w:r>
      <w:r>
        <w:t xml:space="preserve"> noted that the CWE referenced dead code and may be software-specific, which may be the most likely case for most CWEs. Although some CWEs may pertain to hardware, they may be written with a bias toward software, so the ideal approach is to rephrase CWEs accordingly.</w:t>
      </w:r>
    </w:p>
    <w:p w14:paraId="40D9088D" w14:textId="00F3DCC4" w:rsidR="007A65EB" w:rsidRDefault="00F134B2" w:rsidP="007A65EB">
      <w:pPr>
        <w:pStyle w:val="ListParagraph"/>
        <w:numPr>
          <w:ilvl w:val="0"/>
          <w:numId w:val="2"/>
        </w:numPr>
        <w:contextualSpacing w:val="0"/>
      </w:pPr>
      <w:r>
        <w:t>A member</w:t>
      </w:r>
      <w:r w:rsidR="007A65EB">
        <w:t xml:space="preserve"> highlighted a case in which unreachable code is a section that cannot be executed because there is no control flow or dead code. </w:t>
      </w:r>
      <w:r>
        <w:t>A member</w:t>
      </w:r>
      <w:r w:rsidR="007A65EB">
        <w:t xml:space="preserve"> shared that the intent of unused logic is to include parts of a design not used by hardware when ingesting into a tool. Sometimes that requires the creation of hardware logic, which may not be executed; and this may have corollaries to dead code, but the RTL use case likely deals with hardware resources that are created with the intent of being used, but which are not.</w:t>
      </w:r>
    </w:p>
    <w:p w14:paraId="6129D13A" w14:textId="054053D8" w:rsidR="007A65EB" w:rsidRDefault="00F134B2" w:rsidP="007A65EB">
      <w:pPr>
        <w:pStyle w:val="ListParagraph"/>
        <w:numPr>
          <w:ilvl w:val="0"/>
          <w:numId w:val="2"/>
        </w:numPr>
        <w:contextualSpacing w:val="0"/>
      </w:pPr>
      <w:r>
        <w:t>A member</w:t>
      </w:r>
      <w:r w:rsidR="007A65EB">
        <w:t xml:space="preserve"> examined some of the risk areas and issues, including that many RTL bad coding practices cause synthesis/simulation mismatches, which individually may be resultant weaknesses rather than the root causes. </w:t>
      </w:r>
    </w:p>
    <w:p w14:paraId="1C4C8D44" w14:textId="77777777" w:rsidR="007A65EB" w:rsidRDefault="007A65EB" w:rsidP="007A65EB">
      <w:pPr>
        <w:pStyle w:val="ListParagraph"/>
        <w:numPr>
          <w:ilvl w:val="1"/>
          <w:numId w:val="2"/>
        </w:numPr>
        <w:contextualSpacing w:val="0"/>
      </w:pPr>
      <w:r>
        <w:t>Examples of “weakness-sounding” RTL issues include incomplete sensitivity lists, incomplete case/if-then statements, synthesis optimizations that alter data or control flow, unused logic, inferred latches that produce unintended states, and excessive propagation delay.</w:t>
      </w:r>
    </w:p>
    <w:p w14:paraId="3FD43275" w14:textId="77777777" w:rsidR="007A65EB" w:rsidRDefault="007A65EB" w:rsidP="007A65EB">
      <w:pPr>
        <w:pStyle w:val="ListParagraph"/>
        <w:numPr>
          <w:ilvl w:val="0"/>
          <w:numId w:val="2"/>
        </w:numPr>
        <w:contextualSpacing w:val="0"/>
      </w:pPr>
      <w:r>
        <w:t>Board members recommended creating a quantifying statement of how CWEs are defined in the study to standardize understandings of vulnerabilities, as well as holding a broader discussion on RTL with the Board, SIG, and CWE community.</w:t>
      </w:r>
    </w:p>
    <w:p w14:paraId="4AA09AA7" w14:textId="77777777" w:rsidR="007A65EB" w:rsidRDefault="007A65EB" w:rsidP="007A65EB">
      <w:pPr>
        <w:pStyle w:val="ListParagraph"/>
        <w:numPr>
          <w:ilvl w:val="1"/>
          <w:numId w:val="2"/>
        </w:numPr>
        <w:contextualSpacing w:val="0"/>
      </w:pPr>
      <w:r>
        <w:t>Members also noted that certain criteria for defining CWEs, such as requiring a threat actor to be identified, may be too restrictive.</w:t>
      </w:r>
    </w:p>
    <w:p w14:paraId="0E59E4F1" w14:textId="4A6AC669" w:rsidR="007A65EB" w:rsidRDefault="007A65EB" w:rsidP="007A65EB">
      <w:pPr>
        <w:pStyle w:val="ListParagraph"/>
        <w:numPr>
          <w:ilvl w:val="0"/>
          <w:numId w:val="2"/>
        </w:numPr>
        <w:contextualSpacing w:val="0"/>
      </w:pPr>
      <w:r>
        <w:t xml:space="preserve">In a discussion on the long-term applications of the study’s findings, </w:t>
      </w:r>
      <w:r w:rsidR="00F134B2">
        <w:t>a member</w:t>
      </w:r>
      <w:r>
        <w:t xml:space="preserve"> urged the consideration of associating hardware vulnerabilities with CVESS 4.0.</w:t>
      </w:r>
    </w:p>
    <w:p w14:paraId="29B0B716" w14:textId="5E919AB8" w:rsidR="007A65EB" w:rsidRDefault="00F134B2" w:rsidP="007A65EB">
      <w:pPr>
        <w:pStyle w:val="ListParagraph"/>
        <w:numPr>
          <w:ilvl w:val="0"/>
          <w:numId w:val="2"/>
        </w:numPr>
        <w:contextualSpacing w:val="0"/>
      </w:pPr>
      <w:r>
        <w:t>A member</w:t>
      </w:r>
      <w:r w:rsidR="007A65EB">
        <w:t xml:space="preserve"> suggested that the emergence of new safety critical systems technologies can raise the visibility of CWE to help the broader community understand risk exposures.</w:t>
      </w:r>
    </w:p>
    <w:p w14:paraId="7B6C900B" w14:textId="77777777" w:rsidR="007A65EB" w:rsidRDefault="007A65EB" w:rsidP="007A65EB">
      <w:pPr>
        <w:pStyle w:val="ListParagraph"/>
        <w:numPr>
          <w:ilvl w:val="0"/>
          <w:numId w:val="2"/>
        </w:numPr>
        <w:contextualSpacing w:val="0"/>
      </w:pPr>
      <w:r>
        <w:t>The Board recommended that RTL should be applicable beyond security issues to include reliability and safety.</w:t>
      </w:r>
    </w:p>
    <w:p w14:paraId="0EDEFA06" w14:textId="77777777" w:rsidR="007A65EB" w:rsidRPr="00F85AC6" w:rsidRDefault="007A65EB" w:rsidP="007A65EB">
      <w:pPr>
        <w:rPr>
          <w:rFonts w:eastAsiaTheme="majorEastAsia" w:cstheme="majorBidi"/>
          <w:color w:val="0F4761" w:themeColor="accent1" w:themeShade="BF"/>
          <w:sz w:val="28"/>
          <w:szCs w:val="28"/>
        </w:rPr>
      </w:pPr>
      <w:r w:rsidRPr="00F85AC6">
        <w:rPr>
          <w:rFonts w:eastAsiaTheme="majorEastAsia" w:cstheme="majorBidi"/>
          <w:color w:val="0F4761" w:themeColor="accent1" w:themeShade="BF"/>
          <w:sz w:val="28"/>
          <w:szCs w:val="28"/>
        </w:rPr>
        <w:t>CWE Completeness Effort</w:t>
      </w:r>
    </w:p>
    <w:p w14:paraId="1B2A6DC2" w14:textId="64EBDCD0" w:rsidR="007A65EB" w:rsidRDefault="00F134B2" w:rsidP="007A65EB">
      <w:pPr>
        <w:pStyle w:val="ListParagraph"/>
        <w:numPr>
          <w:ilvl w:val="0"/>
          <w:numId w:val="2"/>
        </w:numPr>
        <w:contextualSpacing w:val="0"/>
      </w:pPr>
      <w:r>
        <w:t>A member</w:t>
      </w:r>
      <w:r w:rsidR="007A65EB">
        <w:t xml:space="preserve"> provided a comprehensive update on the CWE completeness initiative, which aims to include entries for all weakness-related concepts, minimizing gaps for weaknesses in the scope of the CWE program.</w:t>
      </w:r>
    </w:p>
    <w:p w14:paraId="45C15A15" w14:textId="77777777" w:rsidR="007A65EB" w:rsidRDefault="007A65EB" w:rsidP="007A65EB">
      <w:pPr>
        <w:pStyle w:val="ListParagraph"/>
        <w:numPr>
          <w:ilvl w:val="0"/>
          <w:numId w:val="2"/>
        </w:numPr>
        <w:contextualSpacing w:val="0"/>
      </w:pPr>
      <w:r>
        <w:t xml:space="preserve">Entry completeness will require “high-priority” elements to be included, with “preferred” elements such as observed examples to be included where possible and elements such as extended descriptions being removed where desired. </w:t>
      </w:r>
    </w:p>
    <w:p w14:paraId="25A9B0B8" w14:textId="77777777" w:rsidR="007A65EB" w:rsidRDefault="007A65EB" w:rsidP="007A65EB">
      <w:pPr>
        <w:pStyle w:val="ListParagraph"/>
        <w:numPr>
          <w:ilvl w:val="0"/>
          <w:numId w:val="2"/>
        </w:numPr>
        <w:contextualSpacing w:val="0"/>
      </w:pPr>
      <w:r>
        <w:t>The effort focuses on both breadth—ensuring all CWEs have high-priority elements—and depth, filling out detailed sub-elements, with ongoing analysis to identify gaps and prioritize improvements based on user needs.</w:t>
      </w:r>
    </w:p>
    <w:p w14:paraId="79ED5B8E" w14:textId="77777777" w:rsidR="007A65EB" w:rsidRDefault="007A65EB" w:rsidP="007A65EB">
      <w:pPr>
        <w:pStyle w:val="ListParagraph"/>
        <w:numPr>
          <w:ilvl w:val="1"/>
          <w:numId w:val="2"/>
        </w:numPr>
        <w:contextualSpacing w:val="0"/>
      </w:pPr>
      <w:r>
        <w:t xml:space="preserve">Data </w:t>
      </w:r>
      <w:proofErr w:type="gramStart"/>
      <w:r>
        <w:t>show</w:t>
      </w:r>
      <w:proofErr w:type="gramEnd"/>
      <w:r>
        <w:t xml:space="preserve"> that currently, of the 944 CWEs, there are roughly 197 that name a specific affected language. Over 500 involve entire classes of languages, meaning roughly 200 CWEs have a specific affected language.</w:t>
      </w:r>
    </w:p>
    <w:p w14:paraId="21DE5930" w14:textId="77777777" w:rsidR="007A65EB" w:rsidRDefault="007A65EB" w:rsidP="007A65EB">
      <w:pPr>
        <w:pStyle w:val="ListParagraph"/>
        <w:numPr>
          <w:ilvl w:val="1"/>
          <w:numId w:val="2"/>
        </w:numPr>
        <w:contextualSpacing w:val="0"/>
      </w:pPr>
      <w:proofErr w:type="gramStart"/>
      <w:r>
        <w:t>Completeness</w:t>
      </w:r>
      <w:proofErr w:type="gramEnd"/>
      <w:r>
        <w:t xml:space="preserve"> efforts so far have ensured that all CWEs have names and descriptions. </w:t>
      </w:r>
    </w:p>
    <w:p w14:paraId="6A1050FD" w14:textId="51D72C03" w:rsidR="007A65EB" w:rsidRDefault="00F134B2" w:rsidP="007A65EB">
      <w:pPr>
        <w:pStyle w:val="ListParagraph"/>
        <w:numPr>
          <w:ilvl w:val="1"/>
          <w:numId w:val="2"/>
        </w:numPr>
        <w:contextualSpacing w:val="0"/>
      </w:pPr>
      <w:r>
        <w:t>A member</w:t>
      </w:r>
      <w:r w:rsidR="007A65EB">
        <w:t xml:space="preserve"> emphasized the importance of utility to CWE users, noting that a priority for the completeness effort is to consider how important </w:t>
      </w:r>
      <w:proofErr w:type="gramStart"/>
      <w:r w:rsidR="007A65EB">
        <w:t>particular elements</w:t>
      </w:r>
      <w:proofErr w:type="gramEnd"/>
      <w:r w:rsidR="007A65EB">
        <w:t xml:space="preserve"> are to users.</w:t>
      </w:r>
    </w:p>
    <w:p w14:paraId="0EFFEFDA" w14:textId="77777777" w:rsidR="007A65EB" w:rsidRDefault="007A65EB" w:rsidP="007A65EB">
      <w:pPr>
        <w:pStyle w:val="ListParagraph"/>
        <w:numPr>
          <w:ilvl w:val="0"/>
          <w:numId w:val="2"/>
        </w:numPr>
        <w:contextualSpacing w:val="0"/>
      </w:pPr>
      <w:r>
        <w:t>Results of the analysis so far show that observed and demonstrative examples remain incomplete for many CWEs due to the difficulty in sourcing CVEs and creating high-quality code samples, requiring significant labor and community input.</w:t>
      </w:r>
    </w:p>
    <w:p w14:paraId="0BA12DEE" w14:textId="3C67BFA7" w:rsidR="007A65EB" w:rsidRDefault="00C95DB1" w:rsidP="007A65EB">
      <w:pPr>
        <w:pStyle w:val="ListParagraph"/>
        <w:numPr>
          <w:ilvl w:val="0"/>
          <w:numId w:val="2"/>
        </w:numPr>
        <w:contextualSpacing w:val="0"/>
      </w:pPr>
      <w:r>
        <w:t>Several members</w:t>
      </w:r>
      <w:r w:rsidR="007A65EB">
        <w:t xml:space="preserve"> noted the importance of making CWE data more consumable by AI, suggesting markdown and YAML formats, and highlighting the need for structured, metadata-rich outputs to facilitate automated analysis and integration. </w:t>
      </w:r>
    </w:p>
    <w:p w14:paraId="416BAB9F" w14:textId="0BCC90F4" w:rsidR="007A65EB" w:rsidRDefault="007A65EB" w:rsidP="007A65EB">
      <w:pPr>
        <w:pStyle w:val="ListParagraph"/>
        <w:numPr>
          <w:ilvl w:val="1"/>
          <w:numId w:val="2"/>
        </w:numPr>
        <w:contextualSpacing w:val="0"/>
      </w:pPr>
      <w:r>
        <w:t xml:space="preserve">However, </w:t>
      </w:r>
      <w:r w:rsidR="00C95DB1">
        <w:t>a member</w:t>
      </w:r>
      <w:r>
        <w:t xml:space="preserve"> cautioned about improper mapping using AI, previewing an example of an AI-driven error in mapping a command injection to CWE-20.</w:t>
      </w:r>
    </w:p>
    <w:p w14:paraId="5AA3DA63" w14:textId="3B57E0AE" w:rsidR="007A65EB" w:rsidRDefault="00C95DB1" w:rsidP="007A65EB">
      <w:pPr>
        <w:pStyle w:val="ListParagraph"/>
        <w:numPr>
          <w:ilvl w:val="0"/>
          <w:numId w:val="2"/>
        </w:numPr>
        <w:contextualSpacing w:val="0"/>
      </w:pPr>
      <w:r>
        <w:t>Several members</w:t>
      </w:r>
      <w:r w:rsidR="007A65EB">
        <w:t xml:space="preserve"> encouraged community involvement, especially from Hardware SIG and board members, to provide expertise and help update technical debt, particularly in fast-evolving areas like AI security.</w:t>
      </w:r>
    </w:p>
    <w:p w14:paraId="5AFDE9D2" w14:textId="1FE1AC81" w:rsidR="007A65EB" w:rsidRDefault="00C95DB1" w:rsidP="007A65EB">
      <w:pPr>
        <w:pStyle w:val="ListParagraph"/>
        <w:numPr>
          <w:ilvl w:val="0"/>
          <w:numId w:val="2"/>
        </w:numPr>
        <w:contextualSpacing w:val="0"/>
      </w:pPr>
      <w:r>
        <w:t>A member</w:t>
      </w:r>
      <w:r w:rsidR="007A65EB">
        <w:t xml:space="preserve"> plans to share feedback with the AI Working Group, inviting </w:t>
      </w:r>
      <w:r>
        <w:t>another member</w:t>
      </w:r>
      <w:r w:rsidR="007A65EB">
        <w:t xml:space="preserve"> to </w:t>
      </w:r>
      <w:r>
        <w:t>share</w:t>
      </w:r>
      <w:r w:rsidR="007A65EB">
        <w:t xml:space="preserve"> a </w:t>
      </w:r>
      <w:r>
        <w:t xml:space="preserve">relevant </w:t>
      </w:r>
      <w:r w:rsidR="007A65EB">
        <w:t xml:space="preserve">report to </w:t>
      </w:r>
      <w:r>
        <w:t>contextualize the discussion</w:t>
      </w:r>
      <w:r w:rsidR="007A65EB">
        <w:t>.</w:t>
      </w:r>
    </w:p>
    <w:p w14:paraId="59FFFFAB" w14:textId="77777777" w:rsidR="007A65EB" w:rsidRPr="00605A17" w:rsidRDefault="007A65EB" w:rsidP="007A65EB">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Top 25 Reflection and Trend Analyses Discussion</w:t>
      </w:r>
    </w:p>
    <w:p w14:paraId="4D002FEB" w14:textId="1AFABD79" w:rsidR="007A65EB" w:rsidRPr="006A1284" w:rsidRDefault="00C95DB1" w:rsidP="007A65EB">
      <w:pPr>
        <w:pStyle w:val="ListParagraph"/>
        <w:numPr>
          <w:ilvl w:val="0"/>
          <w:numId w:val="2"/>
        </w:numPr>
        <w:contextualSpacing w:val="0"/>
      </w:pPr>
      <w:r>
        <w:t>A member</w:t>
      </w:r>
      <w:r w:rsidR="007A65EB">
        <w:t xml:space="preserve"> provided an update of the Top 25 effort, which publishes annual Top 25 vulnerabilities based on the root cause analysis of vulnerabilities publicly disclosed by the CVE Program. The effort also has </w:t>
      </w:r>
      <w:r w:rsidR="007A65EB" w:rsidRPr="006A1284">
        <w:t>shift</w:t>
      </w:r>
      <w:r w:rsidR="007A65EB">
        <w:t>ed</w:t>
      </w:r>
      <w:r w:rsidR="007A65EB" w:rsidRPr="006A1284">
        <w:t xml:space="preserve"> from consensus-based to data-driven approaches using CVE mappings, CVSS scores, and more recently, engagement with CNAs and consideration of exploitability data.</w:t>
      </w:r>
    </w:p>
    <w:p w14:paraId="1B3B1A52" w14:textId="77777777" w:rsidR="007A65EB" w:rsidRDefault="007A65EB" w:rsidP="007A65EB">
      <w:pPr>
        <w:pStyle w:val="ListParagraph"/>
        <w:numPr>
          <w:ilvl w:val="1"/>
          <w:numId w:val="2"/>
        </w:numPr>
        <w:contextualSpacing w:val="0"/>
      </w:pPr>
      <w:r>
        <w:t>To calculate the Top 25, the frequency of CWEs that occur as the root cause of a vulnerability is combined with the average severity of each vulnerability when exploited, as measured by CVSS.</w:t>
      </w:r>
    </w:p>
    <w:p w14:paraId="456D8E5C" w14:textId="77777777" w:rsidR="007A65EB" w:rsidRDefault="007A65EB" w:rsidP="007A65EB">
      <w:pPr>
        <w:pStyle w:val="ListParagraph"/>
        <w:numPr>
          <w:ilvl w:val="0"/>
          <w:numId w:val="2"/>
        </w:numPr>
        <w:contextualSpacing w:val="0"/>
      </w:pPr>
      <w:r>
        <w:t>The group discussed how to evolve the methodology for greater value and incorporate other trend analysis possibilities.</w:t>
      </w:r>
    </w:p>
    <w:p w14:paraId="16FB3FB5" w14:textId="0ABA800F" w:rsidR="007A65EB" w:rsidRDefault="00C95DB1" w:rsidP="007A65EB">
      <w:pPr>
        <w:pStyle w:val="ListParagraph"/>
        <w:numPr>
          <w:ilvl w:val="0"/>
          <w:numId w:val="2"/>
        </w:numPr>
        <w:contextualSpacing w:val="0"/>
      </w:pPr>
      <w:r>
        <w:t>Members</w:t>
      </w:r>
      <w:r w:rsidR="007A65EB">
        <w:t xml:space="preserve"> discussed the potential for incorporating EPSS, which is a projection of the likelihood of a vulnerability being exploited, and other vulnerability metadata like SSVC to improve the relevance and context of the Top 25, with references to expert interviews and the dynamic nature of EPSS.</w:t>
      </w:r>
    </w:p>
    <w:p w14:paraId="3FC7C5E4" w14:textId="6E816CF2" w:rsidR="007A65EB" w:rsidRDefault="00C95DB1" w:rsidP="007A65EB">
      <w:pPr>
        <w:pStyle w:val="ListParagraph"/>
        <w:numPr>
          <w:ilvl w:val="0"/>
          <w:numId w:val="2"/>
        </w:numPr>
        <w:contextualSpacing w:val="0"/>
      </w:pPr>
      <w:r>
        <w:t>Members also</w:t>
      </w:r>
      <w:r w:rsidR="007A65EB">
        <w:t xml:space="preserve"> highlighted the complexity of mapping CVEs to multiple underlying CWEs, especially in cases involving vulnerability chains or intersection vulnerabilities, and the limitations of current data production and reporting practices.</w:t>
      </w:r>
    </w:p>
    <w:p w14:paraId="6DFF8C13" w14:textId="3FE69A66" w:rsidR="007A65EB" w:rsidRDefault="00C95DB1" w:rsidP="007A65EB">
      <w:pPr>
        <w:pStyle w:val="ListParagraph"/>
        <w:numPr>
          <w:ilvl w:val="0"/>
          <w:numId w:val="2"/>
        </w:numPr>
        <w:contextualSpacing w:val="0"/>
      </w:pPr>
      <w:r>
        <w:t>A member</w:t>
      </w:r>
      <w:r w:rsidR="007A65EB">
        <w:t xml:space="preserve"> suggested leveraging frequency counts from static analysis vendors to provide empirical data on CWE prevalence, noting challenges in mapping algorithms to hierarchical CWEs and the need for granularity.</w:t>
      </w:r>
    </w:p>
    <w:p w14:paraId="7FADA358" w14:textId="77777777" w:rsidR="007A65EB" w:rsidRDefault="007A65EB" w:rsidP="007A65EB">
      <w:pPr>
        <w:pStyle w:val="ListParagraph"/>
        <w:numPr>
          <w:ilvl w:val="0"/>
          <w:numId w:val="2"/>
        </w:numPr>
        <w:contextualSpacing w:val="0"/>
      </w:pPr>
      <w:r>
        <w:t xml:space="preserve">The discussion examined the importance of explaining methodology, stubborn weaknesses, and disconnects between different lists on the CWE website, and the opportunity to collaborate with external reports like Verizon DBIR for broader impact. </w:t>
      </w:r>
    </w:p>
    <w:p w14:paraId="43605D48" w14:textId="7AA0AE83" w:rsidR="007A65EB" w:rsidRDefault="00C95DB1" w:rsidP="007A65EB">
      <w:pPr>
        <w:pStyle w:val="ListParagraph"/>
        <w:numPr>
          <w:ilvl w:val="0"/>
          <w:numId w:val="2"/>
        </w:numPr>
        <w:contextualSpacing w:val="0"/>
      </w:pPr>
      <w:r>
        <w:t>Members</w:t>
      </w:r>
      <w:r w:rsidR="007A65EB">
        <w:t xml:space="preserve"> proposed exploring the creation of vignettes and experimental analyses using the expanded Top 50 CWE data, aiming to provide more actionable insights and test the value of new communication formats.</w:t>
      </w:r>
    </w:p>
    <w:p w14:paraId="62E765CD" w14:textId="77777777" w:rsidR="007A65EB" w:rsidRPr="00742A52" w:rsidRDefault="007A65EB" w:rsidP="007A65EB">
      <w:pPr>
        <w:spacing w:after="12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 xml:space="preserve">Open Discussion </w:t>
      </w:r>
    </w:p>
    <w:p w14:paraId="623950B9" w14:textId="77777777" w:rsidR="007A65EB" w:rsidRDefault="007A65EB" w:rsidP="007A65EB">
      <w:pPr>
        <w:pStyle w:val="ListParagraph"/>
        <w:numPr>
          <w:ilvl w:val="0"/>
          <w:numId w:val="2"/>
        </w:numPr>
        <w:contextualSpacing w:val="0"/>
      </w:pPr>
      <w:r>
        <w:t xml:space="preserve">The next meeting will take place March 11 and will cover working group updates. </w:t>
      </w:r>
    </w:p>
    <w:p w14:paraId="4BDAAE96" w14:textId="77777777" w:rsidR="007A65EB" w:rsidRDefault="007A65EB" w:rsidP="007A65EB">
      <w:pPr>
        <w:pStyle w:val="ListParagraph"/>
        <w:numPr>
          <w:ilvl w:val="0"/>
          <w:numId w:val="2"/>
        </w:numPr>
        <w:contextualSpacing w:val="0"/>
      </w:pPr>
      <w:r>
        <w:t xml:space="preserve">The </w:t>
      </w:r>
      <w:proofErr w:type="gramStart"/>
      <w:r>
        <w:t>Board listserv</w:t>
      </w:r>
      <w:proofErr w:type="gramEnd"/>
      <w:r>
        <w:t xml:space="preserve"> will shift from mitre.org to groups.io with an invitation to </w:t>
      </w:r>
      <w:proofErr w:type="gramStart"/>
      <w:r>
        <w:t>follow</w:t>
      </w:r>
      <w:proofErr w:type="gramEnd"/>
      <w:r>
        <w:t xml:space="preserve"> this meeting.</w:t>
      </w:r>
    </w:p>
    <w:p w14:paraId="1F68811E" w14:textId="74053663" w:rsidR="007A65EB" w:rsidRDefault="00C95DB1" w:rsidP="007A65EB">
      <w:pPr>
        <w:pStyle w:val="ListParagraph"/>
        <w:numPr>
          <w:ilvl w:val="0"/>
          <w:numId w:val="2"/>
        </w:numPr>
        <w:contextualSpacing w:val="0"/>
      </w:pPr>
      <w:r>
        <w:t>A member</w:t>
      </w:r>
      <w:r w:rsidR="007A65EB">
        <w:t xml:space="preserve"> raised the prior topic of using reliable data from the Top 50 CWEs to create experimental vignettes, building on previous work in the common weakness risk analysis framework.</w:t>
      </w:r>
    </w:p>
    <w:p w14:paraId="072E2076" w14:textId="77777777" w:rsidR="007A65EB" w:rsidRPr="00833EC2" w:rsidRDefault="007A65EB" w:rsidP="007A65EB">
      <w:pPr>
        <w:pStyle w:val="Heading2"/>
        <w:rPr>
          <w:rFonts w:asciiTheme="minorHAnsi" w:eastAsiaTheme="minorEastAsia" w:hAnsiTheme="minorHAnsi" w:cstheme="minorBidi"/>
        </w:rPr>
      </w:pPr>
      <w:r>
        <w:t>Next CWE Board Meeting</w:t>
      </w:r>
      <w:bookmarkStart w:id="0" w:name="_Hlk48222191"/>
    </w:p>
    <w:p w14:paraId="0FA00A10" w14:textId="77777777" w:rsidR="007A65EB" w:rsidRPr="00A53571" w:rsidRDefault="007A65EB" w:rsidP="007A65EB">
      <w:pPr>
        <w:pStyle w:val="ListParagraph"/>
        <w:numPr>
          <w:ilvl w:val="0"/>
          <w:numId w:val="3"/>
        </w:numPr>
        <w:spacing w:after="0" w:line="240" w:lineRule="auto"/>
        <w:ind w:left="720"/>
        <w:rPr>
          <w:rFonts w:eastAsiaTheme="minorEastAsia"/>
        </w:rPr>
      </w:pPr>
      <w:r w:rsidRPr="00A53571">
        <w:rPr>
          <w:rFonts w:eastAsiaTheme="minorEastAsia"/>
        </w:rPr>
        <w:t>March 11, 2026</w:t>
      </w:r>
    </w:p>
    <w:bookmarkEnd w:id="0"/>
    <w:p w14:paraId="09AECE53" w14:textId="77777777" w:rsidR="007A65EB" w:rsidRPr="00830649" w:rsidRDefault="007A65EB" w:rsidP="007A65EB"/>
    <w:p w14:paraId="122DF6B6" w14:textId="77777777" w:rsidR="007A65EB" w:rsidRDefault="007A65EB" w:rsidP="007A65EB"/>
    <w:p w14:paraId="085E4C35" w14:textId="77777777" w:rsidR="007A65EB" w:rsidRDefault="007A65EB" w:rsidP="007A65EB"/>
    <w:p w14:paraId="249E478D" w14:textId="77777777" w:rsidR="007A65EB" w:rsidRDefault="007A65EB" w:rsidP="007A65EB"/>
    <w:p w14:paraId="672BABD6" w14:textId="77777777" w:rsidR="007A65EB" w:rsidRDefault="007A65EB" w:rsidP="007A65EB"/>
    <w:p w14:paraId="116C12C0" w14:textId="77777777" w:rsidR="007A65EB" w:rsidRDefault="007A65EB" w:rsidP="007A65EB"/>
    <w:p w14:paraId="0FF5A31D" w14:textId="77777777" w:rsidR="00A52B67" w:rsidRDefault="00A52B67"/>
    <w:sectPr w:rsidR="00A52B67" w:rsidSect="007A65E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3910" w14:textId="77777777" w:rsidR="004968CE" w:rsidRDefault="004968CE">
      <w:pPr>
        <w:spacing w:after="0" w:line="240" w:lineRule="auto"/>
      </w:pPr>
      <w:r>
        <w:separator/>
      </w:r>
    </w:p>
  </w:endnote>
  <w:endnote w:type="continuationSeparator" w:id="0">
    <w:p w14:paraId="3D9CEC22" w14:textId="77777777" w:rsidR="004968CE" w:rsidRDefault="00496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955408"/>
      <w:docPartObj>
        <w:docPartGallery w:val="Page Numbers (Bottom of Page)"/>
        <w:docPartUnique/>
      </w:docPartObj>
    </w:sdtPr>
    <w:sdtEndPr>
      <w:rPr>
        <w:noProof/>
      </w:rPr>
    </w:sdtEndPr>
    <w:sdtContent>
      <w:p w14:paraId="7A1819B3" w14:textId="77777777" w:rsidR="007A65EB" w:rsidRDefault="007A65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9EF2F3" w14:textId="77777777" w:rsidR="007A65EB" w:rsidRDefault="007A65EB" w:rsidP="00BC7D0F">
    <w:pPr>
      <w:pStyle w:val="Footer"/>
    </w:pPr>
    <w:r>
      <w:t>CWE Board Meeting, January 28, 2026</w:t>
    </w:r>
  </w:p>
  <w:p w14:paraId="31DAFEC3" w14:textId="77777777" w:rsidR="007A65EB" w:rsidRDefault="007A6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8B5C" w14:textId="77777777" w:rsidR="004968CE" w:rsidRDefault="004968CE">
      <w:pPr>
        <w:spacing w:after="0" w:line="240" w:lineRule="auto"/>
      </w:pPr>
      <w:r>
        <w:separator/>
      </w:r>
    </w:p>
  </w:footnote>
  <w:footnote w:type="continuationSeparator" w:id="0">
    <w:p w14:paraId="55A6574E" w14:textId="77777777" w:rsidR="004968CE" w:rsidRDefault="00496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579DD"/>
    <w:multiLevelType w:val="hybridMultilevel"/>
    <w:tmpl w:val="D57215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CC3BF0"/>
    <w:multiLevelType w:val="hybridMultilevel"/>
    <w:tmpl w:val="EFCCF0E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6A854AC0"/>
    <w:multiLevelType w:val="hybridMultilevel"/>
    <w:tmpl w:val="2748549C"/>
    <w:lvl w:ilvl="0" w:tplc="CC98957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EE4827"/>
    <w:multiLevelType w:val="hybridMultilevel"/>
    <w:tmpl w:val="19AC3D82"/>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Arial" w:hAnsi="Aria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79619642">
    <w:abstractNumId w:val="1"/>
  </w:num>
  <w:num w:numId="2" w16cid:durableId="1774280767">
    <w:abstractNumId w:val="0"/>
  </w:num>
  <w:num w:numId="3" w16cid:durableId="1126897148">
    <w:abstractNumId w:val="3"/>
  </w:num>
  <w:num w:numId="4" w16cid:durableId="1508406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5EB"/>
    <w:rsid w:val="001A0D16"/>
    <w:rsid w:val="001D3C0B"/>
    <w:rsid w:val="004968CE"/>
    <w:rsid w:val="007A65EB"/>
    <w:rsid w:val="00A11005"/>
    <w:rsid w:val="00A47FE6"/>
    <w:rsid w:val="00A52B67"/>
    <w:rsid w:val="00C8171A"/>
    <w:rsid w:val="00C95DB1"/>
    <w:rsid w:val="00E77E1A"/>
    <w:rsid w:val="00F13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16A4"/>
  <w15:chartTrackingRefBased/>
  <w15:docId w15:val="{0AC59413-948A-4842-9274-772CFCFC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5EB"/>
  </w:style>
  <w:style w:type="paragraph" w:styleId="Heading1">
    <w:name w:val="heading 1"/>
    <w:basedOn w:val="Normal"/>
    <w:next w:val="Normal"/>
    <w:link w:val="Heading1Char"/>
    <w:uiPriority w:val="9"/>
    <w:qFormat/>
    <w:rsid w:val="007A6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5EB"/>
    <w:rPr>
      <w:rFonts w:eastAsiaTheme="majorEastAsia" w:cstheme="majorBidi"/>
      <w:color w:val="272727" w:themeColor="text1" w:themeTint="D8"/>
    </w:rPr>
  </w:style>
  <w:style w:type="paragraph" w:styleId="Title">
    <w:name w:val="Title"/>
    <w:basedOn w:val="Normal"/>
    <w:next w:val="Normal"/>
    <w:link w:val="TitleChar"/>
    <w:uiPriority w:val="10"/>
    <w:qFormat/>
    <w:rsid w:val="007A6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5EB"/>
    <w:pPr>
      <w:spacing w:before="160"/>
      <w:jc w:val="center"/>
    </w:pPr>
    <w:rPr>
      <w:i/>
      <w:iCs/>
      <w:color w:val="404040" w:themeColor="text1" w:themeTint="BF"/>
    </w:rPr>
  </w:style>
  <w:style w:type="character" w:customStyle="1" w:styleId="QuoteChar">
    <w:name w:val="Quote Char"/>
    <w:basedOn w:val="DefaultParagraphFont"/>
    <w:link w:val="Quote"/>
    <w:uiPriority w:val="29"/>
    <w:rsid w:val="007A65EB"/>
    <w:rPr>
      <w:i/>
      <w:iCs/>
      <w:color w:val="404040" w:themeColor="text1" w:themeTint="BF"/>
    </w:rPr>
  </w:style>
  <w:style w:type="paragraph" w:styleId="ListParagraph">
    <w:name w:val="List Paragraph"/>
    <w:basedOn w:val="Normal"/>
    <w:uiPriority w:val="34"/>
    <w:qFormat/>
    <w:rsid w:val="007A65EB"/>
    <w:pPr>
      <w:ind w:left="720"/>
      <w:contextualSpacing/>
    </w:pPr>
  </w:style>
  <w:style w:type="character" w:styleId="IntenseEmphasis">
    <w:name w:val="Intense Emphasis"/>
    <w:basedOn w:val="DefaultParagraphFont"/>
    <w:uiPriority w:val="21"/>
    <w:qFormat/>
    <w:rsid w:val="007A65EB"/>
    <w:rPr>
      <w:i/>
      <w:iCs/>
      <w:color w:val="0F4761" w:themeColor="accent1" w:themeShade="BF"/>
    </w:rPr>
  </w:style>
  <w:style w:type="paragraph" w:styleId="IntenseQuote">
    <w:name w:val="Intense Quote"/>
    <w:basedOn w:val="Normal"/>
    <w:next w:val="Normal"/>
    <w:link w:val="IntenseQuoteChar"/>
    <w:uiPriority w:val="30"/>
    <w:qFormat/>
    <w:rsid w:val="007A6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5EB"/>
    <w:rPr>
      <w:i/>
      <w:iCs/>
      <w:color w:val="0F4761" w:themeColor="accent1" w:themeShade="BF"/>
    </w:rPr>
  </w:style>
  <w:style w:type="character" w:styleId="IntenseReference">
    <w:name w:val="Intense Reference"/>
    <w:basedOn w:val="DefaultParagraphFont"/>
    <w:uiPriority w:val="32"/>
    <w:qFormat/>
    <w:rsid w:val="007A65EB"/>
    <w:rPr>
      <w:b/>
      <w:bCs/>
      <w:smallCaps/>
      <w:color w:val="0F4761" w:themeColor="accent1" w:themeShade="BF"/>
      <w:spacing w:val="5"/>
    </w:rPr>
  </w:style>
  <w:style w:type="paragraph" w:styleId="Footer">
    <w:name w:val="footer"/>
    <w:basedOn w:val="Normal"/>
    <w:link w:val="FooterChar"/>
    <w:uiPriority w:val="99"/>
    <w:unhideWhenUsed/>
    <w:rsid w:val="007A65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D1A33B-6037-40B0-B37D-DB1FAE8C2CB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AC2AC2-654B-4726-B0CF-99354D6600B9}">
  <ds:schemaRefs>
    <ds:schemaRef ds:uri="http://schemas.microsoft.com/sharepoint/v3/contenttype/forms"/>
  </ds:schemaRefs>
</ds:datastoreItem>
</file>

<file path=customXml/itemProps3.xml><?xml version="1.0" encoding="utf-8"?>
<ds:datastoreItem xmlns:ds="http://schemas.openxmlformats.org/officeDocument/2006/customXml" ds:itemID="{B9B04BE7-CB57-4800-81B8-F1D2335CD2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3262-ce64-49cb-bfe1-f157c753f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1382</Words>
  <Characters>6941</Characters>
  <Application>Microsoft Office Word</Application>
  <DocSecurity>0</DocSecurity>
  <Lines>771</Lines>
  <Paragraphs>693</Paragraphs>
  <ScaleCrop>false</ScaleCrop>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Alexis Stout</dc:creator>
  <cp:keywords/>
  <dc:description/>
  <cp:lastModifiedBy>Kathryn Alexis Stout</cp:lastModifiedBy>
  <cp:revision>3</cp:revision>
  <dcterms:created xsi:type="dcterms:W3CDTF">2026-02-03T05:23:00Z</dcterms:created>
  <dcterms:modified xsi:type="dcterms:W3CDTF">2026-02-03T05:27:00Z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