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0.png" ContentType="image/png"/>
  <Override PartName="/word/media/rId32.png" ContentType="image/png"/>
  <Override PartName="/word/media/rId31.png" ContentType="image/png"/>
  <Override PartName="/word/media/rId27.png" ContentType="image/png"/>
  <Override PartName="/word/media/rId28.png" ContentType="image/png"/>
  <Override PartName="/word/media/rId35.png" ContentType="image/png"/>
  <Override PartName="/word/media/image2.png" ContentType="image/png"/>
  <Override PartName="/word/media/image7.png" ContentType="image/png"/>
  <Override PartName="/word/media/image4.png" ContentType="image/png"/>
  <Override PartName="/word/media/image6.png" ContentType="image/png"/>
  <Override PartName="/word/media/image1.png" ContentType="image/png"/>
  <Override PartName="/word/media/image3.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the</w:t>
      </w:r>
      <w:r>
        <w:t xml:space="preserve"> </w:t>
      </w:r>
      <w:r>
        <w:t xml:space="preserve">contribution</w:t>
      </w:r>
      <w:r>
        <w:t xml:space="preserve"> </w:t>
      </w:r>
      <w:r>
        <w:t xml:space="preserve">of</w:t>
      </w:r>
      <w:r>
        <w:t xml:space="preserve"> </w:t>
      </w:r>
      <w:r>
        <w:t xml:space="preserve">eflows</w:t>
      </w:r>
      <w:r>
        <w:t xml:space="preserve"> </w:t>
      </w:r>
      <w:r>
        <w:t xml:space="preserve">to</w:t>
      </w:r>
      <w:r>
        <w:t xml:space="preserve"> </w:t>
      </w:r>
      <w:r>
        <w:t xml:space="preserve">sustainable</w:t>
      </w:r>
      <w:r>
        <w:t xml:space="preserve"> </w:t>
      </w:r>
      <w:r>
        <w:t xml:space="preserve">agriculture,</w:t>
      </w:r>
      <w:r>
        <w:t xml:space="preserve"> </w:t>
      </w:r>
      <w:r>
        <w:t xml:space="preserve">food</w:t>
      </w:r>
      <w:r>
        <w:t xml:space="preserve"> </w:t>
      </w:r>
      <w:r>
        <w:t xml:space="preserve">security</w:t>
      </w:r>
      <w:r>
        <w:t xml:space="preserve"> </w:t>
      </w:r>
      <w:r>
        <w:t xml:space="preserve">and</w:t>
      </w:r>
      <w:r>
        <w:t xml:space="preserve"> </w:t>
      </w:r>
      <w:r>
        <w:t xml:space="preserve">livelihoods</w:t>
      </w:r>
      <w:r>
        <w:t xml:space="preserve"> </w:t>
      </w:r>
      <w:r>
        <w:t xml:space="preserve">in</w:t>
      </w:r>
      <w:r>
        <w:t xml:space="preserve"> </w:t>
      </w:r>
      <w:r>
        <w:t xml:space="preserve">South</w:t>
      </w:r>
      <w:r>
        <w:t xml:space="preserve"> </w:t>
      </w:r>
      <w:r>
        <w:t xml:space="preserve">Africa’s</w:t>
      </w:r>
      <w:r>
        <w:t xml:space="preserve"> </w:t>
      </w:r>
      <w:r>
        <w:t xml:space="preserve">Limpopo</w:t>
      </w:r>
      <w:r>
        <w:t xml:space="preserve"> </w:t>
      </w:r>
      <w:r>
        <w:t xml:space="preserve">basin</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This document outlines a collection of holistic modeling techniques aimed at describing the link between river flows and livelihoods. The model simulations we present here are generated using environmental flows (eflows), which are defined as water provided within a river or wetland to maintain aquatic ecosystems. These can also be thought of as</w:t>
      </w:r>
      <w:r>
        <w:t xml:space="preserve"> </w:t>
      </w:r>
      <w:r>
        <w:t xml:space="preserve">‘</w:t>
      </w:r>
      <w:r>
        <w:t xml:space="preserve">ecological water demand</w:t>
      </w:r>
      <w:r>
        <w:t xml:space="preserve">’</w:t>
      </w:r>
      <w:r>
        <w:t xml:space="preserve"> </w:t>
      </w:r>
      <w:r>
        <w:t xml:space="preserve">needed to protect freshwater-dependent ecosystems. The overall objective of the model we outline here is to simulate how river flow, in particular e-flow, impacts smallholder agriculture. The objective is to illustrate the linkage between sustainable eflows in the rivers, and the water-requirements of sustainable agriculture. The simulation offers insights into the role that river flows play in the ability of agriculture to be sustainable, and the consequent risks to agriculture when river flows are either optimal or when they become marginal. The simulations show a strong positive link between eflows and livelihoods and provide justification for understanding eflows as more than just a mechanism for positive biodiversity outcomes.</w:t>
      </w:r>
    </w:p>
    <w:p>
      <w:pPr>
        <w:pStyle w:val="BodyText"/>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2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943600" cy="3324690"/>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943600" cy="3324690"/>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25"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the baseline with our own functions and some from the</w:t>
      </w:r>
      <w:r>
        <w:t xml:space="preserve"> </w:t>
      </w:r>
      <w:r>
        <w:rPr>
          <w:rStyle w:val="VerbatimChar"/>
        </w:rPr>
        <w:t xml:space="preserve">nasapower</w:t>
      </w:r>
      <w:r>
        <w:t xml:space="preserve"> </w:t>
      </w:r>
      <w:r>
        <w:t xml:space="preserve">(Sparks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packages.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rPr>
          <w:rStyle w:val="CommentTok"/>
        </w:rPr>
        <w:t xml:space="preserve"># generating boundary conditions for the simulation run </w:t>
      </w:r>
      <w:r>
        <w:br/>
      </w:r>
      <w:r>
        <w:br/>
      </w:r>
      <w:r>
        <w:rPr>
          <w:rStyle w:val="CommentTok"/>
        </w:rPr>
        <w:t xml:space="preserve"># simulate how much rainwater is available</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FunctionTok"/>
        </w:rPr>
        <w:t xml:space="preserve">mean</w:t>
      </w:r>
      <w:r>
        <w:rPr>
          <w:rStyle w:val="NormalTok"/>
        </w:rPr>
        <w:t xml:space="preserve">(scen1_river_flow_downstream),</w:t>
      </w:r>
      <w:r>
        <w:br/>
      </w:r>
      <w:r>
        <w:rPr>
          <w:rStyle w:val="NormalTok"/>
        </w:rPr>
        <w:t xml:space="preserve">            </w:t>
      </w:r>
      <w:r>
        <w:rPr>
          <w:rStyle w:val="AttributeTok"/>
        </w:rPr>
        <w:t xml:space="preserve">scen2_downstream_river_flow=</w:t>
      </w:r>
      <w:r>
        <w:rPr>
          <w:rStyle w:val="FunctionTok"/>
        </w:rPr>
        <w:t xml:space="preserve">mean</w:t>
      </w:r>
      <w:r>
        <w:rPr>
          <w:rStyle w:val="NormalTok"/>
        </w:rPr>
        <w:t xml:space="preserve">(scen2_river_flow_downstream),</w:t>
      </w:r>
      <w:r>
        <w:br/>
      </w:r>
      <w:r>
        <w:rPr>
          <w:rStyle w:val="NormalTok"/>
        </w:rPr>
        <w:t xml:space="preserve">            </w:t>
      </w:r>
      <w:r>
        <w:rPr>
          <w:rStyle w:val="AttributeTok"/>
        </w:rPr>
        <w:t xml:space="preserve">scen3_downstream_river_flow=</w:t>
      </w:r>
      <w:r>
        <w:rPr>
          <w:rStyle w:val="FunctionTok"/>
        </w:rPr>
        <w:t xml:space="preserve">mean</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FunctionTok"/>
        </w:rPr>
        <w:t xml:space="preserve">mean</w:t>
      </w:r>
      <w:r>
        <w:rPr>
          <w:rStyle w:val="NormalTok"/>
        </w:rPr>
        <w:t xml:space="preserve">(scen1_crop_water_gap),</w:t>
      </w:r>
      <w:r>
        <w:br/>
      </w:r>
      <w:r>
        <w:rPr>
          <w:rStyle w:val="NormalTok"/>
        </w:rPr>
        <w:t xml:space="preserve">            </w:t>
      </w:r>
      <w:r>
        <w:rPr>
          <w:rStyle w:val="AttributeTok"/>
        </w:rPr>
        <w:t xml:space="preserve">scen2_crop_water_gap=</w:t>
      </w:r>
      <w:r>
        <w:rPr>
          <w:rStyle w:val="FunctionTok"/>
        </w:rPr>
        <w:t xml:space="preserve">mean</w:t>
      </w:r>
      <w:r>
        <w:rPr>
          <w:rStyle w:val="NormalTok"/>
        </w:rPr>
        <w:t xml:space="preserve">(scen2_crop_water_gap),</w:t>
      </w:r>
      <w:r>
        <w:br/>
      </w:r>
      <w:r>
        <w:rPr>
          <w:rStyle w:val="NormalTok"/>
        </w:rPr>
        <w:t xml:space="preserve">            </w:t>
      </w:r>
      <w:r>
        <w:rPr>
          <w:rStyle w:val="AttributeTok"/>
        </w:rPr>
        <w:t xml:space="preserve">scen3_crop_water_gap=</w:t>
      </w:r>
      <w:r>
        <w:rPr>
          <w:rStyle w:val="FunctionTok"/>
        </w:rPr>
        <w:t xml:space="preserve">mean</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 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in the data sets provided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Here we run the model with the</w:t>
      </w:r>
      <w:r>
        <w:t xml:space="preserve"> </w:t>
      </w:r>
      <w:r>
        <w:rPr>
          <w:rStyle w:val="VerbatimChar"/>
        </w:rPr>
        <w:t xml:space="preserve">scenario_mc</w:t>
      </w:r>
      <w:r>
        <w:t xml:space="preserve"> </w:t>
      </w:r>
      <w:r>
        <w:t xml:space="preserve">function from the</w:t>
      </w:r>
      <w:r>
        <w:t xml:space="preserve"> </w:t>
      </w:r>
      <w:r>
        <w:rPr>
          <w:rStyle w:val="VerbatimChar"/>
        </w:rPr>
        <w:t xml:space="preserve">decisionSupport</w:t>
      </w:r>
      <w:r>
        <w:t xml:space="preserve"> </w:t>
      </w:r>
      <w:r>
        <w:t xml:space="preserve">package</w:t>
      </w:r>
      <w:r>
        <w:t xml:space="preserve"> </w:t>
      </w:r>
      <w:r>
        <w:t xml:space="preserve">(Luedeling et al. 2021)</w:t>
      </w:r>
      <w:r>
        <w:t xml:space="preserve">. The function essentially generates a Monte Carlo model with data from existing scenarios for some of the model inputs.</w:t>
      </w:r>
    </w:p>
    <w:p>
      <w:pPr>
        <w:pStyle w:val="SourceCode"/>
      </w:pPr>
      <w:r>
        <w:rPr>
          <w:rStyle w:val="CommentTok"/>
        </w:rPr>
        <w:t xml:space="preserve"># run the model with the scenario_mc function </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1e4</w:t>
      </w:r>
      <w:r>
        <w:rPr>
          <w:rStyle w:val="NormalTok"/>
        </w:rPr>
        <w:t xml:space="preserve">, </w:t>
      </w:r>
      <w:r>
        <w:rPr>
          <w:rStyle w:val="CommentTok"/>
        </w:rPr>
        <w:t xml:space="preserve">#run 10,000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End w:id="25"/>
    <w:bookmarkEnd w:id="26"/>
    <w:bookmarkStart w:id="74" w:name="results"/>
    <w:p>
      <w:pPr>
        <w:pStyle w:val="Heading2"/>
      </w:pPr>
      <w:r>
        <w:t xml:space="preserve">Results</w:t>
      </w:r>
    </w:p>
    <w:p>
      <w:pPr>
        <w:pStyle w:val="FirstParagraph"/>
      </w:pPr>
      <w:r>
        <w:t xml:space="preserve">The results will refer to the scenarios we formulated in the model. We will use the results of the simulations of Scenario 1 as a baseline for comparisons. We programmed this scenario so that farmers extract water according to their irrigation needs and this is only limited by the minimum water level that allows them to operate their water pumps. We use this scenario for testing the model simulations of the other scenarios. We do this by subtracting the farm level water gap resulting from this scenario from the water gap for each of the other scenarios.</w:t>
      </w:r>
    </w:p>
    <w:bookmarkStart w:id="29"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 we plot the difference in farm level crop water gap (i.e. how much water is missing from the smallholder farmers needs) between the baseline Scenario 1, no eflows and eflow Scenario 2, restricted extraction. We simulated this scenario so that whenever eflows aren’t achieved, water extraction is curtailed and there are no measures to add water to the river.</w:t>
      </w:r>
    </w:p>
    <w:p>
      <w:pPr>
        <w:pStyle w:val="SourceCode"/>
      </w:pPr>
      <w:r>
        <w:rPr>
          <w:rStyle w:val="NormalTok"/>
        </w:rPr>
        <w:t xml:space="preserve">gap_2_n_1_plot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"scen2_crop_water_gap"</w:t>
      </w:r>
      <w:r>
        <w:rPr>
          <w:rStyle w:val="NormalTok"/>
        </w:rPr>
        <w:t xml:space="preserve">, </w:t>
      </w:r>
      <w:r>
        <w:rPr>
          <w:rStyle w:val="StringTok"/>
        </w:rPr>
        <w:t xml:space="preserve">"scen1_crop_water_gap"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"#D55E00"</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and Baseline"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NormalTok"/>
        </w:rPr>
        <w:t xml:space="preserve">gap_2_vs_1_plot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vs. Baseline"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gap_2_n_1_plot </w:t>
      </w:r>
      <w:r>
        <w:rPr>
          <w:rStyle w:val="SpecialCharTok"/>
        </w:rPr>
        <w:t xml:space="preserve">+</w:t>
      </w:r>
      <w:r>
        <w:rPr>
          <w:rStyle w:val="NormalTok"/>
        </w:rPr>
        <w:t xml:space="preserve"> gap_2_vs_1_plot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r>
        <w:br/>
      </w:r>
      <w:r>
        <w:rPr>
          <w:rStyle w:val="CommentTok"/>
        </w:rPr>
        <w:t xml:space="preserve">#&gt; Warning: Removed 4 rows containing non-finite values (stat_density).</w:t>
      </w:r>
      <w:r>
        <w:br/>
      </w:r>
      <w:r>
        <w:rPr>
          <w:rStyle w:val="CommentTok"/>
        </w:rPr>
        <w:t xml:space="preserve">#&gt; Warning: Removed 2 rows containing non-finite values (stat_density).</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This plot shows the differences in the simulation results between the baseline with no eflows and Scenario 2 wherein farmers are restricted from extracting water. The results indicate that this can lead to greater crop water gaps and have a negative impact on the livelihoods of smallholder farmers. In short, an eflow scenario that simply curtails extraction but doesn’t alleviate sub-eflow flows, is likely to cause considerable irrigation water shortages.</w:t>
      </w:r>
    </w:p>
    <w:p>
      <w:pPr>
        <w:pStyle w:val="BodyText"/>
      </w:pPr>
      <w:r>
        <w:t xml:space="preserve">Here we plot the difference in farm level crop water gap (i.e. how much water is missing from the smallholder farmers needs) between the baseline Scenario 1, no eflows and Scenario 3, dam releases. We simulate this scenario so that when eflows aren’t naturally met, water is released from upstream dams to ensure eflows. Smallholder farmers can access water so long as their pumps are working.</w:t>
      </w:r>
    </w:p>
    <w:p>
      <w:pPr>
        <w:pStyle w:val="SourceCode"/>
      </w:pPr>
      <w:r>
        <w:br/>
      </w: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3 vs. Baseline"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rPr>
          <w:rStyle w:val="CommentTok"/>
        </w:rPr>
        <w:t xml:space="preserve">#&gt; Warning: Removed 2 rows containing non-finite values (stat_density).</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This plot shows the differences in the simulation results between the baseline with no eflows and Scenario 3 wherein water is released from upstream dams to maintain eflows. The results demonstrate the effectiveness of eflows for supporting smallholder farmers and their livelihoods by effectively eliminating the crop water gap. An eflow scenario that includes dam releases to ensure eflows benefits farmers by effectively precluding irrigation water shortfalls.</w:t>
      </w:r>
    </w:p>
    <w:bookmarkEnd w:id="29"/>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 (across 12 months of the simulation).</w:t>
      </w:r>
    </w:p>
    <w:p>
      <w:pPr>
        <w:pStyle w:val="BodyText"/>
      </w:pPr>
      <w:r>
        <w:t xml:space="preserve">These are the flows for scenario 2 and for scenario 3 vs. the no-eflow baseline:</w:t>
      </w:r>
    </w:p>
    <w:p>
      <w:pPr>
        <w:pStyle w:val="SourceCode"/>
      </w:pPr>
      <w:r>
        <w:rPr>
          <w:rStyle w:val="NormalTok"/>
        </w:rPr>
        <w:t xml:space="preserve">diff_2_vs_1_plot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"Downstream_difference_2_vs_1", : Some data included "NA"</w:t>
      </w:r>
      <w:r>
        <w:br/>
      </w:r>
      <w:r>
        <w:rPr>
          <w:rStyle w:val="CommentTok"/>
        </w:rPr>
        <w:t xml:space="preserve">#&gt; and 14 rows were removed.</w:t>
      </w:r>
      <w:r>
        <w:br/>
      </w:r>
      <w:r>
        <w:br/>
      </w:r>
      <w:r>
        <w:rPr>
          <w:rStyle w:val="NormalTok"/>
        </w:rPr>
        <w:t xml:space="preserve">diff_3_vs_1_plot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"Downstream_difference_3_vs_1", : Some data included "NA"</w:t>
      </w:r>
      <w:r>
        <w:br/>
      </w:r>
      <w:r>
        <w:rPr>
          <w:rStyle w:val="CommentTok"/>
        </w:rPr>
        <w:t xml:space="preserve">#&gt; and 14 rows were removed.</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diff_2_vs_1_plot </w:t>
      </w:r>
      <w:r>
        <w:rPr>
          <w:rStyle w:val="SpecialCharTok"/>
        </w:rPr>
        <w:t xml:space="preserve">+</w:t>
      </w:r>
      <w:r>
        <w:rPr>
          <w:rStyle w:val="NormalTok"/>
        </w:rPr>
        <w:t xml:space="preserve"> diff_3_vs_1_plot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"scen3_dam_release", : Some data included "NA" and 14 rows</w:t>
      </w:r>
      <w:r>
        <w:br/>
      </w:r>
      <w:r>
        <w:rPr>
          <w:rStyle w:val="CommentTok"/>
        </w:rPr>
        <w:t xml:space="preserve">#&gt; were removed.</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Here similar plots of</w:t>
      </w:r>
      <w:r>
        <w:t xml:space="preserve"> </w:t>
      </w:r>
      <w:r>
        <w:rPr>
          <w:rStyle w:val="VerbatimChar"/>
        </w:rPr>
        <w:t xml:space="preserve">Crop_water_gap_difference</w:t>
      </w:r>
      <w:r>
        <w:t xml:space="preserve"> </w:t>
      </w:r>
      <w:r>
        <w:t xml:space="preserve">to show the crop water gap over time (across 12 months of the simulation).</w:t>
      </w:r>
    </w:p>
    <w:p>
      <w:pPr>
        <w:pStyle w:val="SourceCode"/>
      </w:pPr>
      <w:r>
        <w:rPr>
          <w:rStyle w:val="NormalTok"/>
        </w:rPr>
        <w:t xml:space="preserve">gap_2_vs_1_flow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base"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"Crop_water_gap_difference_2_vs_1", : Some data included</w:t>
      </w:r>
      <w:r>
        <w:br/>
      </w:r>
      <w:r>
        <w:rPr>
          <w:rStyle w:val="CommentTok"/>
        </w:rPr>
        <w:t xml:space="preserve">#&gt; "NA" and 14 rows were removed.</w:t>
      </w:r>
      <w:r>
        <w:br/>
      </w:r>
      <w:r>
        <w:br/>
      </w:r>
      <w:r>
        <w:rPr>
          <w:rStyle w:val="NormalTok"/>
        </w:rPr>
        <w:t xml:space="preserve">gap_3_vs_1_flow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base"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"Crop_water_gap_difference_3_vs_1", : Some data included</w:t>
      </w:r>
      <w:r>
        <w:br/>
      </w:r>
      <w:r>
        <w:rPr>
          <w:rStyle w:val="CommentTok"/>
        </w:rPr>
        <w:t xml:space="preserve">#&gt; "NA" and 14 rows were removed.</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gap_2_vs_1_flow </w:t>
      </w:r>
      <w:r>
        <w:rPr>
          <w:rStyle w:val="SpecialCharTok"/>
        </w:rPr>
        <w:t xml:space="preserve">+</w:t>
      </w:r>
      <w:r>
        <w:rPr>
          <w:rStyle w:val="NormalTok"/>
        </w:rPr>
        <w:t xml:space="preserve"> gap_3_vs_1_flow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r>
        <w:rPr>
          <w:rStyle w:val="SpecialCharTok"/>
        </w:rPr>
        <w:t xml:space="preserve">&amp;</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'bottom'</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bookmarkEnd w:id="33"/>
    <w:bookmarkStart w:id="36"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model.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d>
          <m:dPr>
            <m:begChr m:val="("/>
            <m:endChr m:val=")"/>
            <m:sepChr m:val=""/>
            <m:grow/>
          </m:dPr>
          <m:e>
            <m:r>
              <m:t>W</m:t>
            </m:r>
            <m:r>
              <m:t>a</m:t>
            </m:r>
          </m:e>
        </m:d>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d>
          <m:dPr>
            <m:begChr m:val="("/>
            <m:endChr m:val=")"/>
            <m:sepChr m:val=""/>
            <m:grow/>
          </m:dPr>
          <m:e>
            <m:f>
              <m:fPr>
                <m:type m:val="bar"/>
              </m:fPr>
              <m:num>
                <m:d>
                  <m:dPr>
                    <m:begChr m:val="["/>
                    <m:endChr m:val="]"/>
                    <m:sepChr m:val=""/>
                    <m:grow/>
                  </m:dPr>
                  <m:e>
                    <m:nary>
                      <m:naryPr>
                        <m:chr m:val="∑"/>
                        <m:limLoc m:val="undOvr"/>
                        <m:subHide m:val="0"/>
                        <m:supHide m:val="0"/>
                      </m:naryPr>
                      <m:sub>
                        <m:r>
                          <m:t>a</m:t>
                        </m:r>
                        <m:r>
                          <m:rPr>
                            <m:sty m:val="p"/>
                          </m:rPr>
                          <m:t>=</m:t>
                        </m:r>
                        <m:r>
                          <m:t>1</m:t>
                        </m:r>
                      </m:sub>
                      <m:sup>
                        <m:r>
                          <m:t>A</m:t>
                        </m:r>
                      </m:sup>
                      <m:e>
                        <m:d>
                          <m:dPr>
                            <m:begChr m:val="("/>
                            <m:endChr m:val=")"/>
                            <m:sepChr m:val=""/>
                            <m:grow/>
                          </m:dPr>
                          <m:e>
                            <m:sSubSup>
                              <m:e>
                                <m:r>
                                  <m:t>W</m:t>
                                </m:r>
                              </m:e>
                              <m:sub>
                                <m:r>
                                  <m:t>a</m:t>
                                </m:r>
                              </m:sub>
                              <m:sup>
                                <m:r>
                                  <m:t>2</m:t>
                                </m:r>
                              </m:sup>
                            </m:sSubSup>
                            <m:r>
                              <m:rPr>
                                <m:sty m:val="p"/>
                              </m:rPr>
                              <m:t>×</m:t>
                            </m:r>
                            <m:r>
                              <m:t>S</m:t>
                            </m:r>
                            <m:r>
                              <m:t>S</m:t>
                            </m:r>
                            <m:sSub>
                              <m:e>
                                <m:r>
                                  <m:t>Y</m:t>
                                </m:r>
                              </m:e>
                              <m:sub>
                                <m:r>
                                  <m:t>c</m:t>
                                </m:r>
                                <m:r>
                                  <m:t>o</m:t>
                                </m:r>
                                <m:r>
                                  <m:t>m</m:t>
                                </m:r>
                                <m:r>
                                  <m:t>p</m:t>
                                </m:r>
                                <m:r>
                                  <m:rPr>
                                    <m:sty m:val="p"/>
                                  </m:rPr>
                                  <m:t>,</m:t>
                                </m:r>
                                <m:r>
                                  <m:t>a</m:t>
                                </m:r>
                              </m:sub>
                            </m:sSub>
                          </m:e>
                        </m:d>
                      </m:e>
                    </m:nary>
                  </m:e>
                </m:d>
              </m:num>
              <m:den>
                <m:r>
                  <m:t>S</m:t>
                </m:r>
                <m:r>
                  <m:t>S</m:t>
                </m:r>
                <m:sSub>
                  <m:e>
                    <m:r>
                      <m:t>Y</m:t>
                    </m:r>
                  </m:e>
                  <m:sub>
                    <m:r>
                      <m:t>c</m:t>
                    </m:r>
                    <m:r>
                      <m:t>u</m:t>
                    </m:r>
                    <m:r>
                      <m:t>m</m:t>
                    </m:r>
                  </m:sub>
                </m:sSub>
              </m:den>
            </m:f>
          </m:e>
        </m:d>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pls_result_2_vs_1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overall plot only shows those variables with a VIP &gt; 0.8, which is the common threshold for variable selection</w:t>
      </w:r>
      <w:r>
        <w:t xml:space="preserve"> </w:t>
      </w:r>
      <w:r>
        <w:t xml:space="preserve">Luedeling and Shepherd (2016)</w:t>
      </w:r>
      <w:r>
        <w:t xml:space="preserve">.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We perform the PLS analysis and assess the VIP score results for the mean crop water gap in Scenario 1 and 2 as outcome variables.</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br/>
      </w:r>
      <w:r>
        <w:rPr>
          <w:rStyle w:val="NormalTok"/>
        </w:rPr>
        <w:t xml:space="preserve">pls_plot_2_vs_1 </w:t>
      </w:r>
      <w:r>
        <w:rPr>
          <w:rStyle w:val="OtherTok"/>
        </w:rPr>
        <w:t xml:space="preserve">&lt;-</w:t>
      </w:r>
      <w:r>
        <w:rPr>
          <w:rStyle w:val="NormalTok"/>
        </w:rPr>
        <w:t xml:space="preserve"> </w:t>
      </w:r>
      <w:r>
        <w:rPr>
          <w:rStyle w:val="FunctionTok"/>
        </w:rPr>
        <w:t xml:space="preserve">plot_pls</w:t>
      </w:r>
      <w:r>
        <w:rPr>
          <w:rStyle w:val="NormalTok"/>
        </w:rPr>
        <w:t xml:space="preserve">(pls_result_2_vs_1,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2 vs. Baseline"</w:t>
      </w:r>
      <w:r>
        <w:rPr>
          <w:rStyle w:val="NormalTok"/>
        </w:rPr>
        <w:t xml:space="preserve">)</w:t>
      </w:r>
      <w:r>
        <w:br/>
      </w:r>
      <w:r>
        <w:br/>
      </w:r>
      <w:r>
        <w:br/>
      </w:r>
      <w:r>
        <w:rPr>
          <w:rStyle w:val="NormalTok"/>
        </w:rPr>
        <w:t xml:space="preserve">pls_result_3_vs_1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NormalTok"/>
        </w:rPr>
        <w:t xml:space="preserve">pls_plot_3_vs_1 </w:t>
      </w:r>
      <w:r>
        <w:rPr>
          <w:rStyle w:val="OtherTok"/>
        </w:rPr>
        <w:t xml:space="preserve">&lt;-</w:t>
      </w:r>
      <w:r>
        <w:rPr>
          <w:rStyle w:val="NormalTok"/>
        </w:rPr>
        <w:t xml:space="preserve"> </w:t>
      </w:r>
      <w:r>
        <w:rPr>
          <w:rStyle w:val="FunctionTok"/>
        </w:rPr>
        <w:t xml:space="preserve">plot_pls</w:t>
      </w:r>
      <w:r>
        <w:rPr>
          <w:rStyle w:val="NormalTok"/>
        </w:rPr>
        <w:t xml:space="preserve">(pls_result_3_vs_1,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y_axis_name =</w:t>
      </w:r>
      <w:r>
        <w:rPr>
          <w:rStyle w:val="NormalTok"/>
        </w:rPr>
        <w:t xml:space="preserve"> </w:t>
      </w:r>
      <w:r>
        <w:rPr>
          <w:rStyle w:val="StringTok"/>
        </w:rPr>
        <w:t xml:space="preserve">"Scenario 3 vs. Baseline"</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w:t>
      </w:r>
      <w:r>
        <w:br/>
      </w:r>
      <w:r>
        <w:rPr>
          <w:rStyle w:val="StringTok"/>
        </w:rPr>
        <w:t xml:space="preserve">           AAA</w:t>
      </w:r>
      <w:r>
        <w:br/>
      </w:r>
      <w:r>
        <w:rPr>
          <w:rStyle w:val="StringTok"/>
        </w:rPr>
        <w:t xml:space="preserve">           AAA</w:t>
      </w:r>
      <w:r>
        <w:br/>
      </w:r>
      <w:r>
        <w:rPr>
          <w:rStyle w:val="StringTok"/>
        </w:rPr>
        <w:t xml:space="preserve">           AAA</w:t>
      </w:r>
      <w:r>
        <w:br/>
      </w:r>
      <w:r>
        <w:rPr>
          <w:rStyle w:val="StringTok"/>
        </w:rPr>
        <w:t xml:space="preserve">           BBB</w:t>
      </w:r>
      <w:r>
        <w:br/>
      </w:r>
      <w:r>
        <w:rPr>
          <w:rStyle w:val="StringTok"/>
        </w:rPr>
        <w:t xml:space="preserve">           BBB</w:t>
      </w:r>
      <w:r>
        <w:br/>
      </w:r>
      <w:r>
        <w:rPr>
          <w:rStyle w:val="StringTok"/>
        </w:rPr>
        <w:t xml:space="preserve">           BBB</w:t>
      </w:r>
      <w:r>
        <w:br/>
      </w:r>
      <w:r>
        <w:rPr>
          <w:rStyle w:val="StringTok"/>
        </w:rPr>
        <w:t xml:space="preserve">           BBB</w:t>
      </w:r>
      <w:r>
        <w:br/>
      </w:r>
      <w:r>
        <w:rPr>
          <w:rStyle w:val="StringTok"/>
        </w:rPr>
        <w:t xml:space="preserve">          "</w:t>
      </w:r>
      <w:r>
        <w:br/>
      </w:r>
      <w:r>
        <w:br/>
      </w:r>
      <w:r>
        <w:rPr>
          <w:rStyle w:val="NormalTok"/>
        </w:rPr>
        <w:t xml:space="preserve">pls_plot_2_vs_1 </w:t>
      </w:r>
      <w:r>
        <w:rPr>
          <w:rStyle w:val="SpecialCharTok"/>
        </w:rPr>
        <w:t xml:space="preserve">+</w:t>
      </w:r>
      <w:r>
        <w:rPr>
          <w:rStyle w:val="NormalTok"/>
        </w:rPr>
        <w:t xml:space="preserve"> pls_plot_3_vs_1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r>
        <w:rPr>
          <w:rStyle w:val="SpecialCharTok"/>
        </w:rPr>
        <w:t xml:space="preserve">&amp;</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'bottom'</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unnamed-chunk-7-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VIP scores show us the importance of each variable in the projection used in our PLS models for the mean crop water gap in scenario 2 and 3 vs. the baseline.</w:t>
      </w:r>
    </w:p>
    <w:bookmarkEnd w:id="36"/>
    <w:bookmarkStart w:id="38"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7">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38"/>
    <w:bookmarkStart w:id="73" w:name="references"/>
    <w:p>
      <w:pPr>
        <w:pStyle w:val="Heading3"/>
      </w:pPr>
      <w:r>
        <w:t xml:space="preserve">References</w:t>
      </w:r>
    </w:p>
    <w:bookmarkStart w:id="72" w:name="refs"/>
    <w:bookmarkStart w:id="40"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39">
        <w:r>
          <w:rPr>
            <w:rStyle w:val="Hyperlink"/>
          </w:rPr>
          <w:t xml:space="preserve">https://doi.org/10.1007/s13593-020-00624-5</w:t>
        </w:r>
      </w:hyperlink>
      <w:r>
        <w:t xml:space="preserve">.</w:t>
      </w:r>
    </w:p>
    <w:bookmarkEnd w:id="40"/>
    <w:bookmarkStart w:id="42"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1">
        <w:r>
          <w:rPr>
            <w:rStyle w:val="Hyperlink"/>
          </w:rPr>
          <w:t xml:space="preserve">https://doi.org/10.1002/cem.2627</w:t>
        </w:r>
      </w:hyperlink>
      <w:r>
        <w:t xml:space="preserve">.</w:t>
      </w:r>
    </w:p>
    <w:bookmarkEnd w:id="42"/>
    <w:bookmarkStart w:id="44"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3">
        <w:r>
          <w:rPr>
            <w:rStyle w:val="Hyperlink"/>
          </w:rPr>
          <w:t xml:space="preserve">https://CRAN.R-project.org/package=Evapotranspiration</w:t>
        </w:r>
      </w:hyperlink>
      <w:r>
        <w:t xml:space="preserve">.</w:t>
      </w:r>
    </w:p>
    <w:bookmarkEnd w:id="44"/>
    <w:bookmarkStart w:id="46"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5">
        <w:r>
          <w:rPr>
            <w:rStyle w:val="Hyperlink"/>
          </w:rPr>
          <w:t xml:space="preserve">https://doi.org/10.1016/j.envsoft.2019.01.016</w:t>
        </w:r>
      </w:hyperlink>
      <w:r>
        <w:t xml:space="preserve">.</w:t>
      </w:r>
    </w:p>
    <w:bookmarkEnd w:id="46"/>
    <w:bookmarkStart w:id="48"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7">
        <w:r>
          <w:rPr>
            <w:rStyle w:val="Hyperlink"/>
          </w:rPr>
          <w:t xml:space="preserve">http://www.worldagroforestry.org/</w:t>
        </w:r>
      </w:hyperlink>
      <w:r>
        <w:t xml:space="preserve">.</w:t>
      </w:r>
    </w:p>
    <w:bookmarkEnd w:id="48"/>
    <w:bookmarkStart w:id="50" w:name="ref-luedeling_decision-focused_2016"/>
    <w:p>
      <w:pPr>
        <w:pStyle w:val="Bibliography"/>
      </w:pPr>
      <w:r>
        <w:t xml:space="preserve">Luedeling, Eike, and Keith Shepherd. 2016.</w:t>
      </w:r>
      <w:r>
        <w:t xml:space="preserve"> </w:t>
      </w:r>
      <w:r>
        <w:t xml:space="preserve">“Decision-</w:t>
      </w:r>
      <w:r>
        <w:t xml:space="preserve">Focused</w:t>
      </w:r>
      <w:r>
        <w:t xml:space="preserve"> </w:t>
      </w:r>
      <w:r>
        <w:t xml:space="preserve">Agricultural</w:t>
      </w:r>
      <w:r>
        <w:t xml:space="preserve"> </w:t>
      </w:r>
      <w:r>
        <w:t xml:space="preserve">Research</w:t>
      </w:r>
      <w:r>
        <w:t xml:space="preserve">.”</w:t>
      </w:r>
      <w:r>
        <w:t xml:space="preserve"> </w:t>
      </w:r>
      <w:r>
        <w:rPr>
          <w:iCs/>
          <w:i/>
        </w:rPr>
        <w:t xml:space="preserve">Solutions</w:t>
      </w:r>
      <w:r>
        <w:t xml:space="preserve"> </w:t>
      </w:r>
      <w:r>
        <w:t xml:space="preserve">7 (5): 46–54. https://doi.org/</w:t>
      </w:r>
      <w:hyperlink r:id="rId49">
        <w:r>
          <w:rPr>
            <w:rStyle w:val="Hyperlink"/>
          </w:rPr>
          <w:t xml:space="preserve">https://www.thesolutionsjournal.com/article/decision-focused-agricultural-research/</w:t>
        </w:r>
      </w:hyperlink>
      <w:r>
        <w:t xml:space="preserve">.</w:t>
      </w:r>
    </w:p>
    <w:bookmarkEnd w:id="50"/>
    <w:bookmarkStart w:id="52"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1">
        <w:r>
          <w:rPr>
            <w:rStyle w:val="Hyperlink"/>
          </w:rPr>
          <w:t xml:space="preserve">https://CRAN.R-project.org/package=patchwork</w:t>
        </w:r>
      </w:hyperlink>
      <w:r>
        <w:t xml:space="preserve">.</w:t>
      </w:r>
    </w:p>
    <w:bookmarkEnd w:id="52"/>
    <w:bookmarkStart w:id="54"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3">
        <w:r>
          <w:rPr>
            <w:rStyle w:val="Hyperlink"/>
          </w:rPr>
          <w:t xml:space="preserve">https://www.R-project.org/</w:t>
        </w:r>
      </w:hyperlink>
      <w:r>
        <w:t xml:space="preserve">.</w:t>
      </w:r>
    </w:p>
    <w:bookmarkEnd w:id="54"/>
    <w:bookmarkStart w:id="56"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5">
        <w:r>
          <w:rPr>
            <w:rStyle w:val="Hyperlink"/>
          </w:rPr>
          <w:t xml:space="preserve">https://docs.ropensci.org/nasapower/</w:t>
        </w:r>
      </w:hyperlink>
      <w:r>
        <w:t xml:space="preserve">.</w:t>
      </w:r>
    </w:p>
    <w:bookmarkEnd w:id="56"/>
    <w:bookmarkStart w:id="58"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7">
        <w:r>
          <w:rPr>
            <w:rStyle w:val="Hyperlink"/>
          </w:rPr>
          <w:t xml:space="preserve">https://doi.org/10.1002/2017EF000765/full</w:t>
        </w:r>
      </w:hyperlink>
      <w:r>
        <w:t xml:space="preserve">.</w:t>
      </w:r>
    </w:p>
    <w:bookmarkEnd w:id="58"/>
    <w:bookmarkStart w:id="59"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59"/>
    <w:bookmarkStart w:id="61"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60">
        <w:r>
          <w:rPr>
            <w:rStyle w:val="Hyperlink"/>
          </w:rPr>
          <w:t xml:space="preserve">https://CRAN.R-project.org/package=plyr</w:t>
        </w:r>
      </w:hyperlink>
      <w:r>
        <w:t xml:space="preserve">.</w:t>
      </w:r>
    </w:p>
    <w:bookmarkEnd w:id="61"/>
    <w:bookmarkStart w:id="63"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2">
        <w:r>
          <w:rPr>
            <w:rStyle w:val="Hyperlink"/>
          </w:rPr>
          <w:t xml:space="preserve">https://CRAN.R-project.org/package=tidyverse</w:t>
        </w:r>
      </w:hyperlink>
      <w:r>
        <w:t xml:space="preserve">.</w:t>
      </w:r>
    </w:p>
    <w:bookmarkEnd w:id="63"/>
    <w:bookmarkStart w:id="65"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4">
        <w:r>
          <w:rPr>
            <w:rStyle w:val="Hyperlink"/>
          </w:rPr>
          <w:t xml:space="preserve">https://doi.org/10.21105/joss.01686</w:t>
        </w:r>
      </w:hyperlink>
      <w:r>
        <w:t xml:space="preserve">.</w:t>
      </w:r>
    </w:p>
    <w:bookmarkEnd w:id="65"/>
    <w:bookmarkStart w:id="67"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6">
        <w:r>
          <w:rPr>
            <w:rStyle w:val="Hyperlink"/>
          </w:rPr>
          <w:t xml:space="preserve">https://CRAN.R-project.org/package=ggplot2</w:t>
        </w:r>
      </w:hyperlink>
      <w:r>
        <w:t xml:space="preserve">.</w:t>
      </w:r>
    </w:p>
    <w:bookmarkEnd w:id="67"/>
    <w:bookmarkStart w:id="69"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68">
        <w:r>
          <w:rPr>
            <w:rStyle w:val="Hyperlink"/>
          </w:rPr>
          <w:t xml:space="preserve">https://CRAN.R-project.org/package=dplyr</w:t>
        </w:r>
      </w:hyperlink>
      <w:r>
        <w:t xml:space="preserve">.</w:t>
      </w:r>
    </w:p>
    <w:bookmarkEnd w:id="69"/>
    <w:bookmarkStart w:id="71"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70">
        <w:r>
          <w:rPr>
            <w:rStyle w:val="Hyperlink"/>
          </w:rPr>
          <w:t xml:space="preserve">https://doi.org/10.1016/S0169-7439(01)00155-1</w:t>
        </w:r>
      </w:hyperlink>
      <w:r>
        <w:t xml:space="preserve">.</w:t>
      </w:r>
    </w:p>
    <w:bookmarkEnd w:id="71"/>
    <w:bookmarkEnd w:id="72"/>
    <w:bookmarkEnd w:id="73"/>
    <w:bookmarkEnd w:id="74"/>
    <w:sectPr w:rsidR="0082647A" w:rsidRPr="001D5C6A">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Content>
      <w:p w14:paraId="293A22BB" w14:textId="2CD46C8A"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398CF" w14:textId="77777777" w:rsidR="001D5C6A" w:rsidRDefault="001D5C6A"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Content>
      <w:p w14:paraId="00724764" w14:textId="76832058"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74C33A" w14:textId="77777777" w:rsidR="001D5C6A" w:rsidRDefault="001D5C6A" w:rsidP="001D5C6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6CE06D3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F8406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D29AE61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1D5C6A"/>
    <w:pPr>
      <w:keepNext/>
      <w:keepLines/>
      <w:spacing w:after="0" w:before="200"/>
      <w:outlineLvl w:val="1"/>
    </w:pPr>
    <w:rPr>
      <w:rFonts w:ascii="Georgia" w:cstheme="majorBidi" w:eastAsiaTheme="majorEastAsia" w:hAnsi="Georgia"/>
      <w:b/>
      <w:bCs/>
      <w:color w:themeColor="accent1" w:val="4F81BD"/>
      <w:sz w:val="28"/>
      <w:szCs w:val="28"/>
    </w:rPr>
  </w:style>
  <w:style w:styleId="Heading3" w:type="paragraph">
    <w:name w:val="heading 3"/>
    <w:basedOn w:val="Normal"/>
    <w:next w:val="BodyText"/>
    <w:uiPriority w:val="9"/>
    <w:unhideWhenUsed/>
    <w:qFormat/>
    <w:rsid w:val="001D5C6A"/>
    <w:pPr>
      <w:keepNext/>
      <w:keepLines/>
      <w:spacing w:after="0" w:before="200"/>
      <w:outlineLvl w:val="2"/>
    </w:pPr>
    <w:rPr>
      <w:rFonts w:ascii="Georgia" w:cstheme="majorBidi" w:eastAsiaTheme="majorEastAsia" w:hAnsi="Georgia"/>
      <w:b/>
      <w:bCs/>
      <w:color w:themeColor="accent1" w:val="4F81BD"/>
    </w:rPr>
  </w:style>
  <w:style w:styleId="Heading4" w:type="paragraph">
    <w:name w:val="heading 4"/>
    <w:basedOn w:val="Normal"/>
    <w:next w:val="BodyText"/>
    <w:uiPriority w:val="9"/>
    <w:unhideWhenUsed/>
    <w:qFormat/>
    <w:rsid w:val="001D5C6A"/>
    <w:pPr>
      <w:keepNext/>
      <w:keepLines/>
      <w:spacing w:after="0" w:before="200"/>
      <w:outlineLvl w:val="3"/>
    </w:pPr>
    <w:rPr>
      <w:rFonts w:ascii="Georgia" w:cstheme="majorBidi" w:eastAsiaTheme="majorEastAsia" w:hAnsi="Georgia"/>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D5C6A"/>
    <w:pPr>
      <w:keepNext/>
      <w:keepLines/>
      <w:spacing w:after="240" w:before="480"/>
      <w:jc w:val="center"/>
    </w:pPr>
    <w:rPr>
      <w:rFonts w:ascii="Georgia" w:cstheme="majorBidi" w:eastAsiaTheme="majorEastAsia" w:hAnsi="Georgia"/>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oter" w:type="paragraph">
    <w:name w:val="footer"/>
    <w:basedOn w:val="Normal"/>
    <w:link w:val="FooterChar"/>
    <w:unhideWhenUsed/>
    <w:rsid w:val="001D5C6A"/>
    <w:pPr>
      <w:tabs>
        <w:tab w:pos="4680" w:val="center"/>
        <w:tab w:pos="9360" w:val="right"/>
      </w:tabs>
      <w:spacing w:after="0"/>
    </w:pPr>
  </w:style>
  <w:style w:customStyle="1" w:styleId="FooterChar" w:type="character">
    <w:name w:val="Footer Char"/>
    <w:basedOn w:val="DefaultParagraphFont"/>
    <w:link w:val="Footer"/>
    <w:rsid w:val="001D5C6A"/>
  </w:style>
  <w:style w:styleId="PageNumber" w:type="charact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hyperlink" Id="rId34" Target="http://users.cecs.anu.edu.au/~kee/pls.pdf" TargetMode="External" /><Relationship Type="http://schemas.openxmlformats.org/officeDocument/2006/relationships/hyperlink" Id="rId47" Target="http://www.worldagroforestry.org/" TargetMode="External" /><Relationship Type="http://schemas.openxmlformats.org/officeDocument/2006/relationships/hyperlink" Id="rId43" Target="https://CRAN.R-project.org/package=Evapotranspiration" TargetMode="External" /><Relationship Type="http://schemas.openxmlformats.org/officeDocument/2006/relationships/hyperlink" Id="rId68" Target="https://CRAN.R-project.org/package=dplyr" TargetMode="External" /><Relationship Type="http://schemas.openxmlformats.org/officeDocument/2006/relationships/hyperlink" Id="rId66" Target="https://CRAN.R-project.org/package=ggplot2" TargetMode="External" /><Relationship Type="http://schemas.openxmlformats.org/officeDocument/2006/relationships/hyperlink" Id="rId51" Target="https://CRAN.R-project.org/package=patchwork" TargetMode="External" /><Relationship Type="http://schemas.openxmlformats.org/officeDocument/2006/relationships/hyperlink" Id="rId60" Target="https://CRAN.R-project.org/package=plyr" TargetMode="External" /><Relationship Type="http://schemas.openxmlformats.org/officeDocument/2006/relationships/hyperlink" Id="rId62" Target="https://CRAN.R-project.org/package=tidyverse" TargetMode="External" /><Relationship Type="http://schemas.openxmlformats.org/officeDocument/2006/relationships/hyperlink" Id="rId37" Target="https://cran.r-project.org/web/packages/decisionSupport/decisionSupport.pdf" TargetMode="External" /><Relationship Type="http://schemas.openxmlformats.org/officeDocument/2006/relationships/hyperlink" Id="rId55"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1" Target="https://doi.org/10.1002/cem.2627" TargetMode="External" /><Relationship Type="http://schemas.openxmlformats.org/officeDocument/2006/relationships/hyperlink" Id="rId39" Target="https://doi.org/10.1007/s13593-020-00624-5" TargetMode="External" /><Relationship Type="http://schemas.openxmlformats.org/officeDocument/2006/relationships/hyperlink" Id="rId70" Target="https://doi.org/10.1016/S0169-7439(01)00155-1" TargetMode="External" /><Relationship Type="http://schemas.openxmlformats.org/officeDocument/2006/relationships/hyperlink" Id="rId45" Target="https://doi.org/10.1016/j.envsoft.2019.01.016" TargetMode="External" /><Relationship Type="http://schemas.openxmlformats.org/officeDocument/2006/relationships/hyperlink" Id="rId64" Target="https://doi.org/10.21105/joss.01686" TargetMode="External" /><Relationship Type="http://schemas.openxmlformats.org/officeDocument/2006/relationships/hyperlink" Id="rId53" Target="https://www.R-project.org/" TargetMode="External" /><Relationship Type="http://schemas.openxmlformats.org/officeDocument/2006/relationships/hyperlink" Id="rId22" Target="https://www.r-project.org/" TargetMode="External" /><Relationship Type="http://schemas.openxmlformats.org/officeDocument/2006/relationships/hyperlink" Id="rId49" Target="https://www.thesolutionsjournal.com/article/decision-focused-agricultural-research/" TargetMode="External" /></Relationships>
</file>

<file path=word/_rels/footnotes.xml.rels><?xml version="1.0" encoding="UTF-8"?><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7" Target="http://www.worldagroforestry.org/" TargetMode="External" /><Relationship Type="http://schemas.openxmlformats.org/officeDocument/2006/relationships/hyperlink" Id="rId43" Target="https://CRAN.R-project.org/package=Evapotranspiration" TargetMode="External" /><Relationship Type="http://schemas.openxmlformats.org/officeDocument/2006/relationships/hyperlink" Id="rId68" Target="https://CRAN.R-project.org/package=dplyr" TargetMode="External" /><Relationship Type="http://schemas.openxmlformats.org/officeDocument/2006/relationships/hyperlink" Id="rId66" Target="https://CRAN.R-project.org/package=ggplot2" TargetMode="External" /><Relationship Type="http://schemas.openxmlformats.org/officeDocument/2006/relationships/hyperlink" Id="rId51" Target="https://CRAN.R-project.org/package=patchwork" TargetMode="External" /><Relationship Type="http://schemas.openxmlformats.org/officeDocument/2006/relationships/hyperlink" Id="rId60" Target="https://CRAN.R-project.org/package=plyr" TargetMode="External" /><Relationship Type="http://schemas.openxmlformats.org/officeDocument/2006/relationships/hyperlink" Id="rId62" Target="https://CRAN.R-project.org/package=tidyverse" TargetMode="External" /><Relationship Type="http://schemas.openxmlformats.org/officeDocument/2006/relationships/hyperlink" Id="rId37" Target="https://cran.r-project.org/web/packages/decisionSupport/decisionSupport.pdf" TargetMode="External" /><Relationship Type="http://schemas.openxmlformats.org/officeDocument/2006/relationships/hyperlink" Id="rId55" Target="https://docs.ropensci.org/nasapower/" TargetMode="External" /><Relationship Type="http://schemas.openxmlformats.org/officeDocument/2006/relationships/hyperlink" Id="rId57" Target="https://doi.org/10.1002/2017EF000765/full" TargetMode="External" /><Relationship Type="http://schemas.openxmlformats.org/officeDocument/2006/relationships/hyperlink" Id="rId41" Target="https://doi.org/10.1002/cem.2627" TargetMode="External" /><Relationship Type="http://schemas.openxmlformats.org/officeDocument/2006/relationships/hyperlink" Id="rId39" Target="https://doi.org/10.1007/s13593-020-00624-5" TargetMode="External" /><Relationship Type="http://schemas.openxmlformats.org/officeDocument/2006/relationships/hyperlink" Id="rId70" Target="https://doi.org/10.1016/S0169-7439(01)00155-1" TargetMode="External" /><Relationship Type="http://schemas.openxmlformats.org/officeDocument/2006/relationships/hyperlink" Id="rId45" Target="https://doi.org/10.1016/j.envsoft.2019.01.016" TargetMode="External" /><Relationship Type="http://schemas.openxmlformats.org/officeDocument/2006/relationships/hyperlink" Id="rId64" Target="https://doi.org/10.21105/joss.01686" TargetMode="External" /><Relationship Type="http://schemas.openxmlformats.org/officeDocument/2006/relationships/hyperlink" Id="rId53" Target="https://www.R-project.org/" TargetMode="External" /><Relationship Type="http://schemas.openxmlformats.org/officeDocument/2006/relationships/hyperlink" Id="rId22" Target="https://www.r-project.org/" TargetMode="External" /><Relationship Type="http://schemas.openxmlformats.org/officeDocument/2006/relationships/hyperlink" Id="rId49" Target="https://www.thesolutionsjournal.com/article/decision-focused-agricultural-resear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5571</Words>
  <Characters>31759</Characters>
  <Application>Microsoft Office Word</Application>
  <DocSecurity>0</DocSecurity>
  <Lines>264</Lines>
  <Paragraphs>74</Paragraphs>
  <ScaleCrop>false</ScaleCrop>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dcterms:created xsi:type="dcterms:W3CDTF">2021-12-09T21:46:35Z</dcterms:created>
  <dcterms:modified xsi:type="dcterms:W3CDTF">2021-12-09T21:46:35Z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