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29.png" ContentType="image/png"/>
  <Override PartName="/word/media/rId31.png" ContentType="image/png"/>
  <Override PartName="/word/media/rId32.png" ContentType="image/png"/>
  <Override PartName="/word/media/rId30.png" ContentType="image/png"/>
  <Override PartName="/word/media/rId25.png" ContentType="image/png"/>
  <Override PartName="/word/media/rId26.png" ContentType="image/png"/>
  <Override PartName="/word/media/rId35.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Generating</w:t>
      </w:r>
      <w:r>
        <w:t xml:space="preserve"> </w:t>
      </w:r>
      <w:r>
        <w:t xml:space="preserve">and</w:t>
      </w:r>
      <w:r>
        <w:t xml:space="preserve"> </w:t>
      </w:r>
      <w:r>
        <w:t xml:space="preserve">calculating</w:t>
      </w:r>
      <w:r>
        <w:t xml:space="preserve"> </w:t>
      </w:r>
      <w:r>
        <w:t xml:space="preserve">causal</w:t>
      </w:r>
      <w:r>
        <w:t xml:space="preserve"> </w:t>
      </w:r>
      <w:r>
        <w:t xml:space="preserve">models</w:t>
      </w:r>
      <w:r>
        <w:t xml:space="preserve"> </w:t>
      </w:r>
      <w:r>
        <w:t xml:space="preserve">for</w:t>
      </w:r>
      <w:r>
        <w:t xml:space="preserve"> </w:t>
      </w:r>
      <w:r>
        <w:t xml:space="preserve">Limpopo</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Here we generate a holistic model to simulate the contribution of water flows to sustainable agriculture, food security and livelihoods. The objective is to make the linkage between sustainable eflows in the rivers, and the water-requirements of sustainable agriculture. The simulation offers insights into the role that river flows play in the ability of agriculture to be sustainable, and the consequent risks to agriculture when river flows are either optimal or when they become marginal.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7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334000" cy="2983696"/>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334000" cy="2983696"/>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38"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br/>
      </w:r>
      <w:r>
        <w:rPr>
          <w:rStyle w:val="CommentTok"/>
        </w:rPr>
        <w:t xml:space="preserve"># generating boundary conditions for the simulation run </w:t>
      </w:r>
      <w:r>
        <w:br/>
      </w:r>
      <w:r>
        <w:br/>
      </w:r>
      <w:r>
        <w:rPr>
          <w:rStyle w:val="CommentTok"/>
        </w:rPr>
        <w:t xml:space="preserve"># how much rainwater is available</w:t>
      </w:r>
      <w:r>
        <w:br/>
      </w:r>
      <w:r>
        <w:rPr>
          <w:rStyle w:val="CommentTok"/>
        </w:rPr>
        <w:t xml:space="preserve"># for now we used data from some random climate diagram on the internet</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NormalTok"/>
        </w:rPr>
        <w:t xml:space="preserve">scen1_river_flow_downstream,</w:t>
      </w:r>
      <w:r>
        <w:br/>
      </w:r>
      <w:r>
        <w:rPr>
          <w:rStyle w:val="NormalTok"/>
        </w:rPr>
        <w:t xml:space="preserve">            </w:t>
      </w:r>
      <w:r>
        <w:rPr>
          <w:rStyle w:val="AttributeTok"/>
        </w:rPr>
        <w:t xml:space="preserve">scen2_downstream_river_flow=</w:t>
      </w:r>
      <w:r>
        <w:rPr>
          <w:rStyle w:val="NormalTok"/>
        </w:rPr>
        <w:t xml:space="preserve">scen2_river_flow_downstream,</w:t>
      </w:r>
      <w:r>
        <w:br/>
      </w:r>
      <w:r>
        <w:rPr>
          <w:rStyle w:val="NormalTok"/>
        </w:rPr>
        <w:t xml:space="preserve">            </w:t>
      </w:r>
      <w:r>
        <w:rPr>
          <w:rStyle w:val="AttributeTok"/>
        </w:rPr>
        <w:t xml:space="preserve">scen3_downstream_river_flow=</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NormalTok"/>
        </w:rPr>
        <w:t xml:space="preserve">scen1_crop_water_gap,</w:t>
      </w:r>
      <w:r>
        <w:br/>
      </w:r>
      <w:r>
        <w:rPr>
          <w:rStyle w:val="NormalTok"/>
        </w:rPr>
        <w:t xml:space="preserve">            </w:t>
      </w:r>
      <w:r>
        <w:rPr>
          <w:rStyle w:val="AttributeTok"/>
        </w:rPr>
        <w:t xml:space="preserve">scen2_crop_water_gap=</w:t>
      </w:r>
      <w:r>
        <w:rPr>
          <w:rStyle w:val="NormalTok"/>
        </w:rPr>
        <w:t xml:space="preserve">scen2_crop_water_gap,</w:t>
      </w:r>
      <w:r>
        <w:br/>
      </w:r>
      <w:r>
        <w:rPr>
          <w:rStyle w:val="NormalTok"/>
        </w:rPr>
        <w:t xml:space="preserve">            </w:t>
      </w:r>
      <w:r>
        <w:rPr>
          <w:rStyle w:val="AttributeTok"/>
        </w:rPr>
        <w:t xml:space="preserve">scen3_crop_water_gap=</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SourceCode"/>
      </w:pPr>
      <w:r>
        <w:rPr>
          <w:rStyle w:val="CommentTok"/>
        </w:rPr>
        <w:t xml:space="preserve"># run the model with the scenario_mc function (a monte carlo with data from the scenarios for some inputs)</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2e2</w:t>
      </w:r>
      <w:r>
        <w:rPr>
          <w:rStyle w:val="NormalTok"/>
        </w:rPr>
        <w:t xml:space="preserve">, </w:t>
      </w:r>
      <w:r>
        <w:rPr>
          <w:rStyle w:val="CommentTok"/>
        </w:rPr>
        <w:t xml:space="preserve">#run 1,000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Start w:id="27"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Here’s the difference between the crop water gap in eflow scenario 2 vs. the baseline (no eflows)</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In short, an eflow scenario that simply curtails extraction but doesn’t alleviate sub-eflow flows, is likely to cause considerable irrigation water shortages.</w:t>
      </w:r>
    </w:p>
    <w:p>
      <w:pPr>
        <w:pStyle w:val="BodyText"/>
      </w:pPr>
      <w:r>
        <w:t xml:space="preserve">Here’s the difference between the crop water gap in eflow scenario 3 (incl. dam releases) vs. the baseline (no eflows)</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An eflow scenario that includes dam releases to ensure eflows (scenario 3) benefits farmers by effectively precluding irrigation water shortfalls.</w:t>
      </w:r>
    </w:p>
    <w:bookmarkEnd w:id="27"/>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w:t>
      </w:r>
    </w:p>
    <w:p>
      <w:pPr>
        <w:pStyle w:val="BodyText"/>
      </w:pPr>
      <w:r>
        <w:t xml:space="preserve">First for scenario 2 vs. the no-eflow baseline: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28"/>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Now for scenario 3 vs. the no-eflow baseline: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3-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Here a similar plot of</w:t>
      </w:r>
      <w:r>
        <w:t xml:space="preserve"> </w:t>
      </w:r>
      <w:r>
        <w:rPr>
          <w:rStyle w:val="VerbatimChar"/>
        </w:rPr>
        <w:t xml:space="preserve">Crop_water_gap_difference</w:t>
      </w:r>
      <w:r>
        <w:t xml:space="preserve"> </w:t>
      </w:r>
      <w:r>
        <w:t xml:space="preserve">to show the crop water gap over time.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1"/>
                    <a:stretch>
                      <a:fillRect/>
                    </a:stretch>
                  </pic:blipFill>
                  <pic:spPr bwMode="auto">
                    <a:xfrm>
                      <a:off x="0" y="0"/>
                      <a:ext cx="5334000" cy="3733800"/>
                    </a:xfrm>
                    <a:prstGeom prst="rect">
                      <a:avLst/>
                    </a:prstGeom>
                    <a:noFill/>
                    <a:ln w="9525">
                      <a:noFill/>
                      <a:headEnd/>
                      <a:tailEnd/>
                    </a:ln>
                  </pic:spPr>
                </pic:pic>
              </a:graphicData>
            </a:graphic>
          </wp:inline>
        </w:drawing>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cropwater_gap_2-1.png" id="0" name="Picture"/>
                    <pic:cNvPicPr>
                      <a:picLocks noChangeArrowheads="1" noChangeAspect="1"/>
                    </pic:cNvPicPr>
                  </pic:nvPicPr>
                  <pic:blipFill>
                    <a:blip r:embed="rId32"/>
                    <a:stretch>
                      <a:fillRect/>
                    </a:stretch>
                  </pic:blipFill>
                  <pic:spPr bwMode="auto">
                    <a:xfrm>
                      <a:off x="0" y="0"/>
                      <a:ext cx="5334000" cy="3733800"/>
                    </a:xfrm>
                    <a:prstGeom prst="rect">
                      <a:avLst/>
                    </a:prstGeom>
                    <a:noFill/>
                    <a:ln w="9525">
                      <a:noFill/>
                      <a:headEnd/>
                      <a:tailEnd/>
                    </a:ln>
                  </pic:spPr>
                </pic:pic>
              </a:graphicData>
            </a:graphic>
          </wp:inline>
        </w:drawing>
      </w:r>
    </w:p>
    <w:bookmarkEnd w:id="33"/>
    <w:bookmarkStart w:id="37"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d>
          <m:dPr>
            <m:begChr m:val="("/>
            <m:endChr m:val=")"/>
            <m:sepChr m:val=""/>
            <m:grow/>
          </m:dPr>
          <m:e>
            <m:r>
              <m:t>W</m:t>
            </m:r>
            <m:r>
              <m:t>a</m:t>
            </m:r>
          </m:e>
        </m:d>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d>
          <m:dPr>
            <m:begChr m:val="("/>
            <m:endChr m:val=")"/>
            <m:sepChr m:val=""/>
            <m:grow/>
          </m:dPr>
          <m:e>
            <m:f>
              <m:fPr>
                <m:type m:val="bar"/>
              </m:fPr>
              <m:num>
                <m:d>
                  <m:dPr>
                    <m:begChr m:val="["/>
                    <m:endChr m:val="]"/>
                    <m:sepChr m:val=""/>
                    <m:grow/>
                  </m:dPr>
                  <m:e>
                    <m:nary>
                      <m:naryPr>
                        <m:chr m:val="∑"/>
                        <m:limLoc m:val="undOvr"/>
                        <m:subHide m:val="0"/>
                        <m:supHide m:val="0"/>
                      </m:naryPr>
                      <m:sub>
                        <m:r>
                          <m:t>a</m:t>
                        </m:r>
                        <m:r>
                          <m:rPr>
                            <m:sty m:val="p"/>
                          </m:rPr>
                          <m:t>=</m:t>
                        </m:r>
                        <m:r>
                          <m:t>1</m:t>
                        </m:r>
                      </m:sub>
                      <m:sup>
                        <m:r>
                          <m:t>A</m:t>
                        </m:r>
                      </m:sup>
                      <m:e>
                        <m:d>
                          <m:dPr>
                            <m:begChr m:val="("/>
                            <m:endChr m:val=")"/>
                            <m:sepChr m:val=""/>
                            <m:grow/>
                          </m:dPr>
                          <m:e>
                            <m:sSubSup>
                              <m:e>
                                <m:r>
                                  <m:t>W</m:t>
                                </m:r>
                              </m:e>
                              <m:sub>
                                <m:r>
                                  <m:t>a</m:t>
                                </m:r>
                              </m:sub>
                              <m:sup>
                                <m:r>
                                  <m:t>2</m:t>
                                </m:r>
                              </m:sup>
                            </m:sSubSup>
                            <m:r>
                              <m:rPr>
                                <m:sty m:val="p"/>
                              </m:rPr>
                              <m:t>×</m:t>
                            </m:r>
                            <m:r>
                              <m:t>S</m:t>
                            </m:r>
                            <m:r>
                              <m:t>S</m:t>
                            </m:r>
                            <m:sSub>
                              <m:e>
                                <m:r>
                                  <m:t>Y</m:t>
                                </m:r>
                              </m:e>
                              <m:sub>
                                <m:r>
                                  <m:t>c</m:t>
                                </m:r>
                                <m:r>
                                  <m:t>o</m:t>
                                </m:r>
                                <m:r>
                                  <m:t>m</m:t>
                                </m:r>
                                <m:r>
                                  <m:t>p</m:t>
                                </m:r>
                                <m:r>
                                  <m:rPr>
                                    <m:sty m:val="p"/>
                                  </m:rPr>
                                  <m:t>,</m:t>
                                </m:r>
                                <m:r>
                                  <m:t>a</m:t>
                                </m:r>
                              </m:sub>
                            </m:sSub>
                          </m:e>
                        </m:d>
                      </m:e>
                    </m:nary>
                  </m:e>
                </m:d>
              </m:num>
              <m:den>
                <m:r>
                  <m:t>S</m:t>
                </m:r>
                <m:r>
                  <m:t>S</m:t>
                </m:r>
                <m:sSub>
                  <m:e>
                    <m:r>
                      <m:t>Y</m:t>
                    </m:r>
                  </m:e>
                  <m:sub>
                    <m:r>
                      <m:t>c</m:t>
                    </m:r>
                    <m:r>
                      <m:t>u</m:t>
                    </m:r>
                    <m:r>
                      <m:t>m</m:t>
                    </m:r>
                  </m:sub>
                </m:sSub>
              </m:den>
            </m:f>
          </m:e>
        </m:d>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 We use the code</w:t>
      </w:r>
      <w:r>
        <w:t xml:space="preserve"> </w:t>
      </w:r>
      <w:r>
        <w:rPr>
          <w:rStyle w:val="VerbatimChar"/>
        </w:rPr>
        <w:t xml:space="preserve">names(mcSimulation_results$y)[73]</w:t>
      </w:r>
      <w:r>
        <w:t xml:space="preserve"> </w:t>
      </w:r>
      <w:r>
        <w:t xml:space="preserve">to select the outcome variable scen1_crop_water_gap1, which is an element of the list</w:t>
      </w:r>
      <w:r>
        <w:t xml:space="preserve"> </w:t>
      </w:r>
      <w:r>
        <w:rPr>
          <w:rStyle w:val="VerbatimChar"/>
        </w:rPr>
        <w:t xml:space="preserve">y</w:t>
      </w:r>
      <w:r>
        <w:t xml:space="preserve"> </w:t>
      </w:r>
      <w:r>
        <w:t xml:space="preserve">in our</w:t>
      </w:r>
      <w:r>
        <w:t xml:space="preserve"> </w:t>
      </w:r>
      <w:r>
        <w:rPr>
          <w:rStyle w:val="VerbatimChar"/>
        </w:rPr>
        <w:t xml:space="preserve">mcSimulation_results</w:t>
      </w:r>
      <w:r>
        <w:t xml:space="preserve"> </w:t>
      </w:r>
      <w:r>
        <w:t xml:space="preserve">outputs (this must be a character element).</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overall plot only shows those variables with a VIP &gt; 0.8, which is the common threshold for variable selection</w:t>
      </w:r>
      <w:r>
        <w:t xml:space="preserve"> </w:t>
      </w:r>
      <w:r>
        <w:t xml:space="preserve">Luedeling and Shepherd (2016)</w:t>
      </w:r>
      <w:r>
        <w:t xml:space="preserve">.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Here’s the plot for a PLS analysis for the outcome variable Mean_Crop_water_gap_difference_2_vs_1:</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rPr>
          <w:rStyle w:val="FunctionTok"/>
        </w:rPr>
        <w:t xml:space="preserve">plot_pls</w:t>
      </w:r>
      <w:r>
        <w:rPr>
          <w:rStyle w:val="NormalTok"/>
        </w:rPr>
        <w:t xml:space="preserve">(pls_result, </w:t>
      </w:r>
      <w:r>
        <w:rPr>
          <w:rStyle w:val="AttributeTok"/>
        </w:rPr>
        <w:t xml:space="preserve">input_table =</w:t>
      </w:r>
      <w:r>
        <w:rPr>
          <w:rStyle w:val="NormalTok"/>
        </w:rPr>
        <w:t xml:space="preserve"> input_table, </w:t>
      </w:r>
      <w:r>
        <w:rPr>
          <w:rStyle w:val="AttributeTok"/>
        </w:rPr>
        <w:t xml:space="preserve">threshold =</w:t>
      </w:r>
      <w:r>
        <w:rPr>
          <w:rStyle w:val="NormalTok"/>
        </w:rPr>
        <w:t xml:space="preserve"> </w:t>
      </w:r>
      <w:r>
        <w:rPr>
          <w:rStyle w:val="FloatTok"/>
        </w:rPr>
        <w:t xml:space="preserve">0.5</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7-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Here’s the plot for a PLS analysis for the outcome variable Mean_Crop_water_gap_difference_3_vs_1:</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rPr>
          <w:rStyle w:val="NormalTok"/>
        </w:rPr>
        <w:t xml:space="preserve">pls_result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FunctionTok"/>
        </w:rPr>
        <w:t xml:space="preserve">plot_pls</w:t>
      </w:r>
      <w:r>
        <w:rPr>
          <w:rStyle w:val="NormalTok"/>
        </w:rPr>
        <w:t xml:space="preserve">(pls_result, </w:t>
      </w:r>
      <w:r>
        <w:rPr>
          <w:rStyle w:val="AttributeTok"/>
        </w:rPr>
        <w:t xml:space="preserve">input_table =</w:t>
      </w:r>
      <w:r>
        <w:rPr>
          <w:rStyle w:val="NormalTok"/>
        </w:rPr>
        <w:t xml:space="preserve"> input_table, </w:t>
      </w:r>
      <w:r>
        <w:rPr>
          <w:rStyle w:val="AttributeTok"/>
        </w:rPr>
        <w:t xml:space="preserve">threshold =</w:t>
      </w:r>
      <w:r>
        <w:rPr>
          <w:rStyle w:val="NormalTok"/>
        </w:rPr>
        <w:t xml:space="preserve"> </w:t>
      </w:r>
      <w:r>
        <w:rPr>
          <w:rStyle w:val="FloatTok"/>
        </w:rPr>
        <w:t xml:space="preserve">0.5</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8-1.png" id="0" name="Picture"/>
                    <pic:cNvPicPr>
                      <a:picLocks noChangeArrowheads="1" noChangeAspect="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bookmarkEnd w:id="37"/>
    <w:bookmarkEnd w:id="38"/>
    <w:bookmarkStart w:id="40"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9">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40"/>
    <w:bookmarkStart w:id="75" w:name="references"/>
    <w:p>
      <w:pPr>
        <w:pStyle w:val="Heading3"/>
      </w:pPr>
      <w:r>
        <w:t xml:space="preserve">References</w:t>
      </w:r>
    </w:p>
    <w:bookmarkStart w:id="74" w:name="refs"/>
    <w:bookmarkStart w:id="42"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41">
        <w:r>
          <w:rPr>
            <w:rStyle w:val="Hyperlink"/>
          </w:rPr>
          <w:t xml:space="preserve">https://doi.org/10.1007/s13593-020-00624-5</w:t>
        </w:r>
      </w:hyperlink>
      <w:r>
        <w:t xml:space="preserve">.</w:t>
      </w:r>
    </w:p>
    <w:bookmarkEnd w:id="42"/>
    <w:bookmarkStart w:id="44"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3">
        <w:r>
          <w:rPr>
            <w:rStyle w:val="Hyperlink"/>
          </w:rPr>
          <w:t xml:space="preserve">https://doi.org/10.1002/cem.2627</w:t>
        </w:r>
      </w:hyperlink>
      <w:r>
        <w:t xml:space="preserve">.</w:t>
      </w:r>
    </w:p>
    <w:bookmarkEnd w:id="44"/>
    <w:bookmarkStart w:id="46"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5">
        <w:r>
          <w:rPr>
            <w:rStyle w:val="Hyperlink"/>
          </w:rPr>
          <w:t xml:space="preserve">https://CRAN.R-project.org/package=Evapotranspiration</w:t>
        </w:r>
      </w:hyperlink>
      <w:r>
        <w:t xml:space="preserve">.</w:t>
      </w:r>
    </w:p>
    <w:bookmarkEnd w:id="46"/>
    <w:bookmarkStart w:id="48"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7">
        <w:r>
          <w:rPr>
            <w:rStyle w:val="Hyperlink"/>
          </w:rPr>
          <w:t xml:space="preserve">https://doi.org/10.1016/j.envsoft.2019.01.016</w:t>
        </w:r>
      </w:hyperlink>
      <w:r>
        <w:t xml:space="preserve">.</w:t>
      </w:r>
    </w:p>
    <w:bookmarkEnd w:id="48"/>
    <w:bookmarkStart w:id="50"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9">
        <w:r>
          <w:rPr>
            <w:rStyle w:val="Hyperlink"/>
          </w:rPr>
          <w:t xml:space="preserve">http://www.worldagroforestry.org/</w:t>
        </w:r>
      </w:hyperlink>
      <w:r>
        <w:t xml:space="preserve">.</w:t>
      </w:r>
    </w:p>
    <w:bookmarkEnd w:id="50"/>
    <w:bookmarkStart w:id="52" w:name="ref-luedeling_decision-focused_2016"/>
    <w:p>
      <w:pPr>
        <w:pStyle w:val="Bibliography"/>
      </w:pPr>
      <w:r>
        <w:t xml:space="preserve">Luedeling, Eike, and Keith Shepherd. 2016.</w:t>
      </w:r>
      <w:r>
        <w:t xml:space="preserve"> </w:t>
      </w:r>
      <w:r>
        <w:t xml:space="preserve">“Decision-</w:t>
      </w:r>
      <w:r>
        <w:t xml:space="preserve">Focused</w:t>
      </w:r>
      <w:r>
        <w:t xml:space="preserve"> </w:t>
      </w:r>
      <w:r>
        <w:t xml:space="preserve">Agricultural</w:t>
      </w:r>
      <w:r>
        <w:t xml:space="preserve"> </w:t>
      </w:r>
      <w:r>
        <w:t xml:space="preserve">Research</w:t>
      </w:r>
      <w:r>
        <w:t xml:space="preserve">.”</w:t>
      </w:r>
      <w:r>
        <w:t xml:space="preserve"> </w:t>
      </w:r>
      <w:r>
        <w:rPr>
          <w:iCs/>
          <w:i/>
        </w:rPr>
        <w:t xml:space="preserve">Solutions</w:t>
      </w:r>
      <w:r>
        <w:t xml:space="preserve"> </w:t>
      </w:r>
      <w:r>
        <w:t xml:space="preserve">7 (5): 46–54. https://doi.org/</w:t>
      </w:r>
      <w:hyperlink r:id="rId51">
        <w:r>
          <w:rPr>
            <w:rStyle w:val="Hyperlink"/>
          </w:rPr>
          <w:t xml:space="preserve">https://www.thesolutionsjournal.com/article/decision-focused-agricultural-research/</w:t>
        </w:r>
      </w:hyperlink>
      <w:r>
        <w:t xml:space="preserve">.</w:t>
      </w:r>
    </w:p>
    <w:bookmarkEnd w:id="52"/>
    <w:bookmarkStart w:id="54"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3">
        <w:r>
          <w:rPr>
            <w:rStyle w:val="Hyperlink"/>
          </w:rPr>
          <w:t xml:space="preserve">https://CRAN.R-project.org/package=patchwork</w:t>
        </w:r>
      </w:hyperlink>
      <w:r>
        <w:t xml:space="preserve">.</w:t>
      </w:r>
    </w:p>
    <w:bookmarkEnd w:id="54"/>
    <w:bookmarkStart w:id="56"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5">
        <w:r>
          <w:rPr>
            <w:rStyle w:val="Hyperlink"/>
          </w:rPr>
          <w:t xml:space="preserve">https://www.R-project.org/</w:t>
        </w:r>
      </w:hyperlink>
      <w:r>
        <w:t xml:space="preserve">.</w:t>
      </w:r>
    </w:p>
    <w:bookmarkEnd w:id="56"/>
    <w:bookmarkStart w:id="58"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7">
        <w:r>
          <w:rPr>
            <w:rStyle w:val="Hyperlink"/>
          </w:rPr>
          <w:t xml:space="preserve">https://docs.ropensci.org/nasapower/</w:t>
        </w:r>
      </w:hyperlink>
      <w:r>
        <w:t xml:space="preserve">.</w:t>
      </w:r>
    </w:p>
    <w:bookmarkEnd w:id="58"/>
    <w:bookmarkStart w:id="60"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9">
        <w:r>
          <w:rPr>
            <w:rStyle w:val="Hyperlink"/>
          </w:rPr>
          <w:t xml:space="preserve">https://doi.org/10.1002/2017EF000765/full</w:t>
        </w:r>
      </w:hyperlink>
      <w:r>
        <w:t xml:space="preserve">.</w:t>
      </w:r>
    </w:p>
    <w:bookmarkEnd w:id="60"/>
    <w:bookmarkStart w:id="61"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61"/>
    <w:bookmarkStart w:id="63"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62">
        <w:r>
          <w:rPr>
            <w:rStyle w:val="Hyperlink"/>
          </w:rPr>
          <w:t xml:space="preserve">https://CRAN.R-project.org/package=plyr</w:t>
        </w:r>
      </w:hyperlink>
      <w:r>
        <w:t xml:space="preserve">.</w:t>
      </w:r>
    </w:p>
    <w:bookmarkEnd w:id="63"/>
    <w:bookmarkStart w:id="65"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4">
        <w:r>
          <w:rPr>
            <w:rStyle w:val="Hyperlink"/>
          </w:rPr>
          <w:t xml:space="preserve">https://CRAN.R-project.org/package=tidyverse</w:t>
        </w:r>
      </w:hyperlink>
      <w:r>
        <w:t xml:space="preserve">.</w:t>
      </w:r>
    </w:p>
    <w:bookmarkEnd w:id="65"/>
    <w:bookmarkStart w:id="67"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6">
        <w:r>
          <w:rPr>
            <w:rStyle w:val="Hyperlink"/>
          </w:rPr>
          <w:t xml:space="preserve">https://doi.org/10.21105/joss.01686</w:t>
        </w:r>
      </w:hyperlink>
      <w:r>
        <w:t xml:space="preserve">.</w:t>
      </w:r>
    </w:p>
    <w:bookmarkEnd w:id="67"/>
    <w:bookmarkStart w:id="69"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8">
        <w:r>
          <w:rPr>
            <w:rStyle w:val="Hyperlink"/>
          </w:rPr>
          <w:t xml:space="preserve">https://CRAN.R-project.org/package=ggplot2</w:t>
        </w:r>
      </w:hyperlink>
      <w:r>
        <w:t xml:space="preserve">.</w:t>
      </w:r>
    </w:p>
    <w:bookmarkEnd w:id="69"/>
    <w:bookmarkStart w:id="71"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70">
        <w:r>
          <w:rPr>
            <w:rStyle w:val="Hyperlink"/>
          </w:rPr>
          <w:t xml:space="preserve">https://CRAN.R-project.org/package=dplyr</w:t>
        </w:r>
      </w:hyperlink>
      <w:r>
        <w:t xml:space="preserve">.</w:t>
      </w:r>
    </w:p>
    <w:bookmarkEnd w:id="71"/>
    <w:bookmarkStart w:id="73"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72">
        <w:r>
          <w:rPr>
            <w:rStyle w:val="Hyperlink"/>
          </w:rPr>
          <w:t xml:space="preserve">https://doi.org/10.1016/S0169-7439(01)00155-1</w:t>
        </w:r>
      </w:hyperlink>
      <w:r>
        <w:t xml:space="preserve">.</w:t>
      </w:r>
    </w:p>
    <w:bookmarkEnd w:id="73"/>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34" Target="http://users.cecs.anu.edu.au/~kee/pls.pdf" TargetMode="External" /><Relationship Type="http://schemas.openxmlformats.org/officeDocument/2006/relationships/hyperlink" Id="rId49" Target="http://www.worldagroforestry.org/" TargetMode="External" /><Relationship Type="http://schemas.openxmlformats.org/officeDocument/2006/relationships/hyperlink" Id="rId45" Target="https://CRAN.R-project.org/package=Evapotranspiration" TargetMode="External" /><Relationship Type="http://schemas.openxmlformats.org/officeDocument/2006/relationships/hyperlink" Id="rId70" Target="https://CRAN.R-project.org/package=dplyr" TargetMode="External" /><Relationship Type="http://schemas.openxmlformats.org/officeDocument/2006/relationships/hyperlink" Id="rId68" Target="https://CRAN.R-project.org/package=ggplot2" TargetMode="External" /><Relationship Type="http://schemas.openxmlformats.org/officeDocument/2006/relationships/hyperlink" Id="rId53" Target="https://CRAN.R-project.org/package=patchwork" TargetMode="External" /><Relationship Type="http://schemas.openxmlformats.org/officeDocument/2006/relationships/hyperlink" Id="rId62" Target="https://CRAN.R-project.org/package=plyr" TargetMode="External" /><Relationship Type="http://schemas.openxmlformats.org/officeDocument/2006/relationships/hyperlink" Id="rId64" Target="https://CRAN.R-project.org/package=tidyverse" TargetMode="External" /><Relationship Type="http://schemas.openxmlformats.org/officeDocument/2006/relationships/hyperlink" Id="rId39" Target="https://cran.r-project.org/web/packages/decisionSupport/decisionSupport.pdf" TargetMode="External" /><Relationship Type="http://schemas.openxmlformats.org/officeDocument/2006/relationships/hyperlink" Id="rId57" Target="https://docs.ropensci.org/nasapower/" TargetMode="External" /><Relationship Type="http://schemas.openxmlformats.org/officeDocument/2006/relationships/hyperlink" Id="rId59" Target="https://doi.org/10.1002/2017EF000765/full" TargetMode="External" /><Relationship Type="http://schemas.openxmlformats.org/officeDocument/2006/relationships/hyperlink" Id="rId43" Target="https://doi.org/10.1002/cem.2627" TargetMode="External" /><Relationship Type="http://schemas.openxmlformats.org/officeDocument/2006/relationships/hyperlink" Id="rId41" Target="https://doi.org/10.1007/s13593-020-00624-5" TargetMode="External" /><Relationship Type="http://schemas.openxmlformats.org/officeDocument/2006/relationships/hyperlink" Id="rId72" Target="https://doi.org/10.1016/S0169-7439(01)00155-1" TargetMode="External" /><Relationship Type="http://schemas.openxmlformats.org/officeDocument/2006/relationships/hyperlink" Id="rId47" Target="https://doi.org/10.1016/j.envsoft.2019.01.016" TargetMode="External" /><Relationship Type="http://schemas.openxmlformats.org/officeDocument/2006/relationships/hyperlink" Id="rId66" Target="https://doi.org/10.21105/joss.01686" TargetMode="External" /><Relationship Type="http://schemas.openxmlformats.org/officeDocument/2006/relationships/hyperlink" Id="rId55" Target="https://www.R-project.org/" TargetMode="External" /><Relationship Type="http://schemas.openxmlformats.org/officeDocument/2006/relationships/hyperlink" Id="rId22" Target="https://www.r-project.org/" TargetMode="External" /><Relationship Type="http://schemas.openxmlformats.org/officeDocument/2006/relationships/hyperlink" Id="rId51" Target="https://www.thesolutionsjournal.com/article/decision-focused-agricultural-research/" TargetMode="External" /></Relationships>
</file>

<file path=word/_rels/footnotes.xml.rels><?xml version="1.0" encoding="UTF-8"?><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9" Target="http://www.worldagroforestry.org/" TargetMode="External" /><Relationship Type="http://schemas.openxmlformats.org/officeDocument/2006/relationships/hyperlink" Id="rId45" Target="https://CRAN.R-project.org/package=Evapotranspiration" TargetMode="External" /><Relationship Type="http://schemas.openxmlformats.org/officeDocument/2006/relationships/hyperlink" Id="rId70" Target="https://CRAN.R-project.org/package=dplyr" TargetMode="External" /><Relationship Type="http://schemas.openxmlformats.org/officeDocument/2006/relationships/hyperlink" Id="rId68" Target="https://CRAN.R-project.org/package=ggplot2" TargetMode="External" /><Relationship Type="http://schemas.openxmlformats.org/officeDocument/2006/relationships/hyperlink" Id="rId53" Target="https://CRAN.R-project.org/package=patchwork" TargetMode="External" /><Relationship Type="http://schemas.openxmlformats.org/officeDocument/2006/relationships/hyperlink" Id="rId62" Target="https://CRAN.R-project.org/package=plyr" TargetMode="External" /><Relationship Type="http://schemas.openxmlformats.org/officeDocument/2006/relationships/hyperlink" Id="rId64" Target="https://CRAN.R-project.org/package=tidyverse" TargetMode="External" /><Relationship Type="http://schemas.openxmlformats.org/officeDocument/2006/relationships/hyperlink" Id="rId39" Target="https://cran.r-project.org/web/packages/decisionSupport/decisionSupport.pdf" TargetMode="External" /><Relationship Type="http://schemas.openxmlformats.org/officeDocument/2006/relationships/hyperlink" Id="rId57" Target="https://docs.ropensci.org/nasapower/" TargetMode="External" /><Relationship Type="http://schemas.openxmlformats.org/officeDocument/2006/relationships/hyperlink" Id="rId59" Target="https://doi.org/10.1002/2017EF000765/full" TargetMode="External" /><Relationship Type="http://schemas.openxmlformats.org/officeDocument/2006/relationships/hyperlink" Id="rId43" Target="https://doi.org/10.1002/cem.2627" TargetMode="External" /><Relationship Type="http://schemas.openxmlformats.org/officeDocument/2006/relationships/hyperlink" Id="rId41" Target="https://doi.org/10.1007/s13593-020-00624-5" TargetMode="External" /><Relationship Type="http://schemas.openxmlformats.org/officeDocument/2006/relationships/hyperlink" Id="rId72" Target="https://doi.org/10.1016/S0169-7439(01)00155-1" TargetMode="External" /><Relationship Type="http://schemas.openxmlformats.org/officeDocument/2006/relationships/hyperlink" Id="rId47" Target="https://doi.org/10.1016/j.envsoft.2019.01.016" TargetMode="External" /><Relationship Type="http://schemas.openxmlformats.org/officeDocument/2006/relationships/hyperlink" Id="rId66" Target="https://doi.org/10.21105/joss.01686" TargetMode="External" /><Relationship Type="http://schemas.openxmlformats.org/officeDocument/2006/relationships/hyperlink" Id="rId55" Target="https://www.R-project.org/" TargetMode="External" /><Relationship Type="http://schemas.openxmlformats.org/officeDocument/2006/relationships/hyperlink" Id="rId22" Target="https://www.r-project.org/" TargetMode="External" /><Relationship Type="http://schemas.openxmlformats.org/officeDocument/2006/relationships/hyperlink" Id="rId51" Target="https://www.thesolutionsjournal.com/article/decision-focused-agricultural-resear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Generating and calculating causal models for Limpopo</dc:title>
  <dc:creator>Eike Luedeling, Cory Whitney</dc:creator>
  <cp:keywords/>
  <dcterms:created xsi:type="dcterms:W3CDTF">2021-12-06T13:29:08Z</dcterms:created>
  <dcterms:modified xsi:type="dcterms:W3CDTF">2021-12-06T13:29:08Z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word_document</vt:lpwstr>
  </property>
</Properties>
</file>