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w:t>
      </w:r>
      <w:r>
        <w:t xml:space="preserve"> </w:t>
      </w:r>
      <w:r>
        <w:t xml:space="preserve">garden</w:t>
      </w:r>
      <w:r>
        <w:t xml:space="preserve"> </w:t>
      </w:r>
      <w:r>
        <w:t xml:space="preserve">decision</w:t>
      </w:r>
      <w:r>
        <w:t xml:space="preserve"> </w:t>
      </w:r>
      <w:r>
        <w:t xml:space="preserve">model:</w:t>
      </w:r>
      <w:r>
        <w:t xml:space="preserve"> </w:t>
      </w:r>
      <w:r>
        <w:t xml:space="preserve">differences</w:t>
      </w:r>
      <w:r>
        <w:t xml:space="preserve"> </w:t>
      </w:r>
      <w:r>
        <w:t xml:space="preserve">between</w:t>
      </w:r>
      <w:r>
        <w:t xml:space="preserve"> </w:t>
      </w:r>
      <w:r>
        <w:t xml:space="preserve">the</w:t>
      </w:r>
      <w:r>
        <w:t xml:space="preserve"> </w:t>
      </w:r>
      <w:r>
        <w:t xml:space="preserve">published</w:t>
      </w:r>
      <w:r>
        <w:t xml:space="preserve"> </w:t>
      </w:r>
      <w:r>
        <w:t xml:space="preserve">analysis</w:t>
      </w:r>
      <w:r>
        <w:t xml:space="preserve"> </w:t>
      </w:r>
      <w:r>
        <w:t xml:space="preserve">and</w:t>
      </w:r>
      <w:r>
        <w:t xml:space="preserve"> </w:t>
      </w:r>
      <w:r>
        <w:t xml:space="preserve">a</w:t>
      </w:r>
      <w:r>
        <w:t xml:space="preserve"> </w:t>
      </w:r>
      <w:r>
        <w:t xml:space="preserve">corrected</w:t>
      </w:r>
      <w:r>
        <w:t xml:space="preserve"> </w:t>
      </w:r>
      <w:r>
        <w:t xml:space="preserve">version</w:t>
      </w:r>
    </w:p>
    <w:p>
      <w:pPr>
        <w:pStyle w:val="Subtitle"/>
      </w:pPr>
      <w:r>
        <w:t xml:space="preserve">Draft</w:t>
      </w:r>
      <w:r>
        <w:t xml:space="preserve"> </w:t>
      </w:r>
      <w:r>
        <w:t xml:space="preserve">for</w:t>
      </w:r>
      <w:r>
        <w:t xml:space="preserve"> </w:t>
      </w:r>
      <w:r>
        <w:t xml:space="preserve">discussion</w:t>
      </w:r>
      <w:r>
        <w:t xml:space="preserve"> </w:t>
      </w:r>
      <w:r>
        <w:t xml:space="preserve">among</w:t>
      </w:r>
      <w:r>
        <w:t xml:space="preserve"> </w:t>
      </w:r>
      <w:r>
        <w:t xml:space="preserve">the</w:t>
      </w:r>
      <w:r>
        <w:t xml:space="preserve"> </w:t>
      </w:r>
      <w:r>
        <w:t xml:space="preserve">co-authors</w:t>
      </w:r>
    </w:p>
    <w:p>
      <w:pPr>
        <w:pStyle w:val="Date"/>
      </w:pPr>
      <w:r>
        <w:t xml:space="preserve">27</w:t>
      </w:r>
      <w:r>
        <w:t xml:space="preserve"> </w:t>
      </w:r>
      <w:r>
        <w:t xml:space="preserve">October</w:t>
      </w:r>
      <w:r>
        <w:t xml:space="preserve"> </w:t>
      </w:r>
      <w:r>
        <w:t xml:space="preserve">2026</w:t>
      </w:r>
    </w:p>
    <w:p>
      <w:pPr>
        <w:pStyle w:val="FirstParagraph"/>
      </w:pPr>
      <w:r>
        <w:rPr>
          <w:bCs/>
          <w:b/>
        </w:rPr>
        <w:t xml:space="preserve">Manuscript.</w:t>
      </w:r>
      <w:r>
        <w:t xml:space="preserve"> </w:t>
      </w:r>
      <w:r>
        <w:t xml:space="preserve">Whitney, C., Luu, T. T. G., Kopton, J. &amp; Luedeling, E. (2026) A decision-analysis framework for school garden investments in Vietnam: evaluating trade-offs for nutrition, biodiversity, and economic outcomes.</w:t>
      </w:r>
      <w:r>
        <w:t xml:space="preserve"> </w:t>
      </w:r>
      <w:r>
        <w:rPr>
          <w:iCs/>
          <w:i/>
        </w:rPr>
        <w:t xml:space="preserve">Humanities and Social Sciences Communications</w:t>
      </w:r>
      <w:r>
        <w:t xml:space="preserve"> </w:t>
      </w:r>
      <w:r>
        <w:t xml:space="preserve">13(1), 580.</w:t>
      </w:r>
      <w:r>
        <w:t xml:space="preserve"> </w:t>
      </w:r>
      <w:hyperlink r:id="rId20">
        <w:r>
          <w:rPr>
            <w:rStyle w:val="Hyperlink"/>
          </w:rPr>
          <w:t xml:space="preserve">https://doi.org/10.1057/s41599-026-07204-0</w:t>
        </w:r>
      </w:hyperlink>
      <w:r>
        <w:t xml:space="preserve"> </w:t>
      </w:r>
      <w:r>
        <w:t xml:space="preserve">(bibliographic details checked against Crossref, 2026-10-18).</w:t>
      </w:r>
    </w:p>
    <w:p>
      <w:pPr>
        <w:pStyle w:val="BodyText"/>
      </w:pPr>
      <w:r>
        <w:rPr>
          <w:bCs/>
          <w:b/>
        </w:rPr>
        <w:t xml:space="preserve">Code.</w:t>
      </w:r>
      <w:r>
        <w:t xml:space="preserve"> </w:t>
      </w:r>
      <w:hyperlink r:id="rId21">
        <w:r>
          <w:rPr>
            <w:rStyle w:val="Hyperlink"/>
          </w:rPr>
          <w:t xml:space="preserve">https://github.com/CWWhitney/nifam_codas_school_garden</w:t>
        </w:r>
      </w:hyperlink>
      <w:r>
        <w:t xml:space="preserve"> </w:t>
      </w:r>
      <w:r>
        <w:t xml:space="preserve">(</w:t>
      </w:r>
      <w:r>
        <w:rPr>
          <w:rStyle w:val="VerbatimChar"/>
        </w:rPr>
        <w:t xml:space="preserve">Garden_Model.R</w:t>
      </w:r>
      <w:r>
        <w:t xml:space="preserve">, commit 8fa2272); archived on Zenodo, 10.5281/zenodo.17171829 (v1.0.0, as cited in the manuscript).</w:t>
      </w:r>
    </w:p>
    <w:bookmarkStart w:id="22" w:name="summary"/>
    <w:p>
      <w:pPr>
        <w:pStyle w:val="Heading1"/>
      </w:pPr>
      <w:r>
        <w:t xml:space="preserve">1. Summary</w:t>
      </w:r>
    </w:p>
    <w:p>
      <w:pPr>
        <w:pStyle w:val="FirstParagraph"/>
      </w:pPr>
      <w:r>
        <w:t xml:space="preserve">While re-using the model for a value-of-information analysis we found three coding defects in</w:t>
      </w:r>
      <w:r>
        <w:t xml:space="preserve"> </w:t>
      </w:r>
      <w:r>
        <w:rPr>
          <w:rStyle w:val="VerbatimChar"/>
        </w:rPr>
        <w:t xml:space="preserve">Garden_Model.R</w:t>
      </w:r>
      <w:r>
        <w:t xml:space="preserve">. Running the published code reproduces the numbers in the manuscript, so the manuscript reflects the code as it stands. Correcting the defects changes the results substantially, but not the main ranking of options:</w:t>
      </w:r>
    </w:p>
    <w:p>
      <w:pPr>
        <w:numPr>
          <w:ilvl w:val="0"/>
          <w:numId w:val="1001"/>
        </w:numPr>
        <w:pStyle w:val="Compact"/>
      </w:pPr>
      <w:r>
        <w:t xml:space="preserve">A passive garden still beats a STEM garden, and both still beat the no-garden use of the land, on average (private passive garden: mean NPV 1,639 → 1,417 million VND).</w:t>
      </w:r>
    </w:p>
    <w:p>
      <w:pPr>
        <w:numPr>
          <w:ilvl w:val="0"/>
          <w:numId w:val="1001"/>
        </w:numPr>
        <w:pStyle w:val="Compact"/>
      </w:pPr>
      <w:r>
        <w:t xml:space="preserve">Mean NPVs fall by 14% to 73% across the four decision options (public school STEM garden: 407 → 111, close to zero).</w:t>
      </w:r>
    </w:p>
    <w:p>
      <w:pPr>
        <w:numPr>
          <w:ilvl w:val="0"/>
          <w:numId w:val="1001"/>
        </w:numPr>
        <w:pStyle w:val="Compact"/>
      </w:pPr>
      <w:r>
        <w:t xml:space="preserve">For public schools the</w:t>
      </w:r>
      <w:r>
        <w:t xml:space="preserve"> </w:t>
      </w:r>
      <w:r>
        <w:rPr>
          <w:bCs/>
          <w:b/>
        </w:rPr>
        <w:t xml:space="preserve">median</w:t>
      </w:r>
      <w:r>
        <w:t xml:space="preserve"> </w:t>
      </w:r>
      <w:r>
        <w:t xml:space="preserve">NPV of the passive garden changes sign (516 → -165) and the probability of a positive NPV falls from 0.61 to 0.46. This is the conclusion most affected.</w:t>
      </w:r>
    </w:p>
    <w:p>
      <w:pPr>
        <w:numPr>
          <w:ilvl w:val="0"/>
          <w:numId w:val="1001"/>
        </w:numPr>
        <w:pStyle w:val="Compact"/>
      </w:pPr>
      <w:r>
        <w:t xml:space="preserve">The Pareto picture changes: garden size now trades economic return against biodiversity, so the manuscript’s</w:t>
      </w:r>
      <w:r>
        <w:t xml:space="preserve"> </w:t>
      </w:r>
      <w:r>
        <w:t xml:space="preserve">“</w:t>
      </w:r>
      <w:r>
        <w:t xml:space="preserve">largest garden is optimal</w:t>
      </w:r>
      <w:r>
        <w:t xml:space="preserve">”</w:t>
      </w:r>
      <w:r>
        <w:t xml:space="preserve"> </w:t>
      </w:r>
      <w:r>
        <w:t xml:space="preserve">no longer holds.</w:t>
      </w:r>
    </w:p>
    <w:p>
      <w:pPr>
        <w:numPr>
          <w:ilvl w:val="0"/>
          <w:numId w:val="1001"/>
        </w:numPr>
        <w:pStyle w:val="Compact"/>
      </w:pPr>
      <w:r>
        <w:t xml:space="preserve">The stand-alone health and biodiversity results are</w:t>
      </w:r>
      <w:r>
        <w:t xml:space="preserve"> </w:t>
      </w:r>
      <w:r>
        <w:rPr>
          <w:bCs/>
          <w:b/>
        </w:rPr>
        <w:t xml:space="preserve">not</w:t>
      </w:r>
      <w:r>
        <w:t xml:space="preserve"> </w:t>
      </w:r>
      <w:r>
        <w:t xml:space="preserve">changed by the corrections.</w:t>
      </w:r>
    </w:p>
    <w:bookmarkEnd w:id="22"/>
    <w:bookmarkStart w:id="26" w:name="the-three-defects"/>
    <w:p>
      <w:pPr>
        <w:pStyle w:val="Heading1"/>
      </w:pPr>
      <w:r>
        <w:t xml:space="preserve">2. The three defects</w:t>
      </w:r>
    </w:p>
    <w:p>
      <w:pPr>
        <w:pStyle w:val="FirstParagraph"/>
      </w:pPr>
      <w:r>
        <w:t xml:space="preserve">These three defects are in</w:t>
      </w:r>
      <w:r>
        <w:t xml:space="preserve"> </w:t>
      </w:r>
      <w:r>
        <w:rPr>
          <w:rStyle w:val="VerbatimChar"/>
        </w:rPr>
        <w:t xml:space="preserve">Garden_Model.R</w:t>
      </w:r>
      <w:r>
        <w:t xml:space="preserve"> </w:t>
      </w:r>
      <w:r>
        <w:t xml:space="preserve">(commit 8fa2272 of the original repository). The original is kept unchanged in</w:t>
      </w:r>
      <w:r>
        <w:t xml:space="preserve"> </w:t>
      </w:r>
      <w:r>
        <w:rPr>
          <w:rStyle w:val="VerbatimChar"/>
        </w:rPr>
        <w:t xml:space="preserve">functions/school_garden_model_original.R</w:t>
      </w:r>
      <w:r>
        <w:t xml:space="preserve">; the corrected model is</w:t>
      </w:r>
      <w:r>
        <w:t xml:space="preserve"> </w:t>
      </w:r>
      <w:r>
        <w:rPr>
          <w:rStyle w:val="VerbatimChar"/>
        </w:rPr>
        <w:t xml:space="preserve">functions/school_garden_model.R</w:t>
      </w:r>
      <w:r>
        <w:t xml:space="preserve">, with one switch per fix (R</w:t>
      </w:r>
      <w:r>
        <w:t xml:space="preserve"> </w:t>
      </w:r>
      <w:r>
        <w:rPr>
          <w:rStyle w:val="VerbatimChar"/>
        </w:rPr>
        <w:t xml:space="preserve">options()</w:t>
      </w:r>
      <w:r>
        <w:t xml:space="preserve">). With all switches off it reproduces the published model exactly (identical output for the same seed; shown in</w:t>
      </w:r>
      <w:r>
        <w:t xml:space="preserve"> </w:t>
      </w:r>
      <w:r>
        <w:rPr>
          <w:rStyle w:val="VerbatimChar"/>
        </w:rPr>
        <w:t xml:space="preserve">01_model_comparison.Rmd</w:t>
      </w:r>
      <w:r>
        <w:t xml:space="preserve"> </w:t>
      </w:r>
      <w:r>
        <w:t xml:space="preserve">and tested in</w:t>
      </w:r>
      <w:r>
        <w:t xml:space="preserve"> </w:t>
      </w:r>
      <w:r>
        <w:rPr>
          <w:rStyle w:val="VerbatimChar"/>
        </w:rPr>
        <w:t xml:space="preserve">tests.R</w:t>
      </w:r>
      <w:r>
        <w:t xml:space="preserve">).</w:t>
      </w:r>
    </w:p>
    <w:bookmarkStart w:id="23" w:name="fix-1-the-no-land-branch-is-overwritten"/>
    <w:p>
      <w:pPr>
        <w:pStyle w:val="Heading2"/>
      </w:pPr>
      <w:r>
        <w:t xml:space="preserve">Fix 1: the</w:t>
      </w:r>
      <w:r>
        <w:t xml:space="preserve"> </w:t>
      </w:r>
      <w:r>
        <w:t xml:space="preserve">“</w:t>
      </w:r>
      <w:r>
        <w:t xml:space="preserve">no land</w:t>
      </w:r>
      <w:r>
        <w:t xml:space="preserve">”</w:t>
      </w:r>
      <w:r>
        <w:t xml:space="preserve"> </w:t>
      </w:r>
      <w:r>
        <w:t xml:space="preserve">branch is overwritten</w:t>
      </w:r>
    </w:p>
    <w:p>
      <w:pPr>
        <w:pStyle w:val="FirstParagraph"/>
      </w:pPr>
      <w:r>
        <w:rPr>
          <w:rStyle w:val="VerbatimChar"/>
        </w:rPr>
        <w:t xml:space="preserve">stop_garden_no_land &lt;- chance_event(1-land_access)</w:t>
      </w:r>
      <w:r>
        <w:t xml:space="preserve"> </w:t>
      </w:r>
      <w:r>
        <w:t xml:space="preserve">feeds an</w:t>
      </w:r>
      <w:r>
        <w:t xml:space="preserve"> </w:t>
      </w:r>
      <w:r>
        <w:rPr>
          <w:rStyle w:val="VerbatimChar"/>
        </w:rPr>
        <w:t xml:space="preserve">if</w:t>
      </w:r>
      <w:r>
        <w:t xml:space="preserve"> </w:t>
      </w:r>
      <w:r>
        <w:t xml:space="preserve">that sets benefits and costs to zero for schools without land. A second</w:t>
      </w:r>
      <w:r>
        <w:t xml:space="preserve"> </w:t>
      </w:r>
      <w:r>
        <w:rPr>
          <w:rStyle w:val="VerbatimChar"/>
        </w:rPr>
        <w:t xml:space="preserve">if</w:t>
      </w:r>
      <w:r>
        <w:t xml:space="preserve">, on land suitability and bureaucratic barriers, then assigns</w:t>
      </w:r>
      <w:r>
        <w:t xml:space="preserve"> </w:t>
      </w:r>
      <w:r>
        <w:rPr>
          <w:rStyle w:val="VerbatimChar"/>
        </w:rPr>
        <w:t xml:space="preserve">total_benefit_public_school</w:t>
      </w:r>
      <w:r>
        <w:t xml:space="preserve">,</w:t>
      </w:r>
      <w:r>
        <w:t xml:space="preserve"> </w:t>
      </w:r>
      <w:r>
        <w:rPr>
          <w:rStyle w:val="VerbatimChar"/>
        </w:rPr>
        <w:t xml:space="preserve">total_cost_public_school</w:t>
      </w:r>
      <w:r>
        <w:t xml:space="preserve"> </w:t>
      </w:r>
      <w:r>
        <w:t xml:space="preserve">and the STEM equivalents in both of its branches, overwriting the first. As a result</w:t>
      </w:r>
      <w:r>
        <w:t xml:space="preserve"> </w:t>
      </w:r>
      <w:r>
        <w:rPr>
          <w:rStyle w:val="VerbatimChar"/>
        </w:rPr>
        <w:t xml:space="preserve">land_access</w:t>
      </w:r>
      <w:r>
        <w:t xml:space="preserve"> </w:t>
      </w:r>
      <w:r>
        <w:t xml:space="preserve">has no effect on any NPV; it only zeroed the stand-alone environment and health outputs. The corrected model applies the no-land case to benefits and costs as well, as the code comments describe.</w:t>
      </w:r>
    </w:p>
    <w:bookmarkEnd w:id="23"/>
    <w:bookmarkStart w:id="24" w:name="X63288c2da4b507301f715f5997cf31c75a273b0"/>
    <w:p>
      <w:pPr>
        <w:pStyle w:val="Heading2"/>
      </w:pPr>
      <w:r>
        <w:t xml:space="preserve">Fix 2: cost-zeroing assignment modifies</w:t>
      </w:r>
      <w:r>
        <w:t xml:space="preserve"> </w:t>
      </w:r>
      <w:r>
        <w:rPr>
          <w:rStyle w:val="VerbatimChar"/>
        </w:rPr>
        <w:t xml:space="preserve">total_cost</w:t>
      </w:r>
    </w:p>
    <w:p>
      <w:pPr>
        <w:pStyle w:val="SourceCode"/>
      </w:pPr>
      <w:r>
        <w:rPr>
          <w:rStyle w:val="NormalTok"/>
        </w:rPr>
        <w:t xml:space="preserve">total_cost_public_school </w:t>
      </w:r>
      <w:r>
        <w:rPr>
          <w:rStyle w:val="OtherTok"/>
        </w:rPr>
        <w:t xml:space="preserve">&lt;-</w:t>
      </w:r>
      <w:r>
        <w:rPr>
          <w:rStyle w:val="NormalTok"/>
        </w:rPr>
        <w:t xml:space="preserve"> (total_cost[</w:t>
      </w:r>
      <w:r>
        <w:rPr>
          <w:rStyle w:val="DecValTok"/>
        </w:rPr>
        <w:t xml:space="preserve">2</w:t>
      </w:r>
      <w:r>
        <w:rPr>
          <w:rStyle w:val="SpecialCharTok"/>
        </w:rPr>
        <w:t xml:space="preserve">:</w:t>
      </w:r>
      <w:r>
        <w:rPr>
          <w:rStyle w:val="NormalTok"/>
        </w:rPr>
        <w:t xml:space="preserve">number_of_years]</w:t>
      </w:r>
      <w:r>
        <w:rPr>
          <w:rStyle w:val="OtherTok"/>
        </w:rPr>
        <w:t xml:space="preserve">&lt;-</w:t>
      </w:r>
      <w:r>
        <w:rPr>
          <w:rStyle w:val="DecValTok"/>
        </w:rPr>
        <w:t xml:space="preserve">0</w:t>
      </w:r>
      <w:r>
        <w:rPr>
          <w:rStyle w:val="NormalTok"/>
        </w:rPr>
        <w:t xml:space="preserve">)</w:t>
      </w:r>
      <w:r>
        <w:br/>
      </w:r>
      <w:r>
        <w:rPr>
          <w:rStyle w:val="NormalTok"/>
        </w:rPr>
        <w:t xml:space="preserve">total_cost_STEM_public_school </w:t>
      </w:r>
      <w:r>
        <w:rPr>
          <w:rStyle w:val="OtherTok"/>
        </w:rPr>
        <w:t xml:space="preserve">&lt;-</w:t>
      </w:r>
      <w:r>
        <w:rPr>
          <w:rStyle w:val="NormalTok"/>
        </w:rPr>
        <w:t xml:space="preserve"> (total_cost_STEM[</w:t>
      </w:r>
      <w:r>
        <w:rPr>
          <w:rStyle w:val="DecValTok"/>
        </w:rPr>
        <w:t xml:space="preserve">2</w:t>
      </w:r>
      <w:r>
        <w:rPr>
          <w:rStyle w:val="SpecialCharTok"/>
        </w:rPr>
        <w:t xml:space="preserve">:</w:t>
      </w:r>
      <w:r>
        <w:rPr>
          <w:rStyle w:val="NormalTok"/>
        </w:rPr>
        <w:t xml:space="preserve">number_of_years]</w:t>
      </w:r>
      <w:r>
        <w:rPr>
          <w:rStyle w:val="OtherTok"/>
        </w:rPr>
        <w:t xml:space="preserve">&lt;-</w:t>
      </w:r>
      <w:r>
        <w:rPr>
          <w:rStyle w:val="DecValTok"/>
        </w:rPr>
        <w:t xml:space="preserve">0</w:t>
      </w:r>
      <w:r>
        <w:rPr>
          <w:rStyle w:val="NormalTok"/>
        </w:rPr>
        <w:t xml:space="preserve">)</w:t>
      </w:r>
    </w:p>
    <w:p>
      <w:pPr>
        <w:pStyle w:val="FirstParagraph"/>
      </w:pPr>
      <w:r>
        <w:t xml:space="preserve">The intent, stated in a code comment (</w:t>
      </w:r>
      <w:r>
        <w:t xml:space="preserve">“</w:t>
      </w:r>
      <w:r>
        <w:t xml:space="preserve">costs only in year 1</w:t>
      </w:r>
      <w:r>
        <w:t xml:space="preserve">”</w:t>
      </w:r>
      <w:r>
        <w:t xml:space="preserve">), is to keep year-1 establishment costs and drop later costs when the garden is stopped. The assignment instead (a) zeroes years 2–n of</w:t>
      </w:r>
      <w:r>
        <w:t xml:space="preserve"> </w:t>
      </w:r>
      <w:r>
        <w:rPr>
          <w:rStyle w:val="VerbatimChar"/>
        </w:rPr>
        <w:t xml:space="preserve">total_cost</w:t>
      </w:r>
      <w:r>
        <w:t xml:space="preserve"> </w:t>
      </w:r>
      <w:r>
        <w:t xml:space="preserve">itself, which is also used for the</w:t>
      </w:r>
      <w:r>
        <w:t xml:space="preserve"> </w:t>
      </w:r>
      <w:r>
        <w:rPr>
          <w:iCs/>
          <w:i/>
        </w:rPr>
        <w:t xml:space="preserve">private-school</w:t>
      </w:r>
      <w:r>
        <w:t xml:space="preserve"> </w:t>
      </w:r>
      <w:r>
        <w:t xml:space="preserve">results computed later, and (b) sets</w:t>
      </w:r>
      <w:r>
        <w:t xml:space="preserve"> </w:t>
      </w:r>
      <w:r>
        <w:rPr>
          <w:rStyle w:val="VerbatimChar"/>
        </w:rPr>
        <w:t xml:space="preserve">total_cost_public_school</w:t>
      </w:r>
      <w:r>
        <w:t xml:space="preserve"> </w:t>
      </w:r>
      <w:r>
        <w:t xml:space="preserve">to the scalar 0, losing even the year-1 cost. The corrected code uses</w:t>
      </w:r>
      <w:r>
        <w:t xml:space="preserve"> </w:t>
      </w:r>
      <w:r>
        <w:rPr>
          <w:rStyle w:val="VerbatimChar"/>
        </w:rPr>
        <w:t xml:space="preserve">c(total_cost[1], rep(0, n-1))</w:t>
      </w:r>
      <w:r>
        <w:t xml:space="preserve"> </w:t>
      </w:r>
      <w:r>
        <w:t xml:space="preserve">and leaves</w:t>
      </w:r>
      <w:r>
        <w:t xml:space="preserve"> </w:t>
      </w:r>
      <w:r>
        <w:rPr>
          <w:rStyle w:val="VerbatimChar"/>
        </w:rPr>
        <w:t xml:space="preserve">total_cost</w:t>
      </w:r>
      <w:r>
        <w:t xml:space="preserve"> </w:t>
      </w:r>
      <w:r>
        <w:t xml:space="preserve">untouched.</w:t>
      </w:r>
    </w:p>
    <w:bookmarkEnd w:id="24"/>
    <w:bookmarkStart w:id="25" w:name="X15fd205d6cd334ca431c7af2a01c07476760ba5"/>
    <w:p>
      <w:pPr>
        <w:pStyle w:val="Heading2"/>
      </w:pPr>
      <w:r>
        <w:t xml:space="preserve">Fix 3: per-m</w:t>
      </w:r>
      <w:r>
        <w:rPr>
          <w:vertAlign w:val="superscript"/>
        </w:rPr>
        <w:t xml:space="preserve">2</w:t>
      </w:r>
      <w:r>
        <w:t xml:space="preserve"> </w:t>
      </w:r>
      <w:r>
        <w:t xml:space="preserve">maintenance costs are never added</w:t>
      </w:r>
    </w:p>
    <w:p>
      <w:pPr>
        <w:pStyle w:val="FirstParagraph"/>
      </w:pPr>
      <w:r>
        <w:t xml:space="preserve">The expression</w:t>
      </w:r>
      <w:r>
        <w:t xml:space="preserve"> </w:t>
      </w:r>
      <w:r>
        <w:rPr>
          <w:rStyle w:val="VerbatimChar"/>
        </w:rPr>
        <w:t xml:space="preserve">garden_maintenance_cost + ((maintaining_labor_m2 + seed_costs_m2 + fertilizer_m2 + plant_protection_m2) * size_of_garden)</w:t>
      </w:r>
      <w:r>
        <w:t xml:space="preserve"> </w:t>
      </w:r>
      <w:r>
        <w:t xml:space="preserve">is evaluated but not assigned, so these area-based costs never enter</w:t>
      </w:r>
      <w:r>
        <w:t xml:space="preserve"> </w:t>
      </w:r>
      <w:r>
        <w:rPr>
          <w:rStyle w:val="VerbatimChar"/>
        </w:rPr>
        <w:t xml:space="preserve">garden_maintenance_cost</w:t>
      </w:r>
      <w:r>
        <w:t xml:space="preserve">. The corrected code assigns it. On its own this lowers the mean NPVs of the four options by 77 to 85 million VND.</w:t>
      </w:r>
    </w:p>
    <w:bookmarkEnd w:id="25"/>
    <w:bookmarkEnd w:id="26"/>
    <w:bookmarkStart w:id="27" w:name="key-numbers-published-vs-corrected"/>
    <w:p>
      <w:pPr>
        <w:pStyle w:val="Heading1"/>
      </w:pPr>
      <w:r>
        <w:t xml:space="preserve">3. Key numbers, published vs corrected</w:t>
      </w:r>
    </w:p>
    <w:p>
      <w:pPr>
        <w:pStyle w:val="FirstParagraph"/>
      </w:pPr>
      <w:r>
        <w:t xml:space="preserve">10,000 Monte Carlo runs,</w:t>
      </w:r>
      <w:r>
        <w:t xml:space="preserve"> </w:t>
      </w:r>
      <w:r>
        <w:rPr>
          <w:rStyle w:val="VerbatimChar"/>
        </w:rPr>
        <w:t xml:space="preserve">set.seed(42)</w:t>
      </w:r>
      <w:r>
        <w:t xml:space="preserve">. Million VND. MC s.e. = Monte Carlo standard error of the mean. (Computed in</w:t>
      </w:r>
      <w:r>
        <w:t xml:space="preserve"> </w:t>
      </w:r>
      <w:r>
        <w:rPr>
          <w:rStyle w:val="VerbatimChar"/>
        </w:rPr>
        <w:t xml:space="preserve">01_model_comparison.Rmd</w:t>
      </w:r>
      <w:r>
        <w:t xml:space="preserve">, saved to</w:t>
      </w:r>
      <w:r>
        <w:t xml:space="preserve"> </w:t>
      </w:r>
      <w:r>
        <w:rPr>
          <w:rStyle w:val="VerbatimChar"/>
        </w:rPr>
        <w:t xml:space="preserve">outputs/original_vs_corrected.csv</w:t>
      </w:r>
      <w:r>
        <w:t xml:space="preserve">.)</w:t>
      </w:r>
    </w:p>
    <w:tbl>
      <w:tblPr>
        <w:tblStyle w:val="Table"/>
        <w:tblW w:type="pct" w:w="5000.0"/>
        <w:tblLook w:firstRow="1" w:lastRow="0" w:firstColumn="0" w:lastColumn="0" w:noHBand="0" w:noVBand="0" w:val="0020"/>
      </w:tblPr>
      <w:tblGrid>
        <w:gridCol w:w="1779"/>
        <w:gridCol w:w="1492"/>
        <w:gridCol w:w="918"/>
        <w:gridCol w:w="401"/>
        <w:gridCol w:w="803"/>
        <w:gridCol w:w="1836"/>
        <w:gridCol w:w="688"/>
      </w:tblGrid>
      <w:tr>
        <w:tc>
          <w:p>
            <w:pPr>
              <w:pStyle w:val="Compact"/>
              <w:jc w:val="left"/>
            </w:pPr>
            <w:r>
              <w:t xml:space="preserve">Output</w:t>
            </w:r>
          </w:p>
        </w:tc>
        <w:tc>
          <w:p>
            <w:pPr>
              <w:pStyle w:val="Compact"/>
              <w:jc w:val="left"/>
            </w:pPr>
            <w:r>
              <w:t xml:space="preserve">Mean, published (MC s.e.)</w:t>
            </w:r>
          </w:p>
        </w:tc>
        <w:tc>
          <w:p>
            <w:pPr>
              <w:pStyle w:val="Compact"/>
              <w:jc w:val="left"/>
            </w:pPr>
            <w:r>
              <w:t xml:space="preserve">Mean, corrected</w:t>
            </w:r>
          </w:p>
        </w:tc>
        <w:tc>
          <w:p>
            <w:pPr>
              <w:pStyle w:val="Compact"/>
              <w:jc w:val="left"/>
            </w:pPr>
            <w:r>
              <w:t xml:space="preserve">Change</w:t>
            </w:r>
          </w:p>
        </w:tc>
        <w:tc>
          <w:p>
            <w:pPr>
              <w:pStyle w:val="Compact"/>
              <w:jc w:val="left"/>
            </w:pPr>
            <w:r>
              <w:t xml:space="preserve">Median</w:t>
            </w:r>
          </w:p>
        </w:tc>
        <w:tc>
          <w:p>
            <w:pPr>
              <w:pStyle w:val="Compact"/>
              <w:jc w:val="left"/>
            </w:pPr>
            <w:r>
              <w:t xml:space="preserve">5th to 95th percentile</w:t>
            </w:r>
          </w:p>
        </w:tc>
        <w:tc>
          <w:p>
            <w:pPr>
              <w:pStyle w:val="Compact"/>
              <w:jc w:val="left"/>
            </w:pPr>
            <w:r>
              <w:t xml:space="preserve">P(NPV &gt; 0)</w:t>
            </w:r>
          </w:p>
        </w:tc>
      </w:tr>
      <w:tr>
        <w:tc>
          <w:p>
            <w:pPr>
              <w:pStyle w:val="Compact"/>
              <w:jc w:val="left"/>
            </w:pPr>
            <w:r>
              <w:t xml:space="preserve">Private school, passive garden</w:t>
            </w:r>
          </w:p>
        </w:tc>
        <w:tc>
          <w:p>
            <w:pPr>
              <w:pStyle w:val="Compact"/>
              <w:jc w:val="left"/>
            </w:pPr>
            <w:r>
              <w:t xml:space="preserve">1,639 (13)</w:t>
            </w:r>
          </w:p>
        </w:tc>
        <w:tc>
          <w:p>
            <w:pPr>
              <w:pStyle w:val="Compact"/>
              <w:jc w:val="left"/>
            </w:pPr>
            <w:r>
              <w:t xml:space="preserve">1,417</w:t>
            </w:r>
          </w:p>
        </w:tc>
        <w:tc>
          <w:p>
            <w:pPr>
              <w:pStyle w:val="Compact"/>
              <w:jc w:val="left"/>
            </w:pPr>
            <w:r>
              <w:t xml:space="preserve">-14%</w:t>
            </w:r>
          </w:p>
        </w:tc>
        <w:tc>
          <w:p>
            <w:pPr>
              <w:pStyle w:val="Compact"/>
              <w:jc w:val="left"/>
            </w:pPr>
            <w:r>
              <w:t xml:space="preserve">1,352 → 1,126</w:t>
            </w:r>
          </w:p>
        </w:tc>
        <w:tc>
          <w:p>
            <w:pPr>
              <w:pStyle w:val="Compact"/>
              <w:jc w:val="left"/>
            </w:pPr>
            <w:r>
              <w:t xml:space="preserve">44 to 4,197 → -168 to 3,960</w:t>
            </w:r>
          </w:p>
        </w:tc>
        <w:tc>
          <w:p>
            <w:pPr>
              <w:pStyle w:val="Compact"/>
              <w:jc w:val="left"/>
            </w:pPr>
            <w:r>
              <w:t xml:space="preserve">0.96 → 0.91</w:t>
            </w:r>
          </w:p>
        </w:tc>
      </w:tr>
      <w:tr>
        <w:tc>
          <w:p>
            <w:pPr>
              <w:pStyle w:val="Compact"/>
              <w:jc w:val="left"/>
            </w:pPr>
            <w:r>
              <w:t xml:space="preserve">Private school, STEM garden</w:t>
            </w:r>
          </w:p>
        </w:tc>
        <w:tc>
          <w:p>
            <w:pPr>
              <w:pStyle w:val="Compact"/>
              <w:jc w:val="left"/>
            </w:pPr>
            <w:r>
              <w:t xml:space="preserve">1,064 (14)</w:t>
            </w:r>
          </w:p>
        </w:tc>
        <w:tc>
          <w:p>
            <w:pPr>
              <w:pStyle w:val="Compact"/>
              <w:jc w:val="left"/>
            </w:pPr>
            <w:r>
              <w:t xml:space="preserve">657</w:t>
            </w:r>
          </w:p>
        </w:tc>
        <w:tc>
          <w:p>
            <w:pPr>
              <w:pStyle w:val="Compact"/>
              <w:jc w:val="left"/>
            </w:pPr>
            <w:r>
              <w:t xml:space="preserve">-38%</w:t>
            </w:r>
          </w:p>
        </w:tc>
        <w:tc>
          <w:p>
            <w:pPr>
              <w:pStyle w:val="Compact"/>
              <w:jc w:val="left"/>
            </w:pPr>
            <w:r>
              <w:t xml:space="preserve">854 → 419</w:t>
            </w:r>
          </w:p>
        </w:tc>
        <w:tc>
          <w:p>
            <w:pPr>
              <w:pStyle w:val="Compact"/>
              <w:jc w:val="left"/>
            </w:pPr>
            <w:r>
              <w:t xml:space="preserve">-767 to 3,633 → -1,077 to 3,167</w:t>
            </w:r>
          </w:p>
        </w:tc>
        <w:tc>
          <w:p>
            <w:pPr>
              <w:pStyle w:val="Compact"/>
              <w:jc w:val="left"/>
            </w:pPr>
            <w:r>
              <w:t xml:space="preserve">0.80 → 0.66</w:t>
            </w:r>
          </w:p>
        </w:tc>
      </w:tr>
      <w:tr>
        <w:tc>
          <w:p>
            <w:pPr>
              <w:pStyle w:val="Compact"/>
              <w:jc w:val="left"/>
            </w:pPr>
            <w:r>
              <w:t xml:space="preserve">Public school, passive garden</w:t>
            </w:r>
          </w:p>
        </w:tc>
        <w:tc>
          <w:p>
            <w:pPr>
              <w:pStyle w:val="Compact"/>
              <w:jc w:val="left"/>
            </w:pPr>
            <w:r>
              <w:t xml:space="preserve">902 (14)</w:t>
            </w:r>
          </w:p>
        </w:tc>
        <w:tc>
          <w:p>
            <w:pPr>
              <w:pStyle w:val="Compact"/>
              <w:jc w:val="left"/>
            </w:pPr>
            <w:r>
              <w:t xml:space="preserve">545</w:t>
            </w:r>
          </w:p>
        </w:tc>
        <w:tc>
          <w:p>
            <w:pPr>
              <w:pStyle w:val="Compact"/>
              <w:jc w:val="left"/>
            </w:pPr>
            <w:r>
              <w:t xml:space="preserve">-40%</w:t>
            </w:r>
          </w:p>
        </w:tc>
        <w:tc>
          <w:p>
            <w:pPr>
              <w:pStyle w:val="Compact"/>
              <w:jc w:val="left"/>
            </w:pPr>
            <w:r>
              <w:t xml:space="preserve">516 → -165</w:t>
            </w:r>
          </w:p>
        </w:tc>
        <w:tc>
          <w:p>
            <w:pPr>
              <w:pStyle w:val="Compact"/>
              <w:jc w:val="left"/>
            </w:pPr>
            <w:r>
              <w:t xml:space="preserve">-316 to 3,585 → -521 to 3,202</w:t>
            </w:r>
          </w:p>
        </w:tc>
        <w:tc>
          <w:p>
            <w:pPr>
              <w:pStyle w:val="Compact"/>
              <w:jc w:val="left"/>
            </w:pPr>
            <w:r>
              <w:t xml:space="preserve">0.61 → 0.46</w:t>
            </w:r>
          </w:p>
        </w:tc>
      </w:tr>
      <w:tr>
        <w:tc>
          <w:p>
            <w:pPr>
              <w:pStyle w:val="Compact"/>
              <w:jc w:val="left"/>
            </w:pPr>
            <w:r>
              <w:t xml:space="preserve">Public school, STEM garden</w:t>
            </w:r>
          </w:p>
        </w:tc>
        <w:tc>
          <w:p>
            <w:pPr>
              <w:pStyle w:val="Compact"/>
              <w:jc w:val="left"/>
            </w:pPr>
            <w:r>
              <w:t xml:space="preserve">407 (12)</w:t>
            </w:r>
          </w:p>
        </w:tc>
        <w:tc>
          <w:p>
            <w:pPr>
              <w:pStyle w:val="Compact"/>
              <w:jc w:val="left"/>
            </w:pPr>
            <w:r>
              <w:t xml:space="preserve">111</w:t>
            </w:r>
          </w:p>
        </w:tc>
        <w:tc>
          <w:p>
            <w:pPr>
              <w:pStyle w:val="Compact"/>
              <w:jc w:val="left"/>
            </w:pPr>
            <w:r>
              <w:t xml:space="preserve">-73%</w:t>
            </w:r>
          </w:p>
        </w:tc>
        <w:tc>
          <w:p>
            <w:pPr>
              <w:pStyle w:val="Compact"/>
              <w:jc w:val="left"/>
            </w:pPr>
            <w:r>
              <w:t xml:space="preserve">-138 → -249</w:t>
            </w:r>
          </w:p>
        </w:tc>
        <w:tc>
          <w:p>
            <w:pPr>
              <w:pStyle w:val="Compact"/>
              <w:jc w:val="left"/>
            </w:pPr>
            <w:r>
              <w:t xml:space="preserve">-767 to 2,796 → -865 to 2,397</w:t>
            </w:r>
          </w:p>
        </w:tc>
        <w:tc>
          <w:p>
            <w:pPr>
              <w:pStyle w:val="Compact"/>
              <w:jc w:val="left"/>
            </w:pPr>
            <w:r>
              <w:t xml:space="preserve">0.45 → 0.33</w:t>
            </w:r>
          </w:p>
        </w:tc>
      </w:tr>
    </w:tbl>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1057/s41599-026-07204-0" TargetMode="External" /><Relationship Type="http://schemas.openxmlformats.org/officeDocument/2006/relationships/hyperlink" Id="rId21" Target="https://github.com/CWWhitney/nifam_codas_school_garden"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57/s41599-026-07204-0" TargetMode="External" /><Relationship Type="http://schemas.openxmlformats.org/officeDocument/2006/relationships/hyperlink" Id="rId21" Target="https://github.com/CWWhitney/nifam_codas_school_gard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garden decision model: differences between the published analysis and a corrected version</dc:title>
  <dc:creator/>
  <cp:keywords/>
  <dcterms:created xsi:type="dcterms:W3CDTF">2026-10-27T07:42:26Z</dcterms:created>
  <dcterms:modified xsi:type="dcterms:W3CDTF">2026-10-27T07:42:26Z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October 2026</vt:lpwstr>
  </property>
  <property fmtid="{D5CDD505-2E9C-101B-9397-08002B2CF9AE}" pid="3" name="output">
    <vt:lpwstr/>
  </property>
  <property fmtid="{D5CDD505-2E9C-101B-9397-08002B2CF9AE}" pid="4" name="subtitle">
    <vt:lpwstr>Draft for discussion among the co-authors</vt:lpwstr>
  </property>
</Properties>
</file>