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ScotPHO</w:t>
      </w:r>
      <w:r>
        <w:t xml:space="preserve"> </w:t>
      </w:r>
      <w:r>
        <w:t xml:space="preserve">Profiles</w:t>
      </w:r>
      <w:r>
        <w:t xml:space="preserve"> </w:t>
      </w:r>
      <w:r>
        <w:t xml:space="preserve">QA</w:t>
      </w:r>
      <w:r>
        <w:t xml:space="preserve"> </w:t>
      </w:r>
      <w:r>
        <w:t xml:space="preserve">report</w:t>
      </w:r>
      <w:r>
        <w:t xml:space="preserve"> </w:t>
      </w:r>
      <w:r>
        <w:t xml:space="preserve">-</w:t>
      </w:r>
      <w:r>
        <w:t xml:space="preserve"> </w:t>
      </w:r>
      <w:r>
        <w:t xml:space="preserve">in</w:t>
      </w:r>
      <w:r>
        <w:t xml:space="preserve"> </w:t>
      </w:r>
      <w:r>
        <w:t xml:space="preserve">development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Pulford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November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profile-details"/>
      <w:bookmarkEnd w:id="21"/>
      <w:r>
        <w:t xml:space="preserve">Profile details</w:t>
      </w:r>
    </w:p>
    <w:p>
      <w:pPr>
        <w:pStyle w:val="FirstParagraph"/>
      </w:pPr>
      <w:r>
        <w:rPr>
          <w:b/>
        </w:rPr>
        <w:t xml:space="preserve">Indictaor name:</w:t>
      </w:r>
      <w:r>
        <w:t xml:space="preserve"> </w:t>
      </w:r>
      <w:r>
        <w:t xml:space="preserve">Children registered for free school meals</w:t>
      </w:r>
      <w:r>
        <w:br w:type="textWrapping"/>
      </w:r>
      <w:r>
        <w:rPr>
          <w:b/>
        </w:rPr>
        <w:t xml:space="preserve">Indicator ID:</w:t>
      </w:r>
      <w:r>
        <w:t xml:space="preserve"> </w:t>
      </w:r>
      <w:r>
        <w:t xml:space="preserve">13012</w:t>
      </w:r>
      <w:r>
        <w:br w:type="textWrapping"/>
      </w:r>
      <w:r>
        <w:rPr>
          <w:b/>
        </w:rPr>
        <w:t xml:space="preserve">Profile:</w:t>
      </w:r>
      <w:r>
        <w:t xml:space="preserve"> </w:t>
      </w:r>
      <w:r>
        <w:t xml:space="preserve">Children &amp; young people</w:t>
      </w:r>
      <w:r>
        <w:br w:type="textWrapping"/>
      </w:r>
      <w:r>
        <w:rPr>
          <w:b/>
        </w:rPr>
        <w:t xml:space="preserve">Indicator type:</w:t>
      </w:r>
      <w:r>
        <w:t xml:space="preserve"> </w:t>
      </w:r>
      <w:r>
        <w:t xml:space="preserve">Percentage</w:t>
      </w:r>
      <w:r>
        <w:br w:type="textWrapping"/>
      </w:r>
      <w:r>
        <w:rPr>
          <w:b/>
        </w:rPr>
        <w:t xml:space="preserve">Year type:</w:t>
      </w:r>
      <w:r>
        <w:t xml:space="preserve"> </w:t>
      </w:r>
      <w:r>
        <w:t xml:space="preserve">School year</w:t>
      </w:r>
      <w:r>
        <w:br w:type="textWrapping"/>
      </w:r>
      <w:r>
        <w:rPr>
          <w:b/>
        </w:rPr>
        <w:t xml:space="preserve">Aggregation:</w:t>
      </w:r>
      <w:r>
        <w:t xml:space="preserve"> </w:t>
      </w:r>
      <w:r>
        <w:t xml:space="preserve">Single year</w:t>
      </w:r>
      <w:r>
        <w:br w:type="textWrapping"/>
      </w:r>
      <w:r>
        <w:rPr>
          <w:b/>
        </w:rPr>
        <w:t xml:space="preserve">Trend period:</w:t>
      </w:r>
      <w:r>
        <w:t xml:space="preserve"> </w:t>
      </w:r>
      <w:r>
        <w:t xml:space="preserve">2015 to 2018</w:t>
      </w:r>
      <w:r>
        <w:br w:type="textWrapping"/>
      </w:r>
      <w:r>
        <w:rPr>
          <w:b/>
        </w:rPr>
        <w:t xml:space="preserve">Geographies:</w:t>
      </w:r>
      <w:r>
        <w:t xml:space="preserve"> </w:t>
      </w:r>
      <w:r>
        <w:t xml:space="preserve">Council area, Health board</w:t>
      </w:r>
    </w:p>
    <w:p>
      <w:pPr>
        <w:pStyle w:val="Heading1"/>
      </w:pPr>
      <w:bookmarkStart w:id="22" w:name="check-opt-file"/>
      <w:bookmarkEnd w:id="22"/>
      <w:r>
        <w:t xml:space="preserve">Check OPT file</w:t>
      </w:r>
    </w:p>
    <w:p>
      <w:pPr>
        <w:pStyle w:val="Compact"/>
        <w:numPr>
          <w:numId w:val="1001"/>
          <w:ilvl w:val="0"/>
        </w:numPr>
      </w:pPr>
      <w:r>
        <w:t xml:space="preserve">Data match the format in the SOP.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The indicator ID matches the technical document.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Compare year type in OPT file against technical document: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2015/16 school year</w:t>
      </w:r>
      <w:r>
        <w:t xml:space="preserve"> </w:t>
      </w:r>
      <w:r>
        <w:t xml:space="preserve">vs.</w:t>
      </w:r>
      <w:r>
        <w:t xml:space="preserve"> </w:t>
      </w:r>
      <w:r>
        <w:rPr>
          <w:b/>
        </w:rPr>
        <w:t xml:space="preserve">School year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The current published time trend is for</w:t>
      </w:r>
      <w:r>
        <w:t xml:space="preserve"> </w:t>
      </w:r>
      <w:r>
        <w:rPr>
          <w:b/>
        </w:rPr>
        <w:t xml:space="preserve">2015 to 2018</w:t>
      </w:r>
      <w:r>
        <w:t xml:space="preserve">:</w:t>
      </w:r>
    </w:p>
    <w:p>
      <w:pPr>
        <w:pStyle w:val="Compact"/>
        <w:numPr>
          <w:numId w:val="1003"/>
          <w:ilvl w:val="1"/>
        </w:numPr>
      </w:pPr>
      <w:r>
        <w:t xml:space="preserve">Start year in data: 2015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End year in data: 2019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Aggregation is by Single year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Check for missing fields: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lowci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upci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ind_id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trend_axis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def_period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</w:p>
    <w:p>
      <w:pPr>
        <w:pStyle w:val="Compact"/>
        <w:numPr>
          <w:numId w:val="1004"/>
          <w:ilvl w:val="0"/>
        </w:numPr>
      </w:pPr>
      <w:r>
        <w:t xml:space="preserve">Check aggregation of numerators up to higher geographies: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82642</w:t>
            </w:r>
          </w:p>
        </w:tc>
        <w:tc>
          <w:p>
            <w:pPr>
              <w:pStyle w:val="Compact"/>
              <w:jc w:val="right"/>
            </w:pPr>
            <w:r>
              <w:t xml:space="preserve">82642</w:t>
            </w:r>
          </w:p>
        </w:tc>
        <w:tc>
          <w:p>
            <w:pPr>
              <w:pStyle w:val="Compact"/>
              <w:jc w:val="right"/>
            </w:pPr>
            <w:r>
              <w:t xml:space="preserve">82642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78528</w:t>
            </w:r>
          </w:p>
        </w:tc>
        <w:tc>
          <w:p>
            <w:pPr>
              <w:pStyle w:val="Compact"/>
              <w:jc w:val="right"/>
            </w:pPr>
            <w:r>
              <w:t xml:space="preserve">78528</w:t>
            </w:r>
          </w:p>
        </w:tc>
        <w:tc>
          <w:p>
            <w:pPr>
              <w:pStyle w:val="Compact"/>
              <w:jc w:val="right"/>
            </w:pPr>
            <w:r>
              <w:t xml:space="preserve">78528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78041</w:t>
            </w:r>
          </w:p>
        </w:tc>
        <w:tc>
          <w:p>
            <w:pPr>
              <w:pStyle w:val="Compact"/>
              <w:jc w:val="right"/>
            </w:pPr>
            <w:r>
              <w:t xml:space="preserve">78041</w:t>
            </w:r>
          </w:p>
        </w:tc>
        <w:tc>
          <w:p>
            <w:pPr>
              <w:pStyle w:val="Compact"/>
              <w:jc w:val="right"/>
            </w:pPr>
            <w:r>
              <w:t xml:space="preserve">78041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38743</w:t>
            </w:r>
          </w:p>
        </w:tc>
        <w:tc>
          <w:p>
            <w:pPr>
              <w:pStyle w:val="Compact"/>
              <w:jc w:val="right"/>
            </w:pPr>
            <w:r>
              <w:t xml:space="preserve">38743</w:t>
            </w:r>
          </w:p>
        </w:tc>
        <w:tc>
          <w:p>
            <w:pPr>
              <w:pStyle w:val="Compact"/>
              <w:jc w:val="right"/>
            </w:pPr>
            <w:r>
              <w:t xml:space="preserve">38743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44422</w:t>
            </w:r>
          </w:p>
        </w:tc>
        <w:tc>
          <w:p>
            <w:pPr>
              <w:pStyle w:val="Compact"/>
              <w:jc w:val="right"/>
            </w:pPr>
            <w:r>
              <w:t xml:space="preserve">44422</w:t>
            </w:r>
          </w:p>
        </w:tc>
        <w:tc>
          <w:p>
            <w:pPr>
              <w:pStyle w:val="Compact"/>
              <w:jc w:val="right"/>
            </w:pPr>
            <w:r>
              <w:t xml:space="preserve">44422</w:t>
            </w:r>
          </w:p>
        </w:tc>
      </w:tr>
    </w:tbl>
    <w:p>
      <w:pPr>
        <w:pStyle w:val="BodyText"/>
      </w:pPr>
    </w:p>
    <w:p>
      <w:pPr>
        <w:pStyle w:val="Compact"/>
        <w:numPr>
          <w:numId w:val="1005"/>
          <w:ilvl w:val="0"/>
        </w:numPr>
      </w:pPr>
      <w:r>
        <w:t xml:space="preserve">Check LA to HB aggregation: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numerator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S08000015</w:t>
            </w:r>
          </w:p>
        </w:tc>
        <w:tc>
          <w:p>
            <w:pPr>
              <w:pStyle w:val="Compact"/>
              <w:jc w:val="right"/>
            </w:pPr>
            <w:r>
              <w:t xml:space="preserve">7049</w:t>
            </w:r>
          </w:p>
        </w:tc>
        <w:tc>
          <w:p>
            <w:pPr>
              <w:pStyle w:val="Compact"/>
              <w:jc w:val="right"/>
            </w:pPr>
            <w:r>
              <w:t xml:space="preserve">7049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S08000015</w:t>
            </w:r>
          </w:p>
        </w:tc>
        <w:tc>
          <w:p>
            <w:pPr>
              <w:pStyle w:val="Compact"/>
              <w:jc w:val="right"/>
            </w:pPr>
            <w:r>
              <w:t xml:space="preserve">6532</w:t>
            </w:r>
          </w:p>
        </w:tc>
        <w:tc>
          <w:p>
            <w:pPr>
              <w:pStyle w:val="Compact"/>
              <w:jc w:val="right"/>
            </w:pPr>
            <w:r>
              <w:t xml:space="preserve">6532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S08000015</w:t>
            </w:r>
          </w:p>
        </w:tc>
        <w:tc>
          <w:p>
            <w:pPr>
              <w:pStyle w:val="Compact"/>
              <w:jc w:val="right"/>
            </w:pPr>
            <w:r>
              <w:t xml:space="preserve">6541</w:t>
            </w:r>
          </w:p>
        </w:tc>
        <w:tc>
          <w:p>
            <w:pPr>
              <w:pStyle w:val="Compact"/>
              <w:jc w:val="right"/>
            </w:pPr>
            <w:r>
              <w:t xml:space="preserve">6541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S08000015</w:t>
            </w:r>
          </w:p>
        </w:tc>
        <w:tc>
          <w:p>
            <w:pPr>
              <w:pStyle w:val="Compact"/>
              <w:jc w:val="right"/>
            </w:pPr>
            <w:r>
              <w:t xml:space="preserve">3280</w:t>
            </w:r>
          </w:p>
        </w:tc>
        <w:tc>
          <w:p>
            <w:pPr>
              <w:pStyle w:val="Compact"/>
              <w:jc w:val="right"/>
            </w:pPr>
            <w:r>
              <w:t xml:space="preserve">3280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S08000015</w:t>
            </w:r>
          </w:p>
        </w:tc>
        <w:tc>
          <w:p>
            <w:pPr>
              <w:pStyle w:val="Compact"/>
              <w:jc w:val="right"/>
            </w:pPr>
            <w:r>
              <w:t xml:space="preserve">3277</w:t>
            </w:r>
          </w:p>
        </w:tc>
        <w:tc>
          <w:p>
            <w:pPr>
              <w:pStyle w:val="Compact"/>
              <w:jc w:val="right"/>
            </w:pPr>
            <w:r>
              <w:t xml:space="preserve">3277</w:t>
            </w:r>
          </w:p>
        </w:tc>
      </w:tr>
    </w:tbl>
    <w:p>
      <w:pPr>
        <w:pStyle w:val="BodyText"/>
      </w:pPr>
    </w:p>
    <w:p>
      <w:pPr>
        <w:pStyle w:val="Compact"/>
        <w:numPr>
          <w:numId w:val="1006"/>
          <w:ilvl w:val="0"/>
        </w:numPr>
      </w:pPr>
      <w:r>
        <w:t xml:space="preserve">rate/percantage calculation check - manual against raw data?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Minimum and maximum CI ranges:</w:t>
      </w:r>
    </w:p>
    <w:p>
      <w:pPr>
        <w:pStyle w:val="Compact"/>
        <w:numPr>
          <w:numId w:val="1007"/>
          <w:ilvl w:val="1"/>
        </w:numPr>
      </w:pPr>
      <w:r>
        <w:t xml:space="preserve">Min: 0.2016609</w:t>
      </w:r>
      <w:r>
        <w:br w:type="textWrapping"/>
      </w:r>
    </w:p>
    <w:p>
      <w:pPr>
        <w:pStyle w:val="Compact"/>
        <w:numPr>
          <w:numId w:val="1007"/>
          <w:ilvl w:val="1"/>
        </w:numPr>
      </w:pPr>
      <w:r>
        <w:t xml:space="preserve">Max: 3.5354108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Check no rates/percentages sit outside of CI range</w:t>
      </w:r>
    </w:p>
    <w:p>
      <w:pPr>
        <w:pStyle w:val="Compact"/>
        <w:numPr>
          <w:numId w:val="1008"/>
          <w:ilvl w:val="1"/>
        </w:numPr>
      </w:pPr>
      <w:r>
        <w:t xml:space="preserve">0 rows with rate outside of CI range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Compare Scotland to median LA or HB rate/percentage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Plot chart as per analysis script:</w:t>
      </w:r>
      <w:r>
        <w:br w:type="textWrapping"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a_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first-person-qa-notes"/>
      <w:bookmarkEnd w:id="24"/>
      <w:r>
        <w:t xml:space="preserve">First person QA notes</w:t>
      </w:r>
    </w:p>
    <w:p>
      <w:pPr>
        <w:pStyle w:val="FirstParagraph"/>
      </w:pPr>
    </w:p>
    <w:p>
      <w:pPr>
        <w:pStyle w:val="Heading1"/>
      </w:pPr>
      <w:bookmarkStart w:id="25" w:name="second-person-qa-notes"/>
      <w:bookmarkEnd w:id="25"/>
      <w:r>
        <w:t xml:space="preserve">Second person QA notes</w:t>
      </w:r>
    </w:p>
    <w:p>
      <w:pPr>
        <w:pStyle w:val="FirstParagraph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2dc9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07509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ScotPHO Profiles QA report - in development</dc:title>
  <dc:creator>Andy Pulford</dc:creator>
  <dcterms:created xsi:type="dcterms:W3CDTF">2019-11-06T09:46:27Z</dcterms:created>
  <dcterms:modified xsi:type="dcterms:W3CDTF">2019-11-06T09:46:27Z</dcterms:modified>
</cp:coreProperties>
</file>