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</w:t>
      </w:r>
      <w:r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计算机图形学                      </w:t>
      </w:r>
      <w:r>
        <w:rPr>
          <w:rFonts w:hint="eastAsia" w:cs="宋体"/>
          <w:b/>
          <w:bCs/>
          <w:sz w:val="28"/>
          <w:szCs w:val="28"/>
        </w:rPr>
        <w:t xml:space="preserve">               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                        </w:t>
      </w:r>
      <w:r>
        <w:rPr>
          <w:b/>
          <w:bCs/>
          <w:sz w:val="28"/>
          <w:szCs w:val="28"/>
          <w:u w:val="single"/>
        </w:rPr>
        <w:t xml:space="preserve">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实验项目名称：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</w:t>
      </w:r>
      <w:r>
        <w:rPr>
          <w:rFonts w:cs="宋体"/>
          <w:b/>
          <w:bCs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实验四 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带纹理的OBJ文件读取和显示</w:t>
      </w:r>
      <w:r>
        <w:rPr>
          <w:b/>
          <w:bCs/>
          <w:sz w:val="28"/>
          <w:szCs w:val="28"/>
          <w:u w:val="single"/>
        </w:rPr>
        <w:t xml:space="preserve">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学院：</w:t>
      </w:r>
      <w:r>
        <w:rPr>
          <w:rFonts w:hint="eastAsia" w:cs="宋体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 数学科学学院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>
      <w:pPr>
        <w:rPr>
          <w:b/>
          <w:bCs/>
          <w:color w:val="00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   信息与计算科学（数学与计算机实验班）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指导教师：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周 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漾 </w:t>
      </w: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b/>
          <w:bCs/>
          <w:sz w:val="28"/>
          <w:szCs w:val="28"/>
          <w:u w:val="single"/>
        </w:rPr>
        <w:t xml:space="preserve">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王曦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2021192010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数计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>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 1</w:t>
      </w:r>
      <w:r>
        <w:rPr>
          <w:rFonts w:cs="宋体"/>
          <w:b/>
          <w:bCs/>
          <w:color w:val="000000"/>
          <w:sz w:val="28"/>
          <w:szCs w:val="28"/>
          <w:u w:val="single"/>
        </w:rPr>
        <w:t>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b/>
          <w:bCs/>
          <w:color w:val="000000"/>
          <w:sz w:val="28"/>
          <w:szCs w:val="28"/>
          <w:u w:val="single"/>
        </w:rPr>
        <w:t>22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</w:t>
      </w:r>
      <w:r>
        <w:rPr>
          <w:b/>
          <w:bCs/>
          <w:color w:val="000000"/>
          <w:sz w:val="28"/>
          <w:szCs w:val="28"/>
          <w:u w:val="single"/>
        </w:rPr>
        <w:t>12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/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月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8"/>
        <w:tblW w:w="8606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0" w:hRule="atLeast"/>
        </w:trPr>
        <w:tc>
          <w:tcPr>
            <w:tcW w:w="8606" w:type="dxa"/>
          </w:tcPr>
          <w:p>
            <w:pPr>
              <w:rPr>
                <w:rFonts w:hint="default" w:eastAsia="宋体"/>
                <w:b/>
                <w:bCs/>
                <w:sz w:val="28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2"/>
                <w:lang w:val="en-US" w:eastAsia="zh-CN"/>
              </w:rPr>
              <w:t>实验目的：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掌握带纹理的 obj 文件的读取和显示。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2"/>
                <w:lang w:val="en-US" w:eastAsia="zh-CN"/>
              </w:rPr>
              <w:t>实验内容：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在程序中读取带纹理的 obj 文件，载入相应的纹理图片，将带纹理的模型显示在窗口中。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实现参考效果如下，物体间的位置自行设置。</w:t>
            </w:r>
          </w:p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3042920" cy="1470025"/>
                  <wp:effectExtent l="0" t="0" r="5080" b="158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443" cy="148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  <w:b/>
                <w:bCs/>
                <w:sz w:val="28"/>
                <w:szCs w:val="32"/>
                <w:lang w:val="en-US" w:eastAsia="zh-CN"/>
              </w:rPr>
              <w:t>实验步骤：</w:t>
            </w:r>
          </w:p>
          <w:p>
            <w:pPr>
              <w:numPr>
                <w:ilvl w:val="0"/>
                <w:numId w:val="1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读取带纹理的 obj 文件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在 TriMesh 类中仿照 readOff() 函数的写法，读取带纹理的 obj 文件。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obj文件的每一行都会以一个关键词或者字符开头，“#”开头的为注释内容，“mtllib”开头的关键字后面会跟着要使用的材质文件名字，“usemtl”开头的关键字后面会跟着材质文件中要使用的材质名字，然后下面就跟着顶点的各种数据，每类顶点数据的开头字符都不同，下面举例解释一下：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“v -0.500000 -0.500000 0.500000”中，“v”代表点的几何坐标。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“vt 1.000000 0.000000”的“vt”代表点的贴图坐标。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“vn 0.000000 0.000000 1.000000”中，“vn”代表点的法线。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“f 2/1/1 3/2/1 1/3/1”中，“f”开头表示面的数据，记录的是顶点索引，每个面由多个顶点组成，这里每个顶点的3个数值分别表示顶点索引下标、纹理的UV索引下标、法向量索引下标。索引号分别用左斜线(/)隔开，每个顶点的数据用空格分开，即格式：f 顶点索引/uv点索引/法线索引</w:t>
            </w:r>
          </w:p>
          <w:p>
            <w:pPr>
              <w:ind w:firstLine="42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obj格式记录的模型中，面片f一般是三角面片，也可能是四边形面片，cube.obj和cube2.obj两个模型中一个是由三角面片构成，一个是四边形面片构成。</w:t>
            </w:r>
          </w:p>
          <w:p>
            <w:pPr>
              <w:numPr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1.1 </w:t>
            </w:r>
            <w:r>
              <w:rPr>
                <w:rFonts w:hint="eastAsia"/>
                <w:b/>
                <w:bCs/>
                <w:lang w:val="en-US" w:eastAsia="zh-CN"/>
              </w:rPr>
              <w:t>初始化</w:t>
            </w:r>
          </w:p>
          <w:p/>
          <w:p>
            <w:pPr>
              <w:jc w:val="center"/>
            </w:pPr>
            <w:r>
              <w:drawing>
                <wp:inline distT="0" distB="0" distL="114300" distR="114300">
                  <wp:extent cx="4219575" cy="1339850"/>
                  <wp:effectExtent l="0" t="0" r="9525" b="1270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1.2 </w:t>
            </w:r>
            <w:r>
              <w:rPr>
                <w:rFonts w:hint="eastAsia"/>
                <w:b/>
                <w:bCs/>
                <w:lang w:val="en-US" w:eastAsia="zh-CN"/>
              </w:rPr>
              <w:t>读取 obj 文件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根据行的类型不同，分别读取对应的参数，加入对应的 vector 中。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06315" cy="4902200"/>
                  <wp:effectExtent l="0" t="0" r="13335" b="1270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490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1.3 </w:t>
            </w:r>
            <w:r>
              <w:rPr>
                <w:rFonts w:hint="eastAsia"/>
                <w:b/>
                <w:bCs/>
                <w:lang w:val="en-US" w:eastAsia="zh-CN"/>
              </w:rPr>
              <w:t>vertex_color 和 color_index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vertex_color 和 color_index 可用法向量的数值赋值。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173220" cy="544195"/>
                  <wp:effectExtent l="0" t="0" r="17780" b="825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1"/>
              </w:numPr>
              <w:ind w:left="0" w:leftChars="0" w:firstLine="0" w:firstLineChars="0"/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完善数据的读取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2.1 </w:t>
            </w:r>
            <w:r>
              <w:rPr>
                <w:rFonts w:hint="eastAsia"/>
                <w:b/>
                <w:bCs/>
                <w:lang w:val="en-US" w:eastAsia="zh-CN"/>
              </w:rPr>
              <w:t>归一化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若是归一化物体大小, 需求物体的包围盒的左下角和右上角, 将其坐标归一化。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427220" cy="3173730"/>
                  <wp:effectExtent l="0" t="0" r="11430" b="762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317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2.2 </w:t>
            </w:r>
            <w:r>
              <w:rPr>
                <w:rFonts w:hint="eastAsia"/>
                <w:b/>
                <w:bCs/>
                <w:lang w:val="en-US" w:eastAsia="zh-CN"/>
              </w:rPr>
              <w:t>计算法向量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03445" cy="170180"/>
                  <wp:effectExtent l="0" t="0" r="1905" b="127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45" cy="17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2.3 </w:t>
            </w:r>
            <w:r>
              <w:rPr>
                <w:rFonts w:hint="eastAsia"/>
                <w:b/>
                <w:bCs/>
                <w:lang w:val="en-US" w:eastAsia="zh-CN"/>
              </w:rPr>
              <w:t>将读入的数据传给 GPU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将读取的顶点根据三角面片上的顶点下标逐个加入要传递给 GPU 的 points 、colors 、normals 、textures 容器内。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507230" cy="3589655"/>
                  <wp:effectExtent l="0" t="0" r="7620" b="1079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230" cy="358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numPr>
                <w:ilvl w:val="0"/>
                <w:numId w:val="1"/>
              </w:numPr>
              <w:ind w:left="0" w:leftChars="0" w:firstLine="0" w:firstLineChars="0"/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模型和纹理显示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3.1 </w:t>
            </w:r>
            <w:r>
              <w:rPr>
                <w:rFonts w:hint="eastAsia"/>
                <w:b/>
                <w:bCs/>
                <w:lang w:val="en-US" w:eastAsia="zh-CN"/>
              </w:rPr>
              <w:t>初始化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仿照实验三，设置光源、背景色等。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47565" cy="1931035"/>
                  <wp:effectExtent l="0" t="0" r="63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56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10050" cy="4286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3.2 </w:t>
            </w:r>
            <w:r>
              <w:rPr>
                <w:rFonts w:hint="eastAsia"/>
                <w:b/>
                <w:bCs/>
                <w:lang w:val="en-US" w:eastAsia="zh-CN"/>
              </w:rPr>
              <w:t>读取桌子模型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读取桌子模型的 obj 文件和纹理文件，obj 文件的读取同实验三，将读取到的纹理文件加载到 painter 中。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此外，同实验三，设置桌子的位移和旋转。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074285" cy="1960880"/>
                  <wp:effectExtent l="0" t="0" r="1206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5" cy="196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3.3 </w:t>
            </w:r>
            <w:r>
              <w:rPr>
                <w:rFonts w:hint="eastAsia"/>
                <w:b/>
                <w:bCs/>
                <w:lang w:val="en-US" w:eastAsia="zh-CN"/>
              </w:rPr>
              <w:t>读取娃娃模型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同 3.2 ，读取娃娃模型。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22570" cy="2103755"/>
                  <wp:effectExtent l="0" t="0" r="11430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70" cy="210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  <w:b/>
                <w:bCs/>
                <w:sz w:val="28"/>
                <w:szCs w:val="32"/>
                <w:lang w:val="en-US" w:eastAsia="zh-CN"/>
              </w:rPr>
              <w:t>实验结果：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模型和纹理的展示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运行后终端中输出操作的提示信息，窗口中展示桌子和娃娃模型。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83785" cy="2730500"/>
                  <wp:effectExtent l="0" t="0" r="12065" b="1270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273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交互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2.1 </w:t>
            </w:r>
            <w:r>
              <w:rPr>
                <w:rFonts w:hint="eastAsia"/>
                <w:b/>
                <w:bCs/>
                <w:lang w:val="en-US" w:eastAsia="zh-CN"/>
              </w:rPr>
              <w:t>rotate angle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2796"/>
              <w:gridCol w:w="2797"/>
              <w:gridCol w:w="2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796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减小 </w:t>
                  </w:r>
                  <w:r>
                    <w:rPr>
                      <w:rFonts w:hint="eastAsia"/>
                      <w:lang w:val="en-US" w:eastAsia="zh-CN"/>
                    </w:rPr>
                    <w:t xml:space="preserve"> rotate angle</w:t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rFonts w:hint="eastAsia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增加 </w:t>
                  </w:r>
                  <w:r>
                    <w:rPr>
                      <w:rFonts w:hint="eastAsia"/>
                      <w:lang w:val="en-US" w:eastAsia="zh-CN"/>
                    </w:rPr>
                    <w:t xml:space="preserve"> rotate angle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2796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4490" cy="1717040"/>
                        <wp:effectExtent l="0" t="0" r="3810" b="16510"/>
                        <wp:docPr id="18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490" cy="1717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4490" cy="1711325"/>
                        <wp:effectExtent l="0" t="0" r="3810" b="3175"/>
                        <wp:docPr id="17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490" cy="1711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4490" cy="1710690"/>
                        <wp:effectExtent l="0" t="0" r="3810" b="3810"/>
                        <wp:docPr id="16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490" cy="1710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2.2 </w:t>
            </w:r>
            <w:r>
              <w:rPr>
                <w:rFonts w:hint="eastAsia"/>
                <w:b/>
                <w:bCs/>
                <w:lang w:val="en-US" w:eastAsia="zh-CN"/>
              </w:rPr>
              <w:t>up angle</w:t>
            </w:r>
          </w:p>
          <w:p>
            <w:p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观察到物体的底面没有纹理，是黑色。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2796"/>
              <w:gridCol w:w="2797"/>
              <w:gridCol w:w="2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2796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减小 up angle</w:t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初始</w:t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rFonts w:hint="default" w:eastAsia="宋体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增加 up angle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2796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7030" cy="1710690"/>
                        <wp:effectExtent l="0" t="0" r="1270" b="3810"/>
                        <wp:docPr id="27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7030" cy="1710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4490" cy="1711325"/>
                        <wp:effectExtent l="0" t="0" r="3810" b="3175"/>
                        <wp:docPr id="2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490" cy="1711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97" w:type="dxa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637030" cy="1710690"/>
                        <wp:effectExtent l="0" t="0" r="1270" b="3810"/>
                        <wp:docPr id="26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7030" cy="1710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2.3 </w:t>
            </w:r>
            <w:r>
              <w:rPr>
                <w:rFonts w:hint="eastAsia"/>
                <w:b/>
                <w:bCs/>
                <w:lang w:val="en-US" w:eastAsia="zh-CN"/>
              </w:rPr>
              <w:t>camera radius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因本次实验未添加阴影，故无法展示明显效果。</w:t>
            </w:r>
          </w:p>
          <w:p/>
          <w:p>
            <w:r>
              <w:rPr>
                <w:rFonts w:hint="eastAsia"/>
                <w:b/>
                <w:bCs/>
                <w:sz w:val="28"/>
                <w:szCs w:val="32"/>
                <w:lang w:val="en-US" w:eastAsia="zh-CN"/>
              </w:rPr>
              <w:t>实验心得：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  <w:szCs w:val="24"/>
              </w:rPr>
              <w:t>首先，这次实验让我深入了解了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带纹理的</w:t>
            </w:r>
            <w:r>
              <w:rPr>
                <w:rFonts w:ascii="宋体" w:hAnsi="宋体" w:eastAsia="宋体" w:cs="宋体"/>
                <w:sz w:val="24"/>
                <w:szCs w:val="24"/>
              </w:rPr>
              <w:t>OBJ文件的结构和内容。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带纹理的</w:t>
            </w:r>
            <w:r>
              <w:rPr>
                <w:rFonts w:ascii="宋体" w:hAnsi="宋体" w:eastAsia="宋体" w:cs="宋体"/>
                <w:sz w:val="24"/>
                <w:szCs w:val="24"/>
              </w:rPr>
              <w:t>OBJ文件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除了</w:t>
            </w:r>
            <w:r>
              <w:rPr>
                <w:rFonts w:ascii="宋体" w:hAnsi="宋体" w:eastAsia="宋体" w:cs="宋体"/>
                <w:sz w:val="24"/>
                <w:szCs w:val="24"/>
              </w:rPr>
              <w:t>包含模型的顶点、法向量等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普通 OBJ 文件也有的</w:t>
            </w:r>
            <w:r>
              <w:rPr>
                <w:rFonts w:ascii="宋体" w:hAnsi="宋体" w:eastAsia="宋体" w:cs="宋体"/>
                <w:sz w:val="24"/>
                <w:szCs w:val="24"/>
              </w:rPr>
              <w:t>信息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还包括了纹理坐标等信息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>。通过学习如何解析这些信息，我能够更好地理解模型的构建和渲染过程。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  <w:szCs w:val="24"/>
              </w:rPr>
              <w:t>其次，实验内容涉及到纹理的加载和应用。这对于图形学中的真实感渲染非常关键。通过载入纹理图片并将其应用到模型表面，我学会了如何让模型呈现出更加生动和具体的外观。这也为我理解纹理映射的原理提供了实际的操作经验。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  <w:szCs w:val="24"/>
              </w:rPr>
              <w:t>在处理桌子模型和娃娃模型时，我发现每个模型都有其独特的特性，需要仔细调整和处理。例如，桌子模型可能有平整的表面，而娃娃模型可能有更加复杂的几何形状。这锻炼了我对不同类型模型的处理能力。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  <w:szCs w:val="24"/>
              </w:rPr>
              <w:t>另外，通过在窗口中显示带纹理的模型，我对图形学中的坐标变换、投影等基本概念有了更加直观的认识。了解如何将三维模型映射到屏幕上是图形学中的基础知识，这次实验让我在实际操作中加深了这方面的理解。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  <w:szCs w:val="24"/>
              </w:rPr>
              <w:t>总体而言，这次实验拓展了我的计算机图形学知识，让我在实际操作中学到了很多。通过处理带纹理的OBJ文件</w:t>
            </w:r>
            <w:bookmarkStart w:id="0" w:name="_GoBack"/>
            <w:bookmarkEnd w:id="0"/>
            <w:r>
              <w:rPr>
                <w:rFonts w:ascii="宋体" w:hAnsi="宋体" w:eastAsia="宋体" w:cs="宋体"/>
                <w:sz w:val="24"/>
                <w:szCs w:val="24"/>
              </w:rPr>
              <w:t>，我更好地理解了三维图形的表示和渲染过程，为我今后深入学习图形学领域奠定了坚实的基础。这也增强了我的实际编程能力，使我能够更好地应对图形学领域的挑战。</w:t>
            </w:r>
          </w:p>
          <w:p/>
          <w:p/>
          <w:p/>
          <w:p/>
          <w:p/>
          <w:p/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8"/>
        <w:tblW w:w="8606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2" w:hRule="atLeast"/>
        </w:trPr>
        <w:tc>
          <w:tcPr>
            <w:tcW w:w="8606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  <w:r>
              <w:t xml:space="preserve"> </w:t>
            </w:r>
          </w:p>
          <w:p/>
          <w:p/>
          <w:p/>
          <w:p>
            <w:pPr>
              <w:wordWrap w:val="0"/>
              <w:jc w:val="right"/>
            </w:pPr>
            <w:r>
              <w:rPr>
                <w:rFonts w:hint="eastAsia" w:cs="宋体"/>
              </w:rPr>
              <w:t xml:space="preserve">指导教师签字：   </w:t>
            </w:r>
            <w:r>
              <w:rPr>
                <w:rFonts w:cs="宋体"/>
              </w:rPr>
              <w:t xml:space="preserve"> </w:t>
            </w:r>
            <w:r>
              <w:rPr>
                <w:rFonts w:hint="eastAsia" w:cs="宋体"/>
              </w:rPr>
              <w:t xml:space="preserve">       </w:t>
            </w:r>
            <w:r>
              <w:rPr>
                <w:rFonts w:cs="宋体"/>
              </w:rPr>
              <w:t>2022</w:t>
            </w:r>
            <w:r>
              <w:rPr>
                <w:rFonts w:hint="eastAsia" w:cs="宋体"/>
              </w:rPr>
              <w:t>年</w:t>
            </w:r>
            <w:r>
              <w:rPr>
                <w:rFonts w:cs="宋体"/>
              </w:rPr>
              <w:t xml:space="preserve">   </w:t>
            </w:r>
            <w:r>
              <w:rPr>
                <w:rFonts w:hint="eastAsia" w:cs="宋体"/>
              </w:rPr>
              <w:t>月</w:t>
            </w:r>
            <w:r>
              <w:rPr>
                <w:rFonts w:cs="宋体"/>
              </w:rPr>
              <w:t xml:space="preserve">   </w:t>
            </w:r>
            <w:r>
              <w:rPr>
                <w:rFonts w:hint="eastAsia" w:cs="宋体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0" w:hRule="atLeast"/>
        </w:trPr>
        <w:tc>
          <w:tcPr>
            <w:tcW w:w="8606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E0DBF2"/>
    <w:multiLevelType w:val="singleLevel"/>
    <w:tmpl w:val="55E0DB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3B4ABA1"/>
    <w:multiLevelType w:val="singleLevel"/>
    <w:tmpl w:val="73B4AB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ZlZDBjZDA1ODk0NDkzNzc2ZTk0ZTkxMjY3NDMwNzUifQ=="/>
  </w:docVars>
  <w:rsids>
    <w:rsidRoot w:val="00EA150D"/>
    <w:rsid w:val="00026016"/>
    <w:rsid w:val="00047F02"/>
    <w:rsid w:val="00054DF6"/>
    <w:rsid w:val="00065BFA"/>
    <w:rsid w:val="00090AE0"/>
    <w:rsid w:val="00091B53"/>
    <w:rsid w:val="00096447"/>
    <w:rsid w:val="0010509E"/>
    <w:rsid w:val="0016081A"/>
    <w:rsid w:val="00170EB7"/>
    <w:rsid w:val="00174202"/>
    <w:rsid w:val="00194B0F"/>
    <w:rsid w:val="001A5716"/>
    <w:rsid w:val="001D0252"/>
    <w:rsid w:val="001F4FB1"/>
    <w:rsid w:val="00201D92"/>
    <w:rsid w:val="0021555F"/>
    <w:rsid w:val="00254C8F"/>
    <w:rsid w:val="002615FF"/>
    <w:rsid w:val="002A48AC"/>
    <w:rsid w:val="002C7C58"/>
    <w:rsid w:val="002D1FD5"/>
    <w:rsid w:val="003070CB"/>
    <w:rsid w:val="00310A8D"/>
    <w:rsid w:val="003B15E5"/>
    <w:rsid w:val="003B2620"/>
    <w:rsid w:val="004043CA"/>
    <w:rsid w:val="00407C73"/>
    <w:rsid w:val="004256B1"/>
    <w:rsid w:val="00434E68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2743B"/>
    <w:rsid w:val="00535E24"/>
    <w:rsid w:val="005431C2"/>
    <w:rsid w:val="00577FE1"/>
    <w:rsid w:val="005929C4"/>
    <w:rsid w:val="005A145D"/>
    <w:rsid w:val="005B23C5"/>
    <w:rsid w:val="00605EB5"/>
    <w:rsid w:val="006205E8"/>
    <w:rsid w:val="006213A5"/>
    <w:rsid w:val="0065641B"/>
    <w:rsid w:val="00674B2F"/>
    <w:rsid w:val="00693846"/>
    <w:rsid w:val="00693DF6"/>
    <w:rsid w:val="006B5B89"/>
    <w:rsid w:val="006D1EF2"/>
    <w:rsid w:val="006E333A"/>
    <w:rsid w:val="006F1896"/>
    <w:rsid w:val="006F194D"/>
    <w:rsid w:val="007208DC"/>
    <w:rsid w:val="00732D08"/>
    <w:rsid w:val="00732E9C"/>
    <w:rsid w:val="00734A1A"/>
    <w:rsid w:val="00755B33"/>
    <w:rsid w:val="007579FD"/>
    <w:rsid w:val="00767766"/>
    <w:rsid w:val="00772FE7"/>
    <w:rsid w:val="007A7165"/>
    <w:rsid w:val="007B6BCB"/>
    <w:rsid w:val="007E48AA"/>
    <w:rsid w:val="007F3B1A"/>
    <w:rsid w:val="008201B2"/>
    <w:rsid w:val="00825814"/>
    <w:rsid w:val="0085228A"/>
    <w:rsid w:val="00867B7E"/>
    <w:rsid w:val="008905EB"/>
    <w:rsid w:val="008A6A6E"/>
    <w:rsid w:val="008C6E9E"/>
    <w:rsid w:val="008F12A5"/>
    <w:rsid w:val="009019D8"/>
    <w:rsid w:val="00932640"/>
    <w:rsid w:val="00960BA4"/>
    <w:rsid w:val="00990C59"/>
    <w:rsid w:val="009A3C28"/>
    <w:rsid w:val="009B0C1C"/>
    <w:rsid w:val="009B4B6E"/>
    <w:rsid w:val="009B6692"/>
    <w:rsid w:val="009C6480"/>
    <w:rsid w:val="009E3894"/>
    <w:rsid w:val="009F77F4"/>
    <w:rsid w:val="00A1237B"/>
    <w:rsid w:val="00A165CF"/>
    <w:rsid w:val="00A43C7D"/>
    <w:rsid w:val="00A53874"/>
    <w:rsid w:val="00A64630"/>
    <w:rsid w:val="00A73276"/>
    <w:rsid w:val="00AB6165"/>
    <w:rsid w:val="00B028DA"/>
    <w:rsid w:val="00B046AA"/>
    <w:rsid w:val="00B368C7"/>
    <w:rsid w:val="00B64230"/>
    <w:rsid w:val="00B85F22"/>
    <w:rsid w:val="00B937D5"/>
    <w:rsid w:val="00BB7EB5"/>
    <w:rsid w:val="00BD4E1B"/>
    <w:rsid w:val="00C43E57"/>
    <w:rsid w:val="00C43E8D"/>
    <w:rsid w:val="00C5452C"/>
    <w:rsid w:val="00C67E7C"/>
    <w:rsid w:val="00C74A32"/>
    <w:rsid w:val="00CD2B5A"/>
    <w:rsid w:val="00CD5DC4"/>
    <w:rsid w:val="00CD718B"/>
    <w:rsid w:val="00CE0A44"/>
    <w:rsid w:val="00CE1A4B"/>
    <w:rsid w:val="00D129C1"/>
    <w:rsid w:val="00D6756B"/>
    <w:rsid w:val="00E210B9"/>
    <w:rsid w:val="00E80686"/>
    <w:rsid w:val="00E87AF5"/>
    <w:rsid w:val="00EA150D"/>
    <w:rsid w:val="00EB37EF"/>
    <w:rsid w:val="00EE45C6"/>
    <w:rsid w:val="00EF04C4"/>
    <w:rsid w:val="00EF24BC"/>
    <w:rsid w:val="00F3087A"/>
    <w:rsid w:val="00F45788"/>
    <w:rsid w:val="00F5557A"/>
    <w:rsid w:val="00F66645"/>
    <w:rsid w:val="00FA3783"/>
    <w:rsid w:val="00FB3638"/>
    <w:rsid w:val="00FD3808"/>
    <w:rsid w:val="00FE422D"/>
    <w:rsid w:val="00FF3251"/>
    <w:rsid w:val="04562019"/>
    <w:rsid w:val="046F2CA9"/>
    <w:rsid w:val="08C37A45"/>
    <w:rsid w:val="08F55AC8"/>
    <w:rsid w:val="09700436"/>
    <w:rsid w:val="0E9940BE"/>
    <w:rsid w:val="11905CFB"/>
    <w:rsid w:val="11A930CA"/>
    <w:rsid w:val="11F3694D"/>
    <w:rsid w:val="127776DE"/>
    <w:rsid w:val="13FF09AB"/>
    <w:rsid w:val="151C7523"/>
    <w:rsid w:val="15510C3D"/>
    <w:rsid w:val="17886A8D"/>
    <w:rsid w:val="1BA2638D"/>
    <w:rsid w:val="1D9F453E"/>
    <w:rsid w:val="21B95553"/>
    <w:rsid w:val="22CA7B97"/>
    <w:rsid w:val="27AC7A9A"/>
    <w:rsid w:val="297B3701"/>
    <w:rsid w:val="2A895E70"/>
    <w:rsid w:val="2BAE47DD"/>
    <w:rsid w:val="2D272D9A"/>
    <w:rsid w:val="35D13952"/>
    <w:rsid w:val="37422E24"/>
    <w:rsid w:val="37CD1F65"/>
    <w:rsid w:val="37F73527"/>
    <w:rsid w:val="39E23288"/>
    <w:rsid w:val="3ADD03FE"/>
    <w:rsid w:val="3F9331F9"/>
    <w:rsid w:val="406C7D7D"/>
    <w:rsid w:val="41BF2937"/>
    <w:rsid w:val="446E14CD"/>
    <w:rsid w:val="4A397A37"/>
    <w:rsid w:val="4CC44C05"/>
    <w:rsid w:val="4F2714E1"/>
    <w:rsid w:val="4FB67F0C"/>
    <w:rsid w:val="55E4784D"/>
    <w:rsid w:val="56BF6237"/>
    <w:rsid w:val="57DB060A"/>
    <w:rsid w:val="5BB90632"/>
    <w:rsid w:val="5C966047"/>
    <w:rsid w:val="5CC67BF9"/>
    <w:rsid w:val="5E897E68"/>
    <w:rsid w:val="5F4E1BA1"/>
    <w:rsid w:val="5F591286"/>
    <w:rsid w:val="601856F1"/>
    <w:rsid w:val="60A21451"/>
    <w:rsid w:val="61251A8A"/>
    <w:rsid w:val="61473D00"/>
    <w:rsid w:val="62564068"/>
    <w:rsid w:val="64C37821"/>
    <w:rsid w:val="65644AF6"/>
    <w:rsid w:val="6CEC3A27"/>
    <w:rsid w:val="6D7A6383"/>
    <w:rsid w:val="7014793A"/>
    <w:rsid w:val="72062ED0"/>
    <w:rsid w:val="7436588D"/>
    <w:rsid w:val="7AD41828"/>
    <w:rsid w:val="7BB23018"/>
    <w:rsid w:val="7F06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qFormat="1" w:unhideWhenUsed="0"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99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1"/>
    <w:next w:val="1"/>
    <w:link w:val="12"/>
    <w:qFormat/>
    <w:uiPriority w:val="99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semiHidden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semiHidden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8"/>
    <w:qFormat/>
    <w:locked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9">
    <w:name w:val="Table Grid"/>
    <w:basedOn w:val="8"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2 字符"/>
    <w:basedOn w:val="10"/>
    <w:link w:val="2"/>
    <w:qFormat/>
    <w:locked/>
    <w:uiPriority w:val="99"/>
    <w:rPr>
      <w:rFonts w:ascii="Arial" w:hAnsi="Arial" w:eastAsia="宋体" w:cs="Times New Roman"/>
      <w:b/>
      <w:bCs/>
      <w:sz w:val="28"/>
      <w:szCs w:val="28"/>
    </w:rPr>
  </w:style>
  <w:style w:type="character" w:customStyle="1" w:styleId="12">
    <w:name w:val="标题 3 字符"/>
    <w:basedOn w:val="10"/>
    <w:link w:val="3"/>
    <w:qFormat/>
    <w:locked/>
    <w:uiPriority w:val="99"/>
    <w:rPr>
      <w:rFonts w:ascii="宋体" w:hAnsi="Times New Roman" w:eastAsia="宋体" w:cs="Times New Roman"/>
      <w:b/>
      <w:bCs/>
      <w:sz w:val="24"/>
      <w:szCs w:val="24"/>
    </w:rPr>
  </w:style>
  <w:style w:type="paragraph" w:customStyle="1" w:styleId="13">
    <w:name w:val="正文1"/>
    <w:basedOn w:val="1"/>
    <w:qFormat/>
    <w:uiPriority w:val="99"/>
    <w:pPr>
      <w:ind w:firstLine="420"/>
    </w:pPr>
    <w:rPr>
      <w:rFonts w:ascii="Times New Roman" w:hAnsi="Times New Roman"/>
      <w:szCs w:val="24"/>
    </w:rPr>
  </w:style>
  <w:style w:type="paragraph" w:customStyle="1" w:styleId="14">
    <w:name w:val="列出段落1"/>
    <w:basedOn w:val="1"/>
    <w:qFormat/>
    <w:uiPriority w:val="99"/>
    <w:pPr>
      <w:ind w:firstLine="420" w:firstLineChars="200"/>
    </w:pPr>
  </w:style>
  <w:style w:type="character" w:customStyle="1" w:styleId="15">
    <w:name w:val="页眉 字符"/>
    <w:basedOn w:val="10"/>
    <w:link w:val="6"/>
    <w:semiHidden/>
    <w:qFormat/>
    <w:locked/>
    <w:uiPriority w:val="99"/>
    <w:rPr>
      <w:rFonts w:cs="Times New Roman"/>
      <w:sz w:val="18"/>
      <w:szCs w:val="18"/>
    </w:rPr>
  </w:style>
  <w:style w:type="character" w:customStyle="1" w:styleId="16">
    <w:name w:val="页脚 字符"/>
    <w:basedOn w:val="10"/>
    <w:link w:val="5"/>
    <w:semiHidden/>
    <w:qFormat/>
    <w:locked/>
    <w:uiPriority w:val="99"/>
    <w:rPr>
      <w:rFonts w:cs="Times New Roman"/>
      <w:sz w:val="18"/>
      <w:szCs w:val="18"/>
    </w:rPr>
  </w:style>
  <w:style w:type="character" w:customStyle="1" w:styleId="17">
    <w:name w:val="批注框文本 字符"/>
    <w:basedOn w:val="10"/>
    <w:link w:val="4"/>
    <w:semiHidden/>
    <w:uiPriority w:val="99"/>
    <w:rPr>
      <w:rFonts w:ascii="Calibri" w:hAnsi="Calibri"/>
      <w:kern w:val="2"/>
      <w:sz w:val="18"/>
      <w:szCs w:val="18"/>
    </w:rPr>
  </w:style>
  <w:style w:type="character" w:customStyle="1" w:styleId="18">
    <w:name w:val="标题 字符"/>
    <w:basedOn w:val="10"/>
    <w:link w:val="7"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Chinese ORG</Company>
  <Pages>3</Pages>
  <Words>100</Words>
  <Characters>575</Characters>
  <Lines>4</Lines>
  <Paragraphs>1</Paragraphs>
  <TotalTime>3</TotalTime>
  <ScaleCrop>false</ScaleCrop>
  <LinksUpToDate>false</LinksUpToDate>
  <CharactersWithSpaces>674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2019-09-17T14:41:00Z</dcterms:created>
  <dc:creator>Chinese User</dc:creator>
  <cp:lastModifiedBy>Hytidel</cp:lastModifiedBy>
  <cp:lastPrinted>2016-09-13T02:41:00Z</cp:lastPrinted>
  <dcterms:modified xsi:type="dcterms:W3CDTF">2023-11-29T03:31:12Z</dcterms:modified>
  <dc:title>深 圳 大 学 实 验 报 告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C63274DE85574C08A8B6198EF641449E_12</vt:lpwstr>
  </property>
</Properties>
</file>