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434E97">
      <w:pPr>
        <w:ind w:firstLine="321" w:firstLineChars="100"/>
        <w:rPr>
          <w:rFonts w:hint="eastAsia" w:ascii="黑体" w:hAnsi="黑体" w:eastAsia="黑体"/>
          <w:b/>
          <w:bCs/>
          <w:sz w:val="32"/>
          <w:szCs w:val="32"/>
        </w:rPr>
      </w:pPr>
      <w:r>
        <w:rPr>
          <w:rFonts w:hint="eastAsia" w:ascii="黑体" w:hAnsi="黑体" w:eastAsia="黑体"/>
          <w:b/>
          <w:bCs/>
          <w:sz w:val="32"/>
          <w:szCs w:val="32"/>
        </w:rPr>
        <w:t>内部</w:t>
      </w:r>
    </w:p>
    <w:p w14:paraId="20F511AC">
      <w:pPr>
        <w:rPr>
          <w:rFonts w:hint="eastAsia"/>
          <w:b/>
          <w:bCs/>
          <w:sz w:val="30"/>
        </w:rPr>
      </w:pPr>
      <w:r>
        <w:rPr>
          <w:rFonts w:hint="eastAsia" w:ascii="黑体" w:hAnsi="黑体" w:eastAsia="黑体"/>
          <w:b/>
          <w:bCs/>
          <w:sz w:val="32"/>
          <w:szCs w:val="32"/>
        </w:rPr>
        <w:t xml:space="preserve">  </w:t>
      </w:r>
      <w:r>
        <w:rPr>
          <w:rFonts w:hint="eastAsia"/>
          <w:b/>
          <w:bCs/>
          <w:sz w:val="30"/>
        </w:rPr>
        <w:t xml:space="preserve">              合同编号：AQFH-JCXT-KSH-20251103-002</w:t>
      </w:r>
    </w:p>
    <w:p w14:paraId="74B3BBF0">
      <w:pPr>
        <w:rPr>
          <w:rFonts w:hint="eastAsia"/>
          <w:sz w:val="30"/>
        </w:rPr>
      </w:pPr>
    </w:p>
    <w:p w14:paraId="2E3DD8D4">
      <w:pPr>
        <w:rPr>
          <w:rFonts w:hint="eastAsia"/>
          <w:sz w:val="30"/>
        </w:rPr>
      </w:pPr>
    </w:p>
    <w:p w14:paraId="15B41390">
      <w:pPr>
        <w:jc w:val="center"/>
        <w:rPr>
          <w:rFonts w:hint="eastAsia"/>
          <w:b/>
          <w:sz w:val="52"/>
        </w:rPr>
      </w:pPr>
      <w:r>
        <w:rPr>
          <w:rFonts w:hint="eastAsia"/>
          <w:b/>
          <w:sz w:val="52"/>
        </w:rPr>
        <w:t>西北工业大学协作配套合同书</w:t>
      </w:r>
    </w:p>
    <w:p w14:paraId="385F26EC">
      <w:pPr>
        <w:rPr>
          <w:rFonts w:hint="eastAsia"/>
          <w:sz w:val="44"/>
        </w:rPr>
      </w:pPr>
    </w:p>
    <w:p w14:paraId="3564FAA3">
      <w:pPr>
        <w:rPr>
          <w:rFonts w:hint="eastAsia"/>
        </w:rPr>
      </w:pPr>
    </w:p>
    <w:p w14:paraId="7DEFFCF4">
      <w:pPr>
        <w:rPr>
          <w:rFonts w:hint="eastAsia"/>
        </w:rPr>
      </w:pPr>
    </w:p>
    <w:p w14:paraId="7AC81040">
      <w:pPr>
        <w:rPr>
          <w:rFonts w:hint="eastAsia"/>
        </w:rPr>
      </w:pPr>
    </w:p>
    <w:p w14:paraId="682471F1">
      <w:pPr>
        <w:spacing w:line="700" w:lineRule="exact"/>
        <w:rPr>
          <w:rFonts w:hint="eastAsia"/>
          <w:b/>
          <w:sz w:val="32"/>
        </w:rPr>
      </w:pPr>
      <w:r>
        <w:rPr>
          <w:rFonts w:hint="eastAsia"/>
          <w:b/>
          <w:sz w:val="32"/>
        </w:rPr>
        <w:t>项目名称：</w:t>
      </w:r>
      <w:r>
        <w:rPr>
          <w:rFonts w:hint="eastAsia"/>
          <w:b/>
          <w:sz w:val="32"/>
          <w:u w:val="single"/>
        </w:rPr>
        <w:t xml:space="preserve"> 安全防护监测系统可视化项目(二期)                                  </w:t>
      </w:r>
    </w:p>
    <w:p w14:paraId="12DF22DF">
      <w:pPr>
        <w:spacing w:line="700" w:lineRule="exact"/>
        <w:rPr>
          <w:rFonts w:hint="eastAsia"/>
          <w:b/>
          <w:sz w:val="32"/>
          <w:u w:val="single"/>
        </w:rPr>
      </w:pPr>
      <w:r>
        <w:rPr>
          <w:rFonts w:hint="eastAsia"/>
          <w:b/>
          <w:sz w:val="32"/>
        </w:rPr>
        <w:t>委托方（甲方）：</w:t>
      </w:r>
      <w:r>
        <w:rPr>
          <w:rFonts w:hint="eastAsia"/>
          <w:b/>
          <w:sz w:val="32"/>
          <w:u w:val="single"/>
        </w:rPr>
        <w:t xml:space="preserve"> 西北工业大学                       </w:t>
      </w:r>
    </w:p>
    <w:p w14:paraId="776E8843">
      <w:pPr>
        <w:spacing w:line="700" w:lineRule="exact"/>
        <w:rPr>
          <w:rFonts w:hint="eastAsia"/>
          <w:b/>
          <w:sz w:val="32"/>
          <w:u w:val="single"/>
        </w:rPr>
      </w:pPr>
      <w:r>
        <w:rPr>
          <w:rFonts w:hint="eastAsia"/>
          <w:b/>
          <w:sz w:val="32"/>
        </w:rPr>
        <w:t>受托方（乙方）：</w:t>
      </w:r>
      <w:r>
        <w:rPr>
          <w:rFonts w:hint="eastAsia"/>
          <w:b/>
          <w:sz w:val="32"/>
          <w:u w:val="single"/>
        </w:rPr>
        <w:t xml:space="preserve"> 安徽梦馨信息技术有限公司                               </w:t>
      </w:r>
    </w:p>
    <w:p w14:paraId="666E59AA">
      <w:pPr>
        <w:spacing w:line="700" w:lineRule="exact"/>
        <w:rPr>
          <w:rFonts w:hint="eastAsia"/>
          <w:b/>
          <w:sz w:val="32"/>
        </w:rPr>
      </w:pPr>
      <w:r>
        <w:rPr>
          <w:rFonts w:hint="eastAsia"/>
          <w:b/>
          <w:sz w:val="32"/>
        </w:rPr>
        <w:t>签订时间：</w:t>
      </w:r>
      <w:r>
        <w:rPr>
          <w:rFonts w:hint="eastAsia"/>
          <w:b/>
          <w:sz w:val="32"/>
          <w:u w:val="single"/>
        </w:rPr>
        <w:t xml:space="preserve"> 2025年11月03日                                            </w:t>
      </w:r>
    </w:p>
    <w:p w14:paraId="3272BB2E">
      <w:pPr>
        <w:spacing w:line="700" w:lineRule="exact"/>
        <w:rPr>
          <w:rFonts w:hint="eastAsia"/>
          <w:b/>
          <w:sz w:val="32"/>
          <w:u w:val="single"/>
        </w:rPr>
      </w:pPr>
      <w:r>
        <w:rPr>
          <w:rFonts w:hint="eastAsia"/>
          <w:b/>
          <w:sz w:val="32"/>
        </w:rPr>
        <w:t>签订地点：</w:t>
      </w:r>
      <w:r>
        <w:rPr>
          <w:rFonts w:hint="eastAsia"/>
          <w:b/>
          <w:sz w:val="32"/>
          <w:u w:val="single"/>
        </w:rPr>
        <w:t xml:space="preserve"> 西北工业大学网络空间安全学院245会议室                                           </w:t>
      </w:r>
    </w:p>
    <w:p w14:paraId="7683A72E">
      <w:pPr>
        <w:spacing w:line="700" w:lineRule="exact"/>
        <w:rPr>
          <w:rFonts w:hint="eastAsia"/>
          <w:sz w:val="30"/>
          <w:u w:val="single"/>
        </w:rPr>
      </w:pPr>
      <w:r>
        <w:rPr>
          <w:rFonts w:hint="eastAsia"/>
          <w:b/>
          <w:sz w:val="32"/>
        </w:rPr>
        <w:t>有效期限：</w:t>
      </w:r>
      <w:r>
        <w:rPr>
          <w:rFonts w:hint="eastAsia"/>
          <w:b/>
          <w:sz w:val="32"/>
          <w:u w:val="single"/>
        </w:rPr>
        <w:t xml:space="preserve"> 2025年11月03日 至 2025年12月01日         </w:t>
      </w:r>
    </w:p>
    <w:p w14:paraId="33B176E3">
      <w:pPr>
        <w:rPr>
          <w:rFonts w:hint="eastAsia"/>
          <w:sz w:val="30"/>
        </w:rPr>
      </w:pPr>
    </w:p>
    <w:p w14:paraId="3A2AC0F3">
      <w:pPr>
        <w:rPr>
          <w:rFonts w:hint="eastAsia"/>
          <w:sz w:val="30"/>
        </w:rPr>
      </w:pPr>
    </w:p>
    <w:p w14:paraId="4BB906C2">
      <w:pPr>
        <w:rPr>
          <w:rFonts w:hint="eastAsia"/>
          <w:sz w:val="30"/>
        </w:rPr>
      </w:pPr>
    </w:p>
    <w:p w14:paraId="30210E80">
      <w:pPr>
        <w:rPr>
          <w:rFonts w:hint="eastAsia"/>
          <w:sz w:val="30"/>
        </w:rPr>
      </w:pPr>
    </w:p>
    <w:p w14:paraId="153905FE">
      <w:pPr>
        <w:rPr>
          <w:rFonts w:hint="eastAsia"/>
          <w:sz w:val="44"/>
        </w:rPr>
      </w:pPr>
    </w:p>
    <w:p w14:paraId="47A7A156">
      <w:pPr>
        <w:jc w:val="center"/>
        <w:rPr>
          <w:rFonts w:hint="eastAsia" w:eastAsia="黑体"/>
          <w:b/>
          <w:sz w:val="32"/>
        </w:rPr>
      </w:pPr>
      <w:r>
        <w:rPr>
          <w:rFonts w:hint="eastAsia" w:eastAsia="黑体"/>
          <w:b/>
          <w:sz w:val="32"/>
        </w:rPr>
        <w:t>西北工业大学科学技术研究院印制</w:t>
      </w:r>
    </w:p>
    <w:p w14:paraId="04E545B3">
      <w:pPr>
        <w:rPr>
          <w:rFonts w:hint="eastAsia"/>
          <w:sz w:val="32"/>
        </w:rPr>
      </w:pPr>
    </w:p>
    <w:p w14:paraId="6AAF9541">
      <w:pPr>
        <w:rPr>
          <w:rFonts w:hint="eastAsia" w:ascii="宋体"/>
          <w:sz w:val="24"/>
        </w:rPr>
      </w:pPr>
    </w:p>
    <w:p w14:paraId="6CFDC56A">
      <w:pPr>
        <w:jc w:val="center"/>
        <w:rPr>
          <w:rFonts w:hint="eastAsia" w:eastAsia="楷体_GB2312"/>
          <w:b/>
          <w:bCs/>
          <w:sz w:val="28"/>
        </w:rPr>
      </w:pPr>
      <w:r>
        <w:rPr>
          <w:rFonts w:hint="eastAsia" w:eastAsia="楷体_GB2312"/>
          <w:b/>
          <w:bCs/>
          <w:sz w:val="28"/>
        </w:rPr>
        <w:t>填  写  说  明</w:t>
      </w:r>
    </w:p>
    <w:p w14:paraId="5E8B5570">
      <w:pPr>
        <w:pStyle w:val="11"/>
        <w:rPr>
          <w:rFonts w:eastAsia="楷体_GB2312"/>
          <w:b/>
          <w:bCs/>
          <w:sz w:val="28"/>
        </w:rPr>
      </w:pPr>
      <w:r>
        <w:rPr>
          <w:rFonts w:hint="eastAsia" w:eastAsia="楷体_GB2312"/>
          <w:b/>
          <w:bCs/>
          <w:sz w:val="28"/>
        </w:rPr>
        <w:t xml:space="preserve">    一、本合同参照中华人民共和国科学技术部印制的技术开发（委托）合同示范文本，各技术合同登记机构可推介技术合同当事人参照使用。</w:t>
      </w:r>
    </w:p>
    <w:p w14:paraId="2259931D">
      <w:pPr>
        <w:ind w:firstLine="570"/>
        <w:rPr>
          <w:rFonts w:hint="eastAsia" w:eastAsia="楷体_GB2312"/>
          <w:b/>
          <w:bCs/>
          <w:sz w:val="28"/>
        </w:rPr>
      </w:pPr>
      <w:r>
        <w:rPr>
          <w:rFonts w:hint="eastAsia" w:eastAsia="楷体_GB2312"/>
          <w:b/>
          <w:bCs/>
          <w:sz w:val="28"/>
        </w:rPr>
        <w:t>二、本合同书适用于一方当事人委托另一方当事人进行新技术、新产品、新工艺、新材料或者新品种及其系统的研究开发所订立的技术开发合同。</w:t>
      </w:r>
    </w:p>
    <w:p w14:paraId="616D88D0">
      <w:pPr>
        <w:pStyle w:val="12"/>
        <w:rPr>
          <w:b/>
          <w:bCs/>
        </w:rPr>
      </w:pPr>
      <w:r>
        <w:rPr>
          <w:rFonts w:hint="eastAsia"/>
          <w:b/>
          <w:bCs/>
        </w:rPr>
        <w:t>三、签约一方为多个当事人的，可按各自在合同关系中的作用等，在“委托方”、“受托方”项下（增页）分别排列为共同委托人或共同受托人。</w:t>
      </w:r>
    </w:p>
    <w:p w14:paraId="42268621">
      <w:pPr>
        <w:rPr>
          <w:rFonts w:hint="eastAsia" w:eastAsia="楷体_GB2312"/>
          <w:b/>
          <w:bCs/>
          <w:sz w:val="28"/>
        </w:rPr>
      </w:pPr>
      <w:r>
        <w:rPr>
          <w:rFonts w:hint="eastAsia" w:eastAsia="楷体_GB2312"/>
          <w:b/>
          <w:bCs/>
          <w:sz w:val="28"/>
        </w:rPr>
        <w:t xml:space="preserve">    四、本合同书未尽事项，可由当事人附页另行约定，并可作为本合同的组成部分。</w:t>
      </w:r>
    </w:p>
    <w:p w14:paraId="5AF46F69">
      <w:pPr>
        <w:rPr>
          <w:rFonts w:hint="eastAsia" w:eastAsia="楷体_GB2312"/>
          <w:b/>
          <w:bCs/>
          <w:sz w:val="28"/>
        </w:rPr>
      </w:pPr>
      <w:r>
        <w:rPr>
          <w:rFonts w:hint="eastAsia" w:eastAsia="楷体_GB2312"/>
          <w:b/>
          <w:bCs/>
          <w:sz w:val="28"/>
        </w:rPr>
        <w:t xml:space="preserve">    五、当事人使用本合同书时约定无需填写的条款，应在该条款处注明“无“等字样。</w:t>
      </w:r>
    </w:p>
    <w:p w14:paraId="6E62FDA9">
      <w:pPr>
        <w:rPr>
          <w:rFonts w:hint="eastAsia" w:ascii="宋体"/>
          <w:sz w:val="24"/>
        </w:rPr>
      </w:pPr>
    </w:p>
    <w:p w14:paraId="66AA3986">
      <w:pPr>
        <w:jc w:val="center"/>
        <w:rPr>
          <w:rFonts w:hint="eastAsia"/>
          <w:b/>
          <w:sz w:val="30"/>
        </w:rPr>
      </w:pPr>
    </w:p>
    <w:p w14:paraId="2B6DB0B5">
      <w:pPr>
        <w:jc w:val="center"/>
        <w:rPr>
          <w:rFonts w:hint="eastAsia"/>
          <w:b/>
          <w:sz w:val="30"/>
        </w:rPr>
      </w:pPr>
    </w:p>
    <w:p w14:paraId="2A20E03B">
      <w:pPr>
        <w:jc w:val="center"/>
        <w:rPr>
          <w:rFonts w:hint="eastAsia"/>
          <w:b/>
          <w:sz w:val="30"/>
        </w:rPr>
      </w:pPr>
    </w:p>
    <w:p w14:paraId="4A46EE0E">
      <w:pPr>
        <w:jc w:val="center"/>
        <w:rPr>
          <w:rFonts w:hint="eastAsia"/>
          <w:b/>
          <w:sz w:val="30"/>
        </w:rPr>
      </w:pPr>
    </w:p>
    <w:p w14:paraId="1E2778E3">
      <w:pPr>
        <w:jc w:val="center"/>
        <w:rPr>
          <w:rFonts w:hint="eastAsia"/>
          <w:b/>
          <w:sz w:val="30"/>
        </w:rPr>
      </w:pPr>
    </w:p>
    <w:p w14:paraId="6B556239">
      <w:pPr>
        <w:rPr>
          <w:rFonts w:hint="eastAsia"/>
          <w:b/>
          <w:sz w:val="30"/>
        </w:rPr>
      </w:pPr>
    </w:p>
    <w:p w14:paraId="45A602AB">
      <w:pPr>
        <w:rPr>
          <w:rFonts w:hint="eastAsia"/>
          <w:b/>
          <w:sz w:val="30"/>
        </w:rPr>
      </w:pPr>
    </w:p>
    <w:p w14:paraId="5E46B355">
      <w:pPr>
        <w:jc w:val="center"/>
        <w:rPr>
          <w:rFonts w:ascii="Calibri" w:hAnsi="Calibri" w:eastAsia="宋体" w:cs="Times New Roman"/>
          <w:b/>
          <w:sz w:val="36"/>
          <w:szCs w:val="36"/>
        </w:rPr>
      </w:pPr>
      <w:r>
        <w:rPr>
          <w:rFonts w:hint="eastAsia" w:ascii="Calibri" w:hAnsi="Calibri" w:eastAsia="宋体" w:cs="Times New Roman"/>
          <w:b/>
          <w:sz w:val="36"/>
          <w:szCs w:val="36"/>
        </w:rPr>
        <w:t>西北工业大学协作配套合同书</w:t>
      </w:r>
    </w:p>
    <w:p w14:paraId="595AA6B5">
      <w:pPr>
        <w:rPr>
          <w:rFonts w:ascii="Calibri" w:hAnsi="Calibri" w:eastAsia="宋体" w:cs="Times New Roman"/>
          <w:sz w:val="24"/>
        </w:rPr>
      </w:pPr>
    </w:p>
    <w:p w14:paraId="05BA5E00">
      <w:pPr>
        <w:rPr>
          <w:rFonts w:ascii="Calibri" w:hAnsi="Calibri" w:eastAsia="宋体" w:cs="Times New Roman"/>
          <w:sz w:val="24"/>
          <w:u w:val="single"/>
        </w:rPr>
      </w:pPr>
      <w:r>
        <w:rPr>
          <w:rFonts w:hint="eastAsia" w:ascii="Calibri" w:hAnsi="Calibri" w:eastAsia="宋体" w:cs="Times New Roman"/>
          <w:sz w:val="24"/>
        </w:rPr>
        <w:t>委托方（甲方）：</w:t>
      </w:r>
      <w:r>
        <w:rPr>
          <w:rFonts w:hint="eastAsia" w:ascii="Calibri" w:hAnsi="Calibri" w:eastAsia="宋体" w:cs="Times New Roman"/>
          <w:sz w:val="24"/>
          <w:u w:val="single"/>
        </w:rPr>
        <w:t xml:space="preserve"> 西北工业大学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p>
    <w:p w14:paraId="59B4DD39">
      <w:pPr>
        <w:rPr>
          <w:rFonts w:ascii="Calibri" w:hAnsi="Calibri" w:eastAsia="宋体" w:cs="Times New Roman"/>
          <w:sz w:val="24"/>
        </w:rPr>
      </w:pPr>
    </w:p>
    <w:p w14:paraId="0A97A888">
      <w:pPr>
        <w:rPr>
          <w:rFonts w:ascii="Calibri" w:hAnsi="Calibri" w:eastAsia="宋体" w:cs="Times New Roman"/>
          <w:sz w:val="24"/>
          <w:u w:val="single"/>
        </w:rPr>
      </w:pPr>
      <w:r>
        <w:rPr>
          <w:rFonts w:hint="eastAsia" w:ascii="Calibri" w:hAnsi="Calibri" w:eastAsia="宋体" w:cs="Times New Roman"/>
          <w:sz w:val="24"/>
        </w:rPr>
        <w:t>住  所  地：</w:t>
      </w:r>
      <w:r>
        <w:rPr>
          <w:rFonts w:hint="eastAsia" w:ascii="Calibri" w:hAnsi="Calibri" w:eastAsia="宋体" w:cs="Times New Roman"/>
          <w:sz w:val="24"/>
          <w:u w:val="single"/>
        </w:rPr>
        <w:t xml:space="preserve"> 陕西省西安市友谊西路</w:t>
      </w:r>
      <w:r>
        <w:rPr>
          <w:rFonts w:hint="eastAsia" w:ascii="宋体" w:hAnsi="宋体" w:eastAsia="宋体" w:cs="Times New Roman"/>
          <w:sz w:val="24"/>
          <w:u w:val="single"/>
        </w:rPr>
        <w:t>127</w:t>
      </w:r>
      <w:r>
        <w:rPr>
          <w:rFonts w:hint="eastAsia" w:ascii="Calibri" w:hAnsi="Calibri" w:eastAsia="宋体" w:cs="Times New Roman"/>
          <w:sz w:val="24"/>
          <w:u w:val="single"/>
        </w:rPr>
        <w:t xml:space="preserve">号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p>
    <w:p w14:paraId="77290E31">
      <w:pPr>
        <w:rPr>
          <w:rFonts w:ascii="Calibri" w:hAnsi="Calibri" w:eastAsia="宋体" w:cs="Times New Roman"/>
          <w:sz w:val="24"/>
          <w:u w:val="single"/>
        </w:rPr>
      </w:pPr>
    </w:p>
    <w:p w14:paraId="7D12751E">
      <w:pPr>
        <w:rPr>
          <w:rFonts w:ascii="Calibri" w:hAnsi="Calibri" w:eastAsia="宋体" w:cs="Times New Roman"/>
          <w:sz w:val="24"/>
          <w:u w:val="single"/>
        </w:rPr>
      </w:pPr>
      <w:r>
        <w:rPr>
          <w:rFonts w:hint="eastAsia" w:ascii="Calibri" w:hAnsi="Calibri" w:eastAsia="宋体" w:cs="Times New Roman"/>
          <w:sz w:val="24"/>
        </w:rPr>
        <w:t>法定代表人：</w:t>
      </w:r>
      <w:r>
        <w:rPr>
          <w:rFonts w:hint="eastAsia" w:ascii="Calibri" w:hAnsi="Calibri" w:eastAsia="宋体" w:cs="Times New Roman"/>
          <w:sz w:val="24"/>
          <w:u w:val="single"/>
        </w:rPr>
        <w:t xml:space="preserve"> 宋保维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p>
    <w:p w14:paraId="482401E6">
      <w:pPr>
        <w:rPr>
          <w:rFonts w:ascii="Calibri" w:hAnsi="Calibri" w:eastAsia="宋体" w:cs="Times New Roman"/>
          <w:sz w:val="24"/>
        </w:rPr>
      </w:pPr>
    </w:p>
    <w:p w14:paraId="2869B417">
      <w:pPr>
        <w:rPr>
          <w:rFonts w:ascii="Calibri" w:hAnsi="Calibri" w:eastAsia="宋体" w:cs="Times New Roman"/>
          <w:sz w:val="24"/>
          <w:u w:val="single"/>
        </w:rPr>
      </w:pPr>
      <w:r>
        <w:rPr>
          <w:rFonts w:hint="eastAsia" w:ascii="Calibri" w:hAnsi="Calibri" w:eastAsia="宋体" w:cs="Times New Roman"/>
          <w:sz w:val="24"/>
        </w:rPr>
        <w:t>项目联系人：</w:t>
      </w:r>
      <w:r>
        <w:rPr>
          <w:rFonts w:hint="eastAsia" w:ascii="Calibri" w:hAnsi="Calibri" w:eastAsia="宋体" w:cs="Times New Roman"/>
          <w:sz w:val="24"/>
          <w:u w:val="single"/>
        </w:rPr>
        <w:t xml:space="preserve"> 刘家佳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p>
    <w:p w14:paraId="7A2EA088">
      <w:pPr>
        <w:rPr>
          <w:rFonts w:ascii="Calibri" w:hAnsi="Calibri" w:eastAsia="宋体" w:cs="Times New Roman"/>
          <w:sz w:val="24"/>
        </w:rPr>
      </w:pPr>
    </w:p>
    <w:p w14:paraId="69D17ADD">
      <w:pPr>
        <w:rPr>
          <w:rFonts w:ascii="Calibri" w:hAnsi="Calibri" w:eastAsia="宋体" w:cs="Times New Roman"/>
          <w:sz w:val="24"/>
          <w:u w:val="single"/>
        </w:rPr>
      </w:pPr>
      <w:r>
        <w:rPr>
          <w:rFonts w:hint="eastAsia" w:ascii="Calibri" w:hAnsi="Calibri" w:eastAsia="宋体" w:cs="Times New Roman"/>
          <w:sz w:val="24"/>
        </w:rPr>
        <w:t>联系方式：</w:t>
      </w:r>
      <w:r>
        <w:rPr>
          <w:rFonts w:hint="eastAsia" w:ascii="Calibri" w:hAnsi="Calibri" w:eastAsia="宋体" w:cs="Times New Roman"/>
          <w:sz w:val="24"/>
          <w:u w:val="single"/>
        </w:rPr>
        <w:t xml:space="preserve"> </w:t>
      </w:r>
      <w:r>
        <w:rPr>
          <w:rFonts w:hint="eastAsia" w:ascii="宋体" w:hAnsi="宋体" w:eastAsia="宋体" w:cs="Times New Roman"/>
          <w:sz w:val="24"/>
          <w:u w:val="single"/>
        </w:rPr>
        <w:t>18165268384</w:t>
      </w:r>
      <w:r>
        <w:rPr>
          <w:rFonts w:hint="eastAsia" w:ascii="Calibri" w:hAnsi="Calibri" w:eastAsia="宋体" w:cs="Times New Roman"/>
          <w:sz w:val="24"/>
          <w:u w:val="single"/>
        </w:rPr>
        <w:t xml:space="preserve">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p>
    <w:p w14:paraId="24635B0F">
      <w:pPr>
        <w:rPr>
          <w:rFonts w:ascii="Calibri" w:hAnsi="Calibri" w:eastAsia="宋体" w:cs="Times New Roman"/>
          <w:sz w:val="24"/>
        </w:rPr>
      </w:pPr>
    </w:p>
    <w:p w14:paraId="12A92213">
      <w:pPr>
        <w:rPr>
          <w:rFonts w:ascii="Calibri" w:hAnsi="Calibri" w:eastAsia="宋体" w:cs="Times New Roman"/>
          <w:sz w:val="24"/>
          <w:u w:val="single"/>
        </w:rPr>
      </w:pPr>
      <w:r>
        <w:rPr>
          <w:rFonts w:hint="eastAsia" w:ascii="Calibri" w:hAnsi="Calibri" w:eastAsia="宋体" w:cs="Times New Roman"/>
          <w:sz w:val="24"/>
        </w:rPr>
        <w:t>通讯地址：</w:t>
      </w:r>
      <w:r>
        <w:rPr>
          <w:rFonts w:hint="eastAsia" w:ascii="Calibri" w:hAnsi="Calibri" w:eastAsia="宋体" w:cs="Times New Roman"/>
          <w:sz w:val="24"/>
          <w:u w:val="single"/>
        </w:rPr>
        <w:t xml:space="preserve"> 陕西省西安市碑林区友谊西路</w:t>
      </w:r>
      <w:r>
        <w:rPr>
          <w:rFonts w:hint="eastAsia" w:ascii="宋体" w:hAnsi="宋体" w:eastAsia="宋体" w:cs="Times New Roman"/>
          <w:sz w:val="24"/>
          <w:u w:val="single"/>
        </w:rPr>
        <w:t>127</w:t>
      </w:r>
      <w:r>
        <w:rPr>
          <w:rFonts w:hint="eastAsia" w:ascii="Calibri" w:hAnsi="Calibri" w:eastAsia="宋体" w:cs="Times New Roman"/>
          <w:sz w:val="24"/>
          <w:u w:val="single"/>
        </w:rPr>
        <w:t xml:space="preserve">号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p>
    <w:p w14:paraId="7D8CDB49">
      <w:pPr>
        <w:rPr>
          <w:rFonts w:ascii="Calibri" w:hAnsi="Calibri" w:eastAsia="宋体" w:cs="Times New Roman"/>
          <w:sz w:val="24"/>
          <w:u w:val="single"/>
        </w:rPr>
      </w:pPr>
    </w:p>
    <w:p w14:paraId="1FC57C0D">
      <w:pPr>
        <w:rPr>
          <w:rFonts w:ascii="Calibri" w:hAnsi="Calibri" w:eastAsia="宋体" w:cs="Times New Roman"/>
          <w:sz w:val="24"/>
          <w:u w:val="single"/>
        </w:rPr>
      </w:pPr>
      <w:r>
        <w:rPr>
          <w:rFonts w:hint="eastAsia" w:ascii="Calibri" w:hAnsi="Calibri" w:eastAsia="宋体" w:cs="Times New Roman"/>
          <w:sz w:val="24"/>
        </w:rPr>
        <w:t>电  话：</w:t>
      </w:r>
      <w:r>
        <w:rPr>
          <w:rFonts w:hint="eastAsia" w:ascii="Calibri" w:hAnsi="Calibri" w:eastAsia="宋体" w:cs="Times New Roman"/>
          <w:sz w:val="24"/>
          <w:u w:val="single"/>
        </w:rPr>
        <w:t xml:space="preserve"> </w:t>
      </w:r>
      <w:r>
        <w:rPr>
          <w:rFonts w:hint="eastAsia" w:ascii="宋体" w:hAnsi="宋体" w:eastAsia="宋体" w:cs="Times New Roman"/>
          <w:sz w:val="24"/>
          <w:u w:val="single"/>
        </w:rPr>
        <w:t>13720555920</w:t>
      </w:r>
      <w:r>
        <w:rPr>
          <w:rFonts w:hint="eastAsia" w:ascii="Calibri" w:hAnsi="Calibri" w:eastAsia="宋体" w:cs="Times New Roman"/>
          <w:sz w:val="24"/>
          <w:u w:val="single"/>
        </w:rPr>
        <w:t xml:space="preserve">        </w:t>
      </w:r>
      <w:r>
        <w:rPr>
          <w:rFonts w:hint="eastAsia" w:ascii="Calibri" w:hAnsi="Calibri" w:eastAsia="宋体" w:cs="Times New Roman"/>
          <w:sz w:val="24"/>
        </w:rPr>
        <w:t xml:space="preserve"> 传  真：</w:t>
      </w:r>
      <w:r>
        <w:rPr>
          <w:rFonts w:hint="eastAsia" w:ascii="Calibri" w:hAnsi="Calibri" w:eastAsia="宋体" w:cs="Times New Roman"/>
          <w:sz w:val="24"/>
          <w:u w:val="single"/>
        </w:rPr>
        <w:t xml:space="preserve"> </w:t>
      </w:r>
      <w:r>
        <w:rPr>
          <w:rFonts w:hint="eastAsia" w:ascii="宋体" w:hAnsi="宋体" w:eastAsia="宋体" w:cs="Times New Roman"/>
          <w:sz w:val="24"/>
          <w:u w:val="single"/>
        </w:rPr>
        <w:t>88495027</w:t>
      </w:r>
      <w:r>
        <w:rPr>
          <w:rFonts w:hint="eastAsia" w:ascii="Calibri" w:hAnsi="Calibri" w:eastAsia="宋体" w:cs="Times New Roman"/>
          <w:sz w:val="24"/>
          <w:u w:val="single"/>
        </w:rPr>
        <w:t xml:space="preserve">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p>
    <w:p w14:paraId="7634D45D">
      <w:pPr>
        <w:rPr>
          <w:rFonts w:ascii="Calibri" w:hAnsi="Calibri" w:eastAsia="宋体" w:cs="Times New Roman"/>
          <w:sz w:val="24"/>
        </w:rPr>
      </w:pPr>
    </w:p>
    <w:p w14:paraId="63C3E53A">
      <w:pPr>
        <w:rPr>
          <w:rFonts w:ascii="Calibri" w:hAnsi="Calibri" w:eastAsia="宋体" w:cs="Times New Roman"/>
          <w:sz w:val="24"/>
          <w:u w:val="single"/>
        </w:rPr>
      </w:pPr>
      <w:r>
        <w:rPr>
          <w:rFonts w:hint="eastAsia" w:ascii="Calibri" w:hAnsi="Calibri" w:eastAsia="宋体" w:cs="Times New Roman"/>
          <w:sz w:val="24"/>
        </w:rPr>
        <w:t>电子信箱：</w:t>
      </w:r>
      <w:r>
        <w:rPr>
          <w:rFonts w:hint="eastAsia" w:ascii="Calibri" w:hAnsi="Calibri" w:eastAsia="宋体" w:cs="Times New Roman"/>
          <w:sz w:val="24"/>
          <w:u w:val="single"/>
        </w:rPr>
        <w:t xml:space="preserve"> </w:t>
      </w:r>
      <w:r>
        <w:rPr>
          <w:rFonts w:hint="eastAsia" w:ascii="宋体" w:hAnsi="宋体" w:eastAsia="宋体" w:cs="Times New Roman"/>
          <w:sz w:val="24"/>
          <w:u w:val="single"/>
        </w:rPr>
        <w:t>liujiajia@nwpu.edu.cn</w:t>
      </w:r>
      <w:r>
        <w:rPr>
          <w:rFonts w:hint="eastAsia" w:ascii="Calibri" w:hAnsi="Calibri" w:eastAsia="宋体" w:cs="Times New Roman"/>
          <w:sz w:val="24"/>
          <w:u w:val="single"/>
        </w:rPr>
        <w:t xml:space="preserve">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p>
    <w:p w14:paraId="6D3DBC35">
      <w:pPr>
        <w:rPr>
          <w:rFonts w:ascii="Calibri" w:hAnsi="Calibri" w:eastAsia="宋体" w:cs="Times New Roman"/>
          <w:sz w:val="24"/>
        </w:rPr>
      </w:pPr>
    </w:p>
    <w:p w14:paraId="746A2ACC">
      <w:pPr>
        <w:rPr>
          <w:rFonts w:ascii="Calibri" w:hAnsi="Calibri" w:eastAsia="宋体" w:cs="Times New Roman"/>
          <w:sz w:val="24"/>
          <w:u w:val="single"/>
        </w:rPr>
      </w:pPr>
      <w:r>
        <w:rPr>
          <w:rFonts w:hint="eastAsia" w:ascii="Calibri" w:hAnsi="Calibri" w:eastAsia="宋体" w:cs="Times New Roman"/>
          <w:sz w:val="24"/>
        </w:rPr>
        <w:t>受托方（乙方）：</w:t>
      </w:r>
      <w:r>
        <w:rPr>
          <w:rFonts w:hint="eastAsia" w:ascii="Calibri" w:hAnsi="Calibri" w:eastAsia="宋体" w:cs="Times New Roman"/>
          <w:sz w:val="24"/>
          <w:u w:val="single"/>
        </w:rPr>
        <w:t xml:space="preserve"> 安徽梦馨信息技术有限公司                 </w:t>
      </w:r>
      <w:r>
        <w:rPr>
          <w:rFonts w:hint="eastAsia" w:ascii="Calibri" w:hAnsi="Calibri" w:eastAsia="宋体" w:cs="Times New Roman"/>
          <w:sz w:val="24"/>
          <w:u w:val="single"/>
          <w:lang w:val="en-US" w:eastAsia="zh-CN"/>
        </w:rPr>
        <w:t xml:space="preserve">     </w:t>
      </w:r>
      <w:r>
        <w:rPr>
          <w:rFonts w:hint="eastAsia" w:ascii="Calibri" w:hAnsi="Calibri" w:eastAsia="宋体" w:cs="Times New Roman"/>
          <w:sz w:val="24"/>
          <w:u w:val="single"/>
        </w:rPr>
        <w:t xml:space="preserve">   </w:t>
      </w:r>
    </w:p>
    <w:p w14:paraId="27F8C388">
      <w:pPr>
        <w:rPr>
          <w:rFonts w:ascii="Calibri" w:hAnsi="Calibri" w:eastAsia="宋体" w:cs="Times New Roman"/>
          <w:sz w:val="24"/>
          <w:u w:val="single"/>
        </w:rPr>
      </w:pPr>
    </w:p>
    <w:p w14:paraId="0D71EFC8">
      <w:pPr>
        <w:rPr>
          <w:rFonts w:hint="eastAsia" w:ascii="Calibri" w:hAnsi="Calibri" w:eastAsia="宋体" w:cs="Times New Roman"/>
          <w:sz w:val="24"/>
          <w:u w:val="single"/>
          <w:lang w:val="en-US" w:eastAsia="zh-CN"/>
        </w:rPr>
      </w:pPr>
      <w:r>
        <w:rPr>
          <w:rFonts w:hint="eastAsia" w:ascii="Calibri" w:hAnsi="Calibri" w:eastAsia="宋体" w:cs="Times New Roman"/>
          <w:sz w:val="24"/>
        </w:rPr>
        <w:t>住  所  地：</w:t>
      </w:r>
      <w:r>
        <w:rPr>
          <w:rFonts w:hint="eastAsia" w:ascii="Calibri" w:hAnsi="Calibri" w:eastAsia="宋体" w:cs="Times New Roman"/>
          <w:sz w:val="24"/>
          <w:u w:val="single"/>
        </w:rPr>
        <w:t xml:space="preserve"> 安徽省宣城市飞彩办事处宝城路电商产业园主楼21层2103 </w:t>
      </w:r>
      <w:r>
        <w:rPr>
          <w:rFonts w:hint="eastAsia" w:ascii="Calibri" w:hAnsi="Calibri" w:eastAsia="宋体" w:cs="Times New Roman"/>
          <w:sz w:val="24"/>
          <w:u w:val="single"/>
          <w:lang w:val="en-US" w:eastAsia="zh-CN"/>
        </w:rPr>
        <w:t xml:space="preserve"> </w:t>
      </w:r>
    </w:p>
    <w:p w14:paraId="6708880C">
      <w:pPr>
        <w:rPr>
          <w:rFonts w:ascii="Calibri" w:hAnsi="Calibri" w:eastAsia="宋体" w:cs="Times New Roman"/>
          <w:sz w:val="24"/>
        </w:rPr>
      </w:pPr>
    </w:p>
    <w:p w14:paraId="4D581DA2">
      <w:pPr>
        <w:rPr>
          <w:rFonts w:hint="eastAsia" w:ascii="Calibri" w:hAnsi="Calibri" w:eastAsia="宋体" w:cs="Times New Roman"/>
          <w:sz w:val="24"/>
          <w:u w:val="single"/>
          <w:lang w:val="en-US" w:eastAsia="zh-CN"/>
        </w:rPr>
      </w:pPr>
      <w:r>
        <w:rPr>
          <w:rFonts w:hint="eastAsia" w:ascii="Calibri" w:hAnsi="Calibri" w:eastAsia="宋体" w:cs="Times New Roman"/>
          <w:sz w:val="24"/>
        </w:rPr>
        <w:t>法定代表人：</w:t>
      </w:r>
      <w:r>
        <w:rPr>
          <w:rFonts w:hint="eastAsia" w:ascii="Calibri" w:hAnsi="Calibri" w:eastAsia="宋体" w:cs="Times New Roman"/>
          <w:sz w:val="24"/>
          <w:u w:val="single"/>
        </w:rPr>
        <w:t xml:space="preserve"> 余兵                                                </w:t>
      </w:r>
      <w:r>
        <w:rPr>
          <w:rFonts w:hint="eastAsia" w:ascii="Calibri" w:hAnsi="Calibri" w:eastAsia="宋体" w:cs="Times New Roman"/>
          <w:sz w:val="24"/>
          <w:u w:val="single"/>
          <w:lang w:val="en-US" w:eastAsia="zh-CN"/>
        </w:rPr>
        <w:t xml:space="preserve"> </w:t>
      </w:r>
    </w:p>
    <w:p w14:paraId="4875B18F">
      <w:pPr>
        <w:rPr>
          <w:rFonts w:ascii="Calibri" w:hAnsi="Calibri" w:eastAsia="宋体" w:cs="Times New Roman"/>
          <w:sz w:val="24"/>
        </w:rPr>
      </w:pPr>
    </w:p>
    <w:p w14:paraId="66298F64">
      <w:pPr>
        <w:rPr>
          <w:rFonts w:hint="eastAsia" w:ascii="Calibri" w:hAnsi="Calibri" w:eastAsia="宋体" w:cs="Times New Roman"/>
          <w:sz w:val="24"/>
          <w:u w:val="single"/>
          <w:lang w:val="en-US" w:eastAsia="zh-CN"/>
        </w:rPr>
      </w:pPr>
      <w:r>
        <w:rPr>
          <w:rFonts w:hint="eastAsia" w:ascii="Calibri" w:hAnsi="Calibri" w:eastAsia="宋体" w:cs="Times New Roman"/>
          <w:sz w:val="24"/>
        </w:rPr>
        <w:t>项目联系人：</w:t>
      </w:r>
      <w:r>
        <w:rPr>
          <w:rFonts w:hint="eastAsia" w:ascii="Calibri" w:hAnsi="Calibri" w:eastAsia="宋体" w:cs="Times New Roman"/>
          <w:sz w:val="24"/>
          <w:u w:val="single"/>
        </w:rPr>
        <w:t xml:space="preserve"> 任仕康                                              </w:t>
      </w:r>
      <w:r>
        <w:rPr>
          <w:rFonts w:hint="eastAsia" w:ascii="Calibri" w:hAnsi="Calibri" w:eastAsia="宋体" w:cs="Times New Roman"/>
          <w:sz w:val="24"/>
          <w:u w:val="single"/>
          <w:lang w:val="en-US" w:eastAsia="zh-CN"/>
        </w:rPr>
        <w:t xml:space="preserve"> </w:t>
      </w:r>
    </w:p>
    <w:p w14:paraId="636EE45D">
      <w:pPr>
        <w:rPr>
          <w:rFonts w:ascii="Calibri" w:hAnsi="Calibri" w:eastAsia="宋体" w:cs="Times New Roman"/>
          <w:sz w:val="24"/>
        </w:rPr>
      </w:pPr>
    </w:p>
    <w:p w14:paraId="303BB959">
      <w:pPr>
        <w:rPr>
          <w:rFonts w:hint="eastAsia" w:ascii="Calibri" w:hAnsi="Calibri" w:eastAsia="宋体" w:cs="Times New Roman"/>
          <w:sz w:val="24"/>
          <w:lang w:val="en-US" w:eastAsia="zh-CN"/>
        </w:rPr>
      </w:pPr>
      <w:r>
        <w:rPr>
          <w:rFonts w:hint="eastAsia" w:ascii="Calibri" w:hAnsi="Calibri" w:eastAsia="宋体" w:cs="Times New Roman"/>
          <w:sz w:val="24"/>
        </w:rPr>
        <w:t>联系方式：</w:t>
      </w:r>
      <w:r>
        <w:rPr>
          <w:rFonts w:hint="eastAsia" w:ascii="Calibri" w:hAnsi="Calibri" w:eastAsia="宋体" w:cs="Times New Roman"/>
          <w:sz w:val="24"/>
          <w:u w:val="single"/>
        </w:rPr>
        <w:t xml:space="preserve"> 15700071157                                           </w:t>
      </w:r>
      <w:r>
        <w:rPr>
          <w:rFonts w:hint="eastAsia" w:ascii="Calibri" w:hAnsi="Calibri" w:eastAsia="宋体" w:cs="Times New Roman"/>
          <w:sz w:val="24"/>
          <w:u w:val="single"/>
          <w:lang w:val="en-US" w:eastAsia="zh-CN"/>
        </w:rPr>
        <w:t xml:space="preserve"> </w:t>
      </w:r>
    </w:p>
    <w:p w14:paraId="7E4264F1">
      <w:pPr>
        <w:rPr>
          <w:rFonts w:ascii="Calibri" w:hAnsi="Calibri" w:eastAsia="宋体" w:cs="Times New Roman"/>
          <w:sz w:val="24"/>
        </w:rPr>
      </w:pPr>
    </w:p>
    <w:p w14:paraId="54277B0B">
      <w:pPr>
        <w:rPr>
          <w:rFonts w:ascii="Calibri" w:hAnsi="Calibri" w:eastAsia="宋体" w:cs="Times New Roman"/>
          <w:sz w:val="24"/>
          <w:u w:val="single"/>
        </w:rPr>
      </w:pPr>
      <w:r>
        <w:rPr>
          <w:rFonts w:hint="eastAsia" w:ascii="Calibri" w:hAnsi="Calibri" w:eastAsia="宋体" w:cs="Times New Roman"/>
          <w:sz w:val="24"/>
        </w:rPr>
        <w:t>通讯地址：</w:t>
      </w:r>
      <w:r>
        <w:rPr>
          <w:rFonts w:hint="eastAsia" w:ascii="Calibri" w:hAnsi="Calibri" w:eastAsia="宋体" w:cs="Times New Roman"/>
          <w:sz w:val="24"/>
          <w:u w:val="single"/>
        </w:rPr>
        <w:t xml:space="preserve"> 安徽省宣城市飞彩办事处宝城路电商产业园主楼21层2103   </w:t>
      </w:r>
    </w:p>
    <w:p w14:paraId="09A83AD4">
      <w:pPr>
        <w:rPr>
          <w:rFonts w:ascii="Calibri" w:hAnsi="Calibri" w:eastAsia="宋体" w:cs="Times New Roman"/>
          <w:sz w:val="24"/>
          <w:u w:val="single"/>
        </w:rPr>
      </w:pPr>
    </w:p>
    <w:p w14:paraId="15E584BA">
      <w:pPr>
        <w:rPr>
          <w:rFonts w:ascii="Calibri" w:hAnsi="Calibri" w:eastAsia="宋体" w:cs="Times New Roman"/>
          <w:sz w:val="24"/>
          <w:u w:val="single"/>
        </w:rPr>
      </w:pPr>
      <w:r>
        <w:rPr>
          <w:rFonts w:hint="eastAsia" w:ascii="Calibri" w:hAnsi="Calibri" w:eastAsia="宋体" w:cs="Times New Roman"/>
          <w:sz w:val="24"/>
        </w:rPr>
        <w:t>电  话：</w:t>
      </w:r>
      <w:r>
        <w:rPr>
          <w:rFonts w:hint="eastAsia" w:ascii="Calibri" w:hAnsi="Calibri" w:eastAsia="宋体" w:cs="Times New Roman"/>
          <w:sz w:val="24"/>
          <w:u w:val="single"/>
        </w:rPr>
        <w:t xml:space="preserve"> 0563-3035789 </w:t>
      </w:r>
    </w:p>
    <w:p w14:paraId="21217F68">
      <w:pPr>
        <w:rPr>
          <w:rFonts w:ascii="Calibri" w:hAnsi="Calibri" w:eastAsia="宋体" w:cs="Times New Roman"/>
          <w:sz w:val="24"/>
        </w:rPr>
      </w:pPr>
    </w:p>
    <w:p w14:paraId="1D21763A">
      <w:pPr>
        <w:rPr>
          <w:rFonts w:ascii="Calibri" w:hAnsi="Calibri" w:eastAsia="宋体" w:cs="Times New Roman"/>
          <w:sz w:val="24"/>
          <w:u w:val="single"/>
        </w:rPr>
      </w:pPr>
      <w:r>
        <w:rPr>
          <w:rFonts w:hint="eastAsia" w:ascii="Calibri" w:hAnsi="Calibri" w:eastAsia="宋体" w:cs="Times New Roman"/>
          <w:sz w:val="24"/>
        </w:rPr>
        <w:t>电子信箱：</w:t>
      </w:r>
      <w:r>
        <w:rPr>
          <w:rFonts w:hint="eastAsia" w:ascii="Calibri" w:hAnsi="Calibri" w:eastAsia="宋体" w:cs="Times New Roman"/>
          <w:sz w:val="24"/>
          <w:u w:val="single"/>
        </w:rPr>
        <w:t xml:space="preserve"> shikangren@xunmenggroup.com.cn                          </w:t>
      </w:r>
    </w:p>
    <w:p w14:paraId="3BD24A27">
      <w:pPr>
        <w:rPr>
          <w:rFonts w:ascii="Calibri" w:hAnsi="Calibri" w:eastAsia="宋体" w:cs="Times New Roman"/>
          <w:sz w:val="24"/>
          <w:u w:val="single"/>
        </w:rPr>
      </w:pPr>
    </w:p>
    <w:p w14:paraId="082D41DD">
      <w:pPr>
        <w:rPr>
          <w:rFonts w:ascii="Calibri" w:hAnsi="Calibri" w:eastAsia="宋体" w:cs="Times New Roman"/>
          <w:sz w:val="24"/>
          <w:u w:val="single"/>
        </w:rPr>
      </w:pPr>
    </w:p>
    <w:p w14:paraId="25FC22A9">
      <w:pPr>
        <w:spacing w:line="360" w:lineRule="auto"/>
        <w:rPr>
          <w:rFonts w:ascii="Calibri" w:hAnsi="Calibri" w:eastAsia="宋体" w:cs="Times New Roman"/>
          <w:sz w:val="24"/>
        </w:rPr>
      </w:pPr>
      <w:r>
        <w:rPr>
          <w:rFonts w:hint="eastAsia" w:ascii="Calibri" w:hAnsi="Calibri" w:eastAsia="宋体" w:cs="Times New Roman"/>
          <w:sz w:val="24"/>
        </w:rPr>
        <w:t xml:space="preserve">  </w:t>
      </w:r>
      <w:r>
        <w:rPr>
          <w:rFonts w:hint="eastAsia" w:ascii="Calibri" w:hAnsi="Calibri" w:eastAsia="宋体" w:cs="Times New Roman"/>
          <w:sz w:val="24"/>
          <w:lang w:val="en-US" w:eastAsia="zh-CN"/>
        </w:rPr>
        <w:t xml:space="preserve">  </w:t>
      </w:r>
      <w:r>
        <w:rPr>
          <w:rFonts w:hint="eastAsia" w:ascii="Calibri" w:hAnsi="Calibri" w:eastAsia="宋体" w:cs="Times New Roman"/>
          <w:sz w:val="24"/>
        </w:rPr>
        <w:t>本合同甲方委托乙方研究开发</w:t>
      </w:r>
      <w:r>
        <w:rPr>
          <w:rFonts w:hint="eastAsia" w:ascii="Calibri" w:hAnsi="Calibri" w:eastAsia="宋体" w:cs="Times New Roman"/>
          <w:sz w:val="24"/>
          <w:u w:val="single"/>
        </w:rPr>
        <w:t xml:space="preserve"> 安全防护监测系统可视化（二期） </w:t>
      </w:r>
      <w:r>
        <w:rPr>
          <w:rFonts w:hint="eastAsia" w:ascii="Calibri" w:hAnsi="Calibri" w:eastAsia="宋体" w:cs="Times New Roman"/>
          <w:sz w:val="24"/>
        </w:rPr>
        <w:t>项目，并支付研究开发经费和报酬，乙方接受委托并进行此项目研究开发工作。双方经过平等协商，在真实、充分地表达各自意愿的基础上，根据《中华人民共和国民法典》的规定，达成如下协议，并由双方共同恪</w:t>
      </w:r>
      <w:bookmarkStart w:id="2" w:name="_GoBack"/>
      <w:bookmarkEnd w:id="2"/>
      <w:r>
        <w:rPr>
          <w:rFonts w:hint="eastAsia" w:ascii="Calibri" w:hAnsi="Calibri" w:eastAsia="宋体" w:cs="Times New Roman"/>
          <w:sz w:val="24"/>
        </w:rPr>
        <w:t>守。</w:t>
      </w:r>
    </w:p>
    <w:p w14:paraId="4760D428">
      <w:pPr>
        <w:widowControl/>
        <w:jc w:val="left"/>
        <w:rPr>
          <w:rFonts w:ascii="Calibri" w:hAnsi="Calibri" w:eastAsia="宋体" w:cs="Times New Roman"/>
          <w:sz w:val="24"/>
        </w:rPr>
      </w:pPr>
      <w:r>
        <w:rPr>
          <w:rFonts w:ascii="Calibri" w:hAnsi="Calibri" w:eastAsia="宋体" w:cs="Times New Roman"/>
          <w:sz w:val="24"/>
        </w:rPr>
        <w:br w:type="page"/>
      </w:r>
    </w:p>
    <w:p w14:paraId="741E0F3B">
      <w:pPr>
        <w:ind w:left="555"/>
        <w:rPr>
          <w:rFonts w:ascii="Calibri" w:hAnsi="Calibri" w:eastAsia="宋体" w:cs="Times New Roman"/>
          <w:sz w:val="28"/>
        </w:rPr>
      </w:pPr>
      <w:r>
        <w:rPr>
          <w:rFonts w:hint="eastAsia" w:ascii="Calibri" w:hAnsi="Calibri" w:eastAsia="宋体" w:cs="Times New Roman"/>
          <w:b/>
          <w:sz w:val="24"/>
        </w:rPr>
        <w:t>第一条</w:t>
      </w:r>
      <w:r>
        <w:rPr>
          <w:rFonts w:hint="eastAsia" w:ascii="Calibri" w:hAnsi="Calibri" w:eastAsia="宋体" w:cs="Times New Roman"/>
          <w:sz w:val="24"/>
        </w:rPr>
        <w:t xml:space="preserve">  本合同研究开发项目的要求如下：</w:t>
      </w:r>
    </w:p>
    <w:p w14:paraId="6DF0E7F0">
      <w:pPr>
        <w:tabs>
          <w:tab w:val="left" w:pos="975"/>
        </w:tabs>
        <w:spacing w:line="360" w:lineRule="auto"/>
        <w:ind w:firstLine="480" w:firstLineChars="200"/>
        <w:rPr>
          <w:rFonts w:ascii="Calibri" w:hAnsi="Calibri" w:eastAsia="宋体" w:cs="Times New Roman"/>
          <w:sz w:val="24"/>
        </w:rPr>
      </w:pPr>
      <w:r>
        <w:rPr>
          <w:rFonts w:hint="eastAsia" w:ascii="宋体" w:hAnsi="宋体" w:eastAsia="宋体" w:cs="Times New Roman"/>
          <w:sz w:val="24"/>
        </w:rPr>
        <w:t>1. 技术目标： 乙方根据甲方提供的数据接口，在一期构建的BI可视化系统基础上进行拓展完善。对地图数据呈现、数据交互、状态展示进一步优化提升，部分地区城市颗粒度进一步细化。</w:t>
      </w:r>
      <w:r>
        <w:rPr>
          <w:rFonts w:hint="eastAsia" w:ascii="宋体" w:hAnsi="宋体" w:eastAsia="宋体" w:cs="Times New Roman"/>
          <w:sz w:val="24"/>
          <w:highlight w:val="none"/>
        </w:rPr>
        <w:t>同时，为确保最终可视化大屏的展示效果，乙方将向甲方提供用于展示的安全防护监测系统可视化展示一体机（以下简称“一体机设备”），并在交付的设备中预先集成前端展示界面。</w:t>
      </w:r>
    </w:p>
    <w:p w14:paraId="6A09F3F9">
      <w:pPr>
        <w:tabs>
          <w:tab w:val="left" w:pos="492"/>
        </w:tabs>
        <w:spacing w:line="360" w:lineRule="auto"/>
        <w:rPr>
          <w:rFonts w:ascii="Calibri" w:hAnsi="Calibri" w:eastAsia="宋体" w:cs="Times New Roman"/>
          <w:sz w:val="24"/>
          <w:highlight w:val="none"/>
        </w:rPr>
      </w:pPr>
      <w:r>
        <w:rPr>
          <w:rFonts w:ascii="Calibri" w:hAnsi="Calibri" w:eastAsia="宋体" w:cs="Times New Roman"/>
          <w:sz w:val="24"/>
        </w:rPr>
        <w:tab/>
      </w:r>
      <w:r>
        <w:rPr>
          <w:rFonts w:hint="eastAsia" w:ascii="宋体" w:hAnsi="宋体" w:eastAsia="宋体" w:cs="Times New Roman"/>
          <w:sz w:val="24"/>
          <w:highlight w:val="none"/>
        </w:rPr>
        <w:t>2.</w:t>
      </w:r>
      <w:r>
        <w:rPr>
          <w:rFonts w:hint="eastAsia" w:ascii="Calibri" w:hAnsi="Calibri" w:eastAsia="宋体" w:cs="Times New Roman"/>
          <w:sz w:val="24"/>
          <w:highlight w:val="none"/>
        </w:rPr>
        <w:t xml:space="preserve"> 技术内容：</w:t>
      </w:r>
    </w:p>
    <w:p w14:paraId="38C3784E">
      <w:pPr>
        <w:numPr>
          <w:ilvl w:val="0"/>
          <w:numId w:val="1"/>
        </w:numPr>
        <w:tabs>
          <w:tab w:val="left" w:pos="492"/>
        </w:tabs>
        <w:spacing w:line="360" w:lineRule="auto"/>
        <w:rPr>
          <w:rFonts w:ascii="Calibri" w:hAnsi="Calibri" w:eastAsia="宋体" w:cs="Times New Roman"/>
          <w:sz w:val="24"/>
          <w:highlight w:val="none"/>
        </w:rPr>
      </w:pPr>
      <w:r>
        <w:rPr>
          <w:rFonts w:hint="eastAsia" w:ascii="宋体" w:hAnsi="宋体" w:eastAsia="宋体" w:cs="Times New Roman"/>
          <w:sz w:val="24"/>
          <w:highlight w:val="none"/>
        </w:rPr>
        <w:t>美国地图部分在原州边界的基础上，新增州府及关键城市标记，关键城市包含：亚特兰大、纽约、迈阿密、洛杉矶、西雅图、丹佛、菲尼克斯、休斯敦。州府及关键城市标记支持状态、颜色自定义。</w:t>
      </w:r>
    </w:p>
    <w:p w14:paraId="56BE86BF">
      <w:pPr>
        <w:numPr>
          <w:ilvl w:val="0"/>
          <w:numId w:val="1"/>
        </w:numPr>
        <w:tabs>
          <w:tab w:val="left" w:pos="492"/>
        </w:tabs>
        <w:spacing w:line="360" w:lineRule="auto"/>
        <w:rPr>
          <w:rFonts w:ascii="Calibri" w:hAnsi="Calibri" w:eastAsia="宋体" w:cs="Times New Roman"/>
          <w:sz w:val="24"/>
          <w:highlight w:val="none"/>
        </w:rPr>
      </w:pPr>
      <w:r>
        <w:rPr>
          <w:rFonts w:hint="eastAsia" w:ascii="宋体" w:hAnsi="宋体" w:eastAsia="宋体" w:cs="Times New Roman"/>
          <w:sz w:val="24"/>
          <w:highlight w:val="none"/>
        </w:rPr>
        <w:t>日本地图部分，新增县级地形状态、颜色变化标记。</w:t>
      </w:r>
    </w:p>
    <w:p w14:paraId="5BDE5D6C">
      <w:pPr>
        <w:numPr>
          <w:ilvl w:val="0"/>
          <w:numId w:val="1"/>
        </w:numPr>
        <w:tabs>
          <w:tab w:val="left" w:pos="492"/>
        </w:tabs>
        <w:spacing w:line="360" w:lineRule="auto"/>
        <w:rPr>
          <w:rFonts w:ascii="Calibri" w:hAnsi="Calibri" w:eastAsia="宋体" w:cs="Times New Roman"/>
          <w:sz w:val="24"/>
          <w:highlight w:val="none"/>
        </w:rPr>
      </w:pPr>
      <w:r>
        <w:rPr>
          <w:rFonts w:hint="eastAsia" w:ascii="Calibri" w:hAnsi="Calibri" w:eastAsia="宋体" w:cs="Times New Roman"/>
          <w:sz w:val="24"/>
          <w:highlight w:val="none"/>
        </w:rPr>
        <w:t>拓扑节点支持自定义图片，文字，大小， 颜色，支持节点类型说明文字</w:t>
      </w:r>
    </w:p>
    <w:p w14:paraId="376C5278">
      <w:pPr>
        <w:numPr>
          <w:ilvl w:val="0"/>
          <w:numId w:val="1"/>
        </w:numPr>
        <w:tabs>
          <w:tab w:val="left" w:pos="492"/>
        </w:tabs>
        <w:spacing w:line="360" w:lineRule="auto"/>
        <w:rPr>
          <w:rFonts w:ascii="Calibri" w:hAnsi="Calibri" w:eastAsia="宋体" w:cs="Times New Roman"/>
          <w:sz w:val="24"/>
          <w:highlight w:val="none"/>
        </w:rPr>
      </w:pPr>
      <w:r>
        <w:rPr>
          <w:rFonts w:hint="eastAsia" w:ascii="Calibri" w:hAnsi="Calibri" w:eastAsia="宋体" w:cs="Times New Roman"/>
          <w:sz w:val="24"/>
          <w:highlight w:val="none"/>
        </w:rPr>
        <w:t>页面样式、文本内容适配优化调整。</w:t>
      </w:r>
    </w:p>
    <w:p w14:paraId="02FDBCA7">
      <w:pPr>
        <w:numPr>
          <w:ilvl w:val="0"/>
          <w:numId w:val="1"/>
        </w:numPr>
        <w:tabs>
          <w:tab w:val="left" w:pos="492"/>
        </w:tabs>
        <w:spacing w:line="360" w:lineRule="auto"/>
        <w:rPr>
          <w:rFonts w:ascii="Calibri" w:hAnsi="Calibri" w:eastAsia="宋体" w:cs="Times New Roman"/>
          <w:sz w:val="24"/>
          <w:highlight w:val="none"/>
        </w:rPr>
      </w:pPr>
      <w:r>
        <w:rPr>
          <w:rFonts w:hint="eastAsia" w:ascii="Calibri" w:hAnsi="Calibri" w:eastAsia="宋体" w:cs="Times New Roman"/>
          <w:sz w:val="24"/>
          <w:highlight w:val="none"/>
        </w:rPr>
        <w:t>核心要求包括：实时数据推送、地理数据解析、高性能渲染，以及地图优化展示。</w:t>
      </w:r>
    </w:p>
    <w:p w14:paraId="242308BD">
      <w:pPr>
        <w:tabs>
          <w:tab w:val="left" w:pos="492"/>
        </w:tabs>
        <w:spacing w:line="360" w:lineRule="auto"/>
        <w:rPr>
          <w:rFonts w:hint="eastAsia" w:ascii="宋体" w:hAnsi="宋体" w:eastAsia="宋体" w:cs="Times New Roman"/>
          <w:sz w:val="24"/>
          <w:highlight w:val="none"/>
        </w:rPr>
      </w:pPr>
      <w:r>
        <w:rPr>
          <w:rFonts w:ascii="Calibri" w:hAnsi="Calibri" w:eastAsia="宋体" w:cs="Times New Roman"/>
          <w:sz w:val="24"/>
          <w:highlight w:val="none"/>
        </w:rPr>
        <w:tab/>
      </w:r>
      <w:r>
        <w:rPr>
          <w:rFonts w:hint="eastAsia" w:ascii="宋体" w:hAnsi="宋体" w:eastAsia="宋体" w:cs="Times New Roman"/>
          <w:sz w:val="24"/>
          <w:highlight w:val="none"/>
        </w:rPr>
        <w:t>3. 技术方法和路线:</w:t>
      </w:r>
    </w:p>
    <w:p w14:paraId="51BF101D">
      <w:pPr>
        <w:spacing w:line="360" w:lineRule="auto"/>
        <w:rPr>
          <w:rFonts w:ascii="宋体" w:hAnsi="宋体" w:eastAsia="宋体" w:cs="Times New Roman"/>
          <w:sz w:val="24"/>
          <w:szCs w:val="21"/>
          <w:highlight w:val="none"/>
        </w:rPr>
      </w:pPr>
      <w:r>
        <w:rPr>
          <w:rFonts w:hint="eastAsia" w:ascii="Calibri" w:hAnsi="Calibri" w:eastAsia="宋体" w:cs="Times New Roman"/>
          <w:sz w:val="24"/>
          <w:szCs w:val="21"/>
          <w:highlight w:val="none"/>
        </w:rPr>
        <w:t xml:space="preserve">  </w:t>
      </w:r>
      <w:r>
        <w:rPr>
          <w:rFonts w:hint="eastAsia" w:ascii="宋体" w:hAnsi="宋体" w:eastAsia="宋体" w:cs="Times New Roman"/>
          <w:sz w:val="24"/>
          <w:szCs w:val="21"/>
          <w:highlight w:val="none"/>
        </w:rPr>
        <w:t xml:space="preserve"> </w:t>
      </w:r>
      <w:r>
        <w:rPr>
          <w:rFonts w:hint="eastAsia" w:ascii="宋体" w:hAnsi="宋体" w:eastAsia="宋体" w:cs="Times New Roman"/>
          <w:sz w:val="24"/>
          <w:szCs w:val="24"/>
          <w:highlight w:val="none"/>
        </w:rPr>
        <w:t>（1）</w:t>
      </w:r>
      <w:r>
        <w:rPr>
          <w:rFonts w:hint="eastAsia" w:ascii="宋体" w:hAnsi="宋体" w:eastAsia="宋体" w:cs="Times New Roman"/>
          <w:sz w:val="24"/>
          <w:szCs w:val="21"/>
          <w:highlight w:val="none"/>
        </w:rPr>
        <w:t>前端架构：采用 HTML5 与 TypeScript 构建强类型基础，基于 Vue.js 3 框架实现组件化界面开发，结合 Webpack 等构建工具完成资源压缩、模块拆分与性能优化，确保界面交互的流畅性与可扩展性。</w:t>
      </w:r>
    </w:p>
    <w:p w14:paraId="4319C73D">
      <w:pPr>
        <w:spacing w:line="360" w:lineRule="auto"/>
        <w:rPr>
          <w:rFonts w:ascii="宋体" w:hAnsi="宋体" w:eastAsia="宋体" w:cs="Times New Roman"/>
          <w:sz w:val="24"/>
          <w:szCs w:val="21"/>
          <w:highlight w:val="none"/>
        </w:rPr>
      </w:pPr>
      <w:r>
        <w:rPr>
          <w:rFonts w:hint="eastAsia" w:ascii="宋体" w:hAnsi="宋体" w:eastAsia="宋体" w:cs="Times New Roman"/>
          <w:sz w:val="24"/>
          <w:szCs w:val="21"/>
          <w:highlight w:val="none"/>
        </w:rPr>
        <w:t xml:space="preserve">   </w:t>
      </w:r>
      <w:r>
        <w:rPr>
          <w:rFonts w:hint="eastAsia" w:ascii="宋体" w:hAnsi="宋体" w:eastAsia="宋体" w:cs="Times New Roman"/>
          <w:sz w:val="24"/>
          <w:szCs w:val="24"/>
          <w:highlight w:val="none"/>
        </w:rPr>
        <w:t>（2）</w:t>
      </w:r>
      <w:r>
        <w:rPr>
          <w:rFonts w:hint="eastAsia" w:ascii="宋体" w:hAnsi="宋体" w:eastAsia="宋体" w:cs="Times New Roman"/>
          <w:sz w:val="24"/>
          <w:szCs w:val="21"/>
          <w:highlight w:val="none"/>
        </w:rPr>
        <w:t>后端服务：以 Java 为核心技术栈，基于 Spring Boot 框架搭建高可用 RESTful API 服务，通过分层架构设计实现业务逻辑与数据访问的解耦，支撑系统核心功能的稳定运行。</w:t>
      </w:r>
    </w:p>
    <w:p w14:paraId="3AB2C62D">
      <w:pPr>
        <w:spacing w:line="360" w:lineRule="auto"/>
        <w:rPr>
          <w:rFonts w:ascii="宋体" w:hAnsi="宋体" w:eastAsia="宋体" w:cs="Times New Roman"/>
          <w:sz w:val="24"/>
          <w:szCs w:val="21"/>
          <w:highlight w:val="none"/>
        </w:rPr>
      </w:pPr>
      <w:r>
        <w:rPr>
          <w:rFonts w:hint="eastAsia" w:ascii="宋体" w:hAnsi="宋体" w:eastAsia="宋体" w:cs="Times New Roman"/>
          <w:sz w:val="24"/>
          <w:szCs w:val="21"/>
          <w:highlight w:val="none"/>
        </w:rPr>
        <w:t xml:space="preserve">   </w:t>
      </w:r>
      <w:r>
        <w:rPr>
          <w:rFonts w:hint="eastAsia" w:ascii="宋体" w:hAnsi="宋体" w:eastAsia="宋体" w:cs="Times New Roman"/>
          <w:sz w:val="24"/>
          <w:szCs w:val="24"/>
          <w:highlight w:val="none"/>
        </w:rPr>
        <w:t>（3）</w:t>
      </w:r>
      <w:r>
        <w:rPr>
          <w:rFonts w:hint="eastAsia" w:ascii="宋体" w:hAnsi="宋体" w:eastAsia="宋体" w:cs="Times New Roman"/>
          <w:sz w:val="24"/>
          <w:szCs w:val="21"/>
          <w:highlight w:val="none"/>
        </w:rPr>
        <w:t>数据存储：采用 MySQL 数据库作为核心数据载体，通过优化表结构设计与索引策略，保障数据存储的高效性与一致性，满足系统高并发场景下的数据读写需求。</w:t>
      </w:r>
    </w:p>
    <w:p w14:paraId="3DF50B8A">
      <w:pPr>
        <w:spacing w:line="360" w:lineRule="auto"/>
        <w:rPr>
          <w:rFonts w:ascii="宋体" w:hAnsi="宋体" w:eastAsia="宋体" w:cs="Times New Roman"/>
          <w:sz w:val="24"/>
          <w:szCs w:val="21"/>
          <w:highlight w:val="none"/>
        </w:rPr>
      </w:pPr>
      <w:r>
        <w:rPr>
          <w:rFonts w:hint="eastAsia" w:ascii="宋体" w:hAnsi="宋体" w:eastAsia="宋体" w:cs="Times New Roman"/>
          <w:sz w:val="24"/>
          <w:szCs w:val="21"/>
          <w:highlight w:val="none"/>
        </w:rPr>
        <w:t xml:space="preserve">   </w:t>
      </w:r>
      <w:r>
        <w:rPr>
          <w:rFonts w:hint="eastAsia" w:ascii="宋体" w:hAnsi="宋体" w:eastAsia="宋体" w:cs="Times New Roman"/>
          <w:sz w:val="24"/>
          <w:szCs w:val="24"/>
          <w:highlight w:val="none"/>
        </w:rPr>
        <w:t>（4）</w:t>
      </w:r>
      <w:r>
        <w:rPr>
          <w:rFonts w:hint="eastAsia" w:ascii="宋体" w:hAnsi="宋体" w:eastAsia="宋体" w:cs="Times New Roman"/>
          <w:sz w:val="24"/>
          <w:szCs w:val="21"/>
          <w:highlight w:val="none"/>
        </w:rPr>
        <w:t>部署方案：引入 Docker 容器化技术实现应用的封装与隔离，结合容器编排机制实现环境一致性管理与弹性扩缩容，提升部署效率与系统稳定性。</w:t>
      </w:r>
    </w:p>
    <w:p w14:paraId="4776720C">
      <w:pPr>
        <w:spacing w:line="360" w:lineRule="auto"/>
        <w:rPr>
          <w:rFonts w:ascii="宋体" w:hAnsi="宋体" w:eastAsia="宋体" w:cs="Times New Roman"/>
          <w:sz w:val="24"/>
          <w:szCs w:val="21"/>
          <w:highlight w:val="none"/>
        </w:rPr>
      </w:pPr>
      <w:r>
        <w:rPr>
          <w:rFonts w:hint="eastAsia" w:ascii="宋体" w:hAnsi="宋体" w:eastAsia="宋体" w:cs="Times New Roman"/>
          <w:sz w:val="24"/>
          <w:szCs w:val="21"/>
          <w:highlight w:val="none"/>
        </w:rPr>
        <w:t xml:space="preserve">   </w:t>
      </w:r>
      <w:r>
        <w:rPr>
          <w:rFonts w:hint="eastAsia" w:ascii="宋体" w:hAnsi="宋体" w:eastAsia="宋体" w:cs="Times New Roman"/>
          <w:sz w:val="24"/>
          <w:szCs w:val="24"/>
          <w:highlight w:val="none"/>
        </w:rPr>
        <w:t>（5）</w:t>
      </w:r>
      <w:r>
        <w:rPr>
          <w:rFonts w:hint="eastAsia" w:ascii="宋体" w:hAnsi="宋体" w:eastAsia="宋体" w:cs="Times New Roman"/>
          <w:sz w:val="24"/>
          <w:szCs w:val="21"/>
          <w:highlight w:val="none"/>
        </w:rPr>
        <w:t>地理信息可视化：基于 GeoJSON 地理数据标准实现空间数据的标准化处理，集成 ECharts 地图组件构建多层级地理底图（含世界及区域级），为地理信息展示提供高效渲染引擎。</w:t>
      </w:r>
    </w:p>
    <w:p w14:paraId="41978D33">
      <w:pPr>
        <w:spacing w:line="360" w:lineRule="auto"/>
        <w:rPr>
          <w:rFonts w:hint="eastAsia" w:ascii="宋体" w:hAnsi="宋体" w:eastAsia="宋体" w:cs="Times New Roman"/>
          <w:sz w:val="24"/>
          <w:szCs w:val="21"/>
          <w:highlight w:val="none"/>
        </w:rPr>
      </w:pPr>
      <w:r>
        <w:rPr>
          <w:rFonts w:hint="eastAsia" w:ascii="宋体" w:hAnsi="宋体" w:eastAsia="宋体" w:cs="Times New Roman"/>
          <w:sz w:val="24"/>
          <w:szCs w:val="21"/>
          <w:highlight w:val="none"/>
        </w:rPr>
        <w:t xml:space="preserve">   </w:t>
      </w:r>
      <w:r>
        <w:rPr>
          <w:rFonts w:hint="eastAsia" w:ascii="宋体" w:hAnsi="宋体" w:eastAsia="宋体" w:cs="Times New Roman"/>
          <w:sz w:val="24"/>
          <w:szCs w:val="24"/>
          <w:highlight w:val="none"/>
        </w:rPr>
        <w:t>（6）</w:t>
      </w:r>
      <w:r>
        <w:rPr>
          <w:rFonts w:hint="eastAsia" w:ascii="宋体" w:hAnsi="宋体" w:eastAsia="宋体" w:cs="Times New Roman"/>
          <w:sz w:val="24"/>
          <w:szCs w:val="21"/>
          <w:highlight w:val="none"/>
        </w:rPr>
        <w:t>动态要素叠加：通过自定义图层机制实现终端节点（图标 / 圆点标识）与链路（线段标识）的空间叠加，结合状态驱动渲染逻辑实现要素样式的实时动态更新，直观呈现网络拓扑与运行状态。</w:t>
      </w:r>
    </w:p>
    <w:p w14:paraId="2B60C439">
      <w:pPr>
        <w:spacing w:line="360" w:lineRule="auto"/>
        <w:rPr>
          <w:rFonts w:hint="eastAsia" w:ascii="宋体" w:hAnsi="宋体" w:eastAsia="宋体" w:cs="Times New Roman"/>
          <w:sz w:val="24"/>
          <w:szCs w:val="21"/>
          <w:highlight w:val="none"/>
        </w:rPr>
      </w:pPr>
      <w:r>
        <w:rPr>
          <w:rFonts w:hint="eastAsia" w:ascii="宋体" w:hAnsi="宋体" w:eastAsia="宋体" w:cs="Times New Roman"/>
          <w:sz w:val="24"/>
          <w:szCs w:val="21"/>
          <w:highlight w:val="none"/>
        </w:rPr>
        <w:t xml:space="preserve">   </w:t>
      </w:r>
      <w:r>
        <w:rPr>
          <w:rFonts w:hint="eastAsia" w:ascii="宋体" w:hAnsi="宋体" w:eastAsia="宋体" w:cs="Times New Roman"/>
          <w:sz w:val="24"/>
          <w:szCs w:val="24"/>
          <w:highlight w:val="none"/>
        </w:rPr>
        <w:t>（</w:t>
      </w:r>
      <w:r>
        <w:rPr>
          <w:rFonts w:hint="eastAsia" w:ascii="宋体" w:hAnsi="宋体" w:eastAsia="宋体" w:cs="Times New Roman"/>
          <w:sz w:val="24"/>
          <w:szCs w:val="24"/>
          <w:highlight w:val="none"/>
          <w:lang w:val="en-US" w:eastAsia="zh-CN"/>
        </w:rPr>
        <w:t>7</w:t>
      </w:r>
      <w:r>
        <w:rPr>
          <w:rFonts w:hint="eastAsia" w:ascii="宋体" w:hAnsi="宋体" w:eastAsia="宋体" w:cs="Times New Roman"/>
          <w:sz w:val="24"/>
          <w:szCs w:val="24"/>
          <w:highlight w:val="none"/>
        </w:rPr>
        <w:t>）</w:t>
      </w:r>
      <w:r>
        <w:rPr>
          <w:rFonts w:hint="eastAsia" w:ascii="宋体" w:hAnsi="宋体" w:eastAsia="宋体" w:cs="Times New Roman"/>
          <w:sz w:val="24"/>
          <w:szCs w:val="21"/>
          <w:highlight w:val="none"/>
          <w:lang w:val="en-US" w:eastAsia="zh-CN"/>
        </w:rPr>
        <w:t>可视化应用与一体机集成</w:t>
      </w:r>
      <w:r>
        <w:rPr>
          <w:rFonts w:hint="eastAsia" w:ascii="宋体" w:hAnsi="宋体" w:eastAsia="宋体" w:cs="Times New Roman"/>
          <w:sz w:val="24"/>
          <w:szCs w:val="21"/>
          <w:highlight w:val="none"/>
        </w:rPr>
        <w:t>：基于一体机硬件终端的硬件参数（含屏幕分辨率、处理器性能、内存容量、接口类型等）完成可视化应用的定制化适配开发，通过底层驱动适配与硬件能力调用，实现可视化应用与一体机硬件的深度兼容。采用 “应用封装 - 硬件集成 - 系统调试” 的集成流程：先将可视化应用打包为适配一体机操作系统（如 Android/Linux 嵌入式系统）的可执行程序，通过 Docker 容器化技术将应用封装为适配一体机硬件架构的容器镜像，完成应用在一体机本地的轻量化部署</w:t>
      </w:r>
      <w:r>
        <w:rPr>
          <w:rFonts w:hint="eastAsia" w:ascii="宋体" w:hAnsi="宋体" w:eastAsia="宋体" w:cs="Times New Roman"/>
          <w:sz w:val="24"/>
          <w:szCs w:val="21"/>
          <w:highlight w:val="none"/>
          <w:lang w:eastAsia="zh-CN"/>
        </w:rPr>
        <w:t>。</w:t>
      </w:r>
    </w:p>
    <w:p w14:paraId="1F0ED9C4">
      <w:pPr>
        <w:spacing w:line="360" w:lineRule="auto"/>
        <w:ind w:firstLine="555"/>
        <w:rPr>
          <w:rFonts w:ascii="宋体" w:hAnsi="宋体" w:eastAsia="宋体" w:cs="Times New Roman"/>
          <w:sz w:val="24"/>
        </w:rPr>
      </w:pPr>
      <w:r>
        <w:rPr>
          <w:rFonts w:hint="eastAsia" w:ascii="宋体" w:hAnsi="宋体" w:eastAsia="宋体" w:cs="Times New Roman"/>
          <w:b/>
          <w:sz w:val="24"/>
        </w:rPr>
        <w:t>第二条</w:t>
      </w:r>
      <w:r>
        <w:rPr>
          <w:rFonts w:hint="eastAsia" w:ascii="宋体" w:hAnsi="宋体" w:eastAsia="宋体" w:cs="Times New Roman"/>
          <w:sz w:val="24"/>
        </w:rPr>
        <w:t xml:space="preserve">  乙方应在本合同生效后 3 日内向甲方提交研究开发计划。研究开发计划应包括以下主要内容：</w:t>
      </w:r>
    </w:p>
    <w:p w14:paraId="2CF1CC50">
      <w:pPr>
        <w:spacing w:line="360" w:lineRule="auto"/>
        <w:ind w:firstLine="555"/>
        <w:rPr>
          <w:rFonts w:hint="eastAsia" w:ascii="Calibri" w:hAnsi="Calibri" w:eastAsia="宋体" w:cs="Times New Roman"/>
          <w:b/>
          <w:bCs/>
          <w:sz w:val="24"/>
          <w:highlight w:val="none"/>
        </w:rPr>
      </w:pPr>
      <w:r>
        <w:rPr>
          <w:rFonts w:hint="eastAsia" w:ascii="宋体" w:hAnsi="宋体" w:eastAsia="宋体" w:cs="Times New Roman"/>
          <w:b/>
          <w:bCs/>
          <w:sz w:val="24"/>
          <w:szCs w:val="24"/>
          <w:highlight w:val="none"/>
        </w:rPr>
        <w:t>1．</w:t>
      </w:r>
      <w:r>
        <w:rPr>
          <w:rFonts w:hint="eastAsia" w:ascii="Calibri" w:hAnsi="Calibri" w:eastAsia="宋体" w:cs="Times New Roman"/>
          <w:b/>
          <w:bCs/>
          <w:sz w:val="24"/>
          <w:highlight w:val="none"/>
        </w:rPr>
        <w:t>可视化系统功能研发及优化：</w:t>
      </w:r>
    </w:p>
    <w:p w14:paraId="72FCD88C">
      <w:pPr>
        <w:spacing w:line="360" w:lineRule="auto"/>
        <w:rPr>
          <w:rFonts w:hint="eastAsia" w:ascii="宋体" w:hAnsi="宋体" w:eastAsia="宋体" w:cs="Times New Roman"/>
          <w:sz w:val="24"/>
          <w:szCs w:val="24"/>
        </w:rPr>
      </w:pPr>
      <w:r>
        <w:rPr>
          <w:rFonts w:hint="eastAsia" w:ascii="Calibri" w:hAnsi="Calibri" w:eastAsia="宋体" w:cs="Times New Roman"/>
          <w:sz w:val="24"/>
          <w:szCs w:val="21"/>
        </w:rPr>
        <w:t xml:space="preserve">   </w:t>
      </w:r>
      <w:r>
        <w:rPr>
          <w:rFonts w:hint="eastAsia" w:ascii="宋体" w:hAnsi="宋体" w:eastAsia="宋体" w:cs="Times New Roman"/>
          <w:sz w:val="24"/>
          <w:szCs w:val="24"/>
        </w:rPr>
        <w:t>（1）在安全防护监测系统可视化项目（一期）三种地形状态基础上，基于GIS应用构建地形状态颜色类别及实时数据自定义渲染，可以实现秒级更新，</w:t>
      </w:r>
      <w:r>
        <w:rPr>
          <w:rFonts w:hint="eastAsia" w:ascii="宋体" w:hAnsi="宋体" w:eastAsia="宋体" w:cs="Segoe UI"/>
          <w:sz w:val="24"/>
          <w:szCs w:val="24"/>
          <w:shd w:val="clear" w:color="auto" w:fill="FFFFFF"/>
        </w:rPr>
        <w:t>支持</w:t>
      </w:r>
      <w:r>
        <w:rPr>
          <w:rFonts w:ascii="宋体" w:hAnsi="宋体" w:eastAsia="宋体" w:cs="Segoe UI"/>
          <w:sz w:val="24"/>
          <w:szCs w:val="24"/>
          <w:shd w:val="clear" w:color="auto" w:fill="FFFFFF"/>
        </w:rPr>
        <w:t>支持 24 位真彩色（1677 万种颜色）实时渲染，满足差异化视觉识别需求</w:t>
      </w:r>
      <w:r>
        <w:rPr>
          <w:rFonts w:hint="eastAsia" w:ascii="宋体" w:hAnsi="宋体" w:eastAsia="宋体" w:cs="Segoe UI"/>
          <w:sz w:val="24"/>
          <w:szCs w:val="24"/>
          <w:shd w:val="clear" w:color="auto" w:fill="FFFFFF"/>
        </w:rPr>
        <w:t>。渲染响应速度：从数据触发到视觉呈现延迟≤300ms</w:t>
      </w:r>
      <w:r>
        <w:rPr>
          <w:rFonts w:ascii="宋体" w:hAnsi="宋体" w:eastAsia="宋体" w:cs="Segoe UI"/>
          <w:sz w:val="24"/>
          <w:szCs w:val="24"/>
          <w:shd w:val="clear" w:color="auto" w:fill="FFFFFF"/>
        </w:rPr>
        <w:t>。</w:t>
      </w:r>
    </w:p>
    <w:p w14:paraId="793AC165">
      <w:pPr>
        <w:spacing w:line="360" w:lineRule="auto"/>
        <w:rPr>
          <w:rFonts w:hint="eastAsia" w:ascii="宋体" w:hAnsi="宋体" w:eastAsia="宋体" w:cs="Times New Roman"/>
          <w:sz w:val="24"/>
          <w:szCs w:val="24"/>
        </w:rPr>
      </w:pPr>
      <w:r>
        <w:rPr>
          <w:rFonts w:hint="eastAsia" w:ascii="宋体" w:hAnsi="宋体" w:eastAsia="宋体" w:cs="Times New Roman"/>
          <w:sz w:val="24"/>
          <w:szCs w:val="21"/>
        </w:rPr>
        <w:t xml:space="preserve">   </w:t>
      </w:r>
      <w:r>
        <w:rPr>
          <w:rFonts w:hint="eastAsia" w:ascii="宋体" w:hAnsi="宋体" w:eastAsia="宋体" w:cs="Times New Roman"/>
          <w:sz w:val="24"/>
          <w:szCs w:val="24"/>
        </w:rPr>
        <w:t>（2）在系统信息展示栏新增设备总数核心指标模块，搭建秒级（≤1.5 秒）数据同步链路，实现设备总数的实时动态更新与可视化呈现，确保数据展示与实际设备状态零延迟对齐。</w:t>
      </w:r>
    </w:p>
    <w:p w14:paraId="5E1A3E3E">
      <w:pPr>
        <w:spacing w:line="360" w:lineRule="auto"/>
        <w:rPr>
          <w:rFonts w:hint="eastAsia" w:ascii="宋体" w:hAnsi="宋体" w:eastAsia="宋体" w:cs="Times New Roman"/>
          <w:sz w:val="24"/>
          <w:szCs w:val="24"/>
        </w:rPr>
      </w:pPr>
      <w:r>
        <w:rPr>
          <w:rFonts w:hint="eastAsia" w:ascii="宋体" w:hAnsi="宋体" w:eastAsia="宋体" w:cs="Times New Roman"/>
          <w:sz w:val="24"/>
          <w:szCs w:val="21"/>
        </w:rPr>
        <w:t xml:space="preserve">   </w:t>
      </w:r>
      <w:r>
        <w:rPr>
          <w:rFonts w:hint="eastAsia" w:ascii="宋体" w:hAnsi="宋体" w:eastAsia="宋体" w:cs="Times New Roman"/>
          <w:sz w:val="24"/>
          <w:szCs w:val="24"/>
        </w:rPr>
        <w:t>（3）在一期地图架构基础上，新增日本全域可视化地图，地形区域边界精度下沉至县级行政单位，精准标注关键城市核心信息。关键地形区域支持基于实时数据的全颜色自定义渲染，关键城市可同步展示三种核心运行状态，地形渲染与城市状态同步频率均达秒级（≤1.5 秒），保障数据时效性。关键城市标注数量：≥20 个核心城市。同步频率≤1.5 秒 / 次，数据传输成功率≥99.5%。</w:t>
      </w:r>
    </w:p>
    <w:p w14:paraId="0D511BDD">
      <w:pPr>
        <w:spacing w:line="360" w:lineRule="auto"/>
        <w:rPr>
          <w:rFonts w:hint="eastAsia" w:ascii="宋体" w:hAnsi="宋体" w:eastAsia="宋体" w:cs="Times New Roman"/>
          <w:sz w:val="24"/>
          <w:szCs w:val="24"/>
        </w:rPr>
      </w:pPr>
      <w:r>
        <w:rPr>
          <w:rFonts w:hint="eastAsia" w:ascii="宋体" w:hAnsi="宋体" w:eastAsia="宋体" w:cs="Times New Roman"/>
          <w:sz w:val="24"/>
          <w:szCs w:val="21"/>
        </w:rPr>
        <w:t xml:space="preserve">   </w:t>
      </w:r>
      <w:r>
        <w:rPr>
          <w:rFonts w:hint="eastAsia" w:ascii="宋体" w:hAnsi="宋体" w:eastAsia="宋体" w:cs="Times New Roman"/>
          <w:sz w:val="24"/>
          <w:szCs w:val="24"/>
        </w:rPr>
        <w:t>（4）在美国现有地图基础上，完成 50 个州全域覆盖，精准添加各州州府及不少于 60 个关键城市信息，支持根据甲方业务需求灵活自定义城市标注数量。（</w:t>
      </w:r>
      <w:r>
        <w:rPr>
          <w:rFonts w:hint="eastAsia" w:ascii="宋体" w:hAnsi="宋体" w:eastAsia="宋体" w:cs="Segoe UI"/>
          <w:sz w:val="24"/>
          <w:szCs w:val="24"/>
          <w:shd w:val="clear" w:color="auto" w:fill="FFFFFF"/>
        </w:rPr>
        <w:t>支持</w:t>
      </w:r>
      <w:r>
        <w:rPr>
          <w:rFonts w:ascii="宋体" w:hAnsi="宋体" w:eastAsia="宋体" w:cs="Segoe UI"/>
          <w:sz w:val="24"/>
          <w:szCs w:val="24"/>
          <w:shd w:val="clear" w:color="auto" w:fill="FFFFFF"/>
        </w:rPr>
        <w:t>扩展</w:t>
      </w:r>
      <w:r>
        <w:rPr>
          <w:rFonts w:hint="eastAsia" w:ascii="宋体" w:hAnsi="宋体" w:eastAsia="宋体" w:cs="Segoe UI"/>
          <w:sz w:val="24"/>
          <w:szCs w:val="24"/>
          <w:shd w:val="clear" w:color="auto" w:fill="FFFFFF"/>
        </w:rPr>
        <w:t>城市数量不少于</w:t>
      </w:r>
      <w:r>
        <w:rPr>
          <w:rFonts w:ascii="宋体" w:hAnsi="宋体" w:eastAsia="宋体" w:cs="Segoe UI"/>
          <w:sz w:val="24"/>
          <w:szCs w:val="24"/>
          <w:shd w:val="clear" w:color="auto" w:fill="FFFFFF"/>
        </w:rPr>
        <w:t>200 个</w:t>
      </w:r>
      <w:r>
        <w:rPr>
          <w:rFonts w:hint="eastAsia" w:ascii="宋体" w:hAnsi="宋体" w:eastAsia="宋体" w:cs="Times New Roman"/>
          <w:sz w:val="24"/>
          <w:szCs w:val="24"/>
        </w:rPr>
        <w:t>）所有城市节点支持通过实时数据同步三种核心状态，同步频率保持秒级（≤1.5 秒）；新增州级区域双击放大功能，实现 “国家 - 州 - 城市” 三级标度尺自适应展示，满足不同层级的可视化监测需求。</w:t>
      </w:r>
    </w:p>
    <w:p w14:paraId="5953D65C">
      <w:pPr>
        <w:spacing w:line="360" w:lineRule="auto"/>
        <w:rPr>
          <w:rFonts w:hint="eastAsia" w:ascii="宋体" w:hAnsi="宋体" w:eastAsia="宋体" w:cs="Times New Roman"/>
          <w:sz w:val="24"/>
          <w:szCs w:val="24"/>
        </w:rPr>
      </w:pPr>
      <w:r>
        <w:rPr>
          <w:rFonts w:hint="eastAsia" w:ascii="宋体" w:hAnsi="宋体" w:eastAsia="宋体" w:cs="Times New Roman"/>
          <w:sz w:val="24"/>
          <w:szCs w:val="21"/>
        </w:rPr>
        <w:t xml:space="preserve">   </w:t>
      </w:r>
      <w:r>
        <w:rPr>
          <w:rFonts w:hint="eastAsia" w:ascii="宋体" w:hAnsi="宋体" w:eastAsia="宋体" w:cs="Times New Roman"/>
          <w:sz w:val="24"/>
          <w:szCs w:val="24"/>
        </w:rPr>
        <w:t>（5）美国地图在原有基础上，州添加双击放大展示城市功能，且地图可按不同标度尺，分别展示国家、州、城市信息；</w:t>
      </w:r>
      <w:r>
        <w:rPr>
          <w:rFonts w:ascii="宋体" w:hAnsi="宋体" w:eastAsia="宋体" w:cs="Segoe UI"/>
          <w:sz w:val="24"/>
          <w:szCs w:val="24"/>
          <w:shd w:val="clear" w:color="auto" w:fill="FFFFFF"/>
        </w:rPr>
        <w:t>从触发到完成放大耗时≤800ms</w:t>
      </w:r>
      <w:r>
        <w:rPr>
          <w:rFonts w:hint="eastAsia" w:ascii="宋体" w:hAnsi="宋体" w:eastAsia="宋体" w:cs="Segoe UI"/>
          <w:sz w:val="24"/>
          <w:szCs w:val="24"/>
          <w:shd w:val="clear" w:color="auto" w:fill="FFFFFF"/>
        </w:rPr>
        <w:t>。</w:t>
      </w:r>
    </w:p>
    <w:p w14:paraId="25BC160C">
      <w:pPr>
        <w:spacing w:line="360" w:lineRule="auto"/>
        <w:rPr>
          <w:rFonts w:hint="eastAsia" w:ascii="宋体" w:hAnsi="宋体" w:eastAsia="宋体" w:cs="Times New Roman"/>
          <w:sz w:val="24"/>
          <w:szCs w:val="24"/>
        </w:rPr>
      </w:pPr>
      <w:r>
        <w:rPr>
          <w:rFonts w:hint="eastAsia" w:ascii="宋体" w:hAnsi="宋体" w:eastAsia="宋体" w:cs="Times New Roman"/>
          <w:sz w:val="24"/>
          <w:szCs w:val="21"/>
        </w:rPr>
        <w:t xml:space="preserve">   </w:t>
      </w:r>
      <w:r>
        <w:rPr>
          <w:rFonts w:hint="eastAsia" w:ascii="宋体" w:hAnsi="宋体" w:eastAsia="宋体" w:cs="Times New Roman"/>
          <w:sz w:val="24"/>
          <w:szCs w:val="24"/>
        </w:rPr>
        <w:t>（6）展示界面全量地形区域、核心节点均支持状态实时动态更新，同步频率稳定在秒级（≤1.5 秒）；系统架构优化后，可支持不少于 20 种类别、100 个节点的并发状态同步，</w:t>
      </w:r>
      <w:r>
        <w:rPr>
          <w:rFonts w:ascii="宋体" w:hAnsi="宋体" w:eastAsia="宋体" w:cs="Segoe UI"/>
          <w:sz w:val="24"/>
          <w:szCs w:val="24"/>
          <w:shd w:val="clear" w:color="auto" w:fill="FFFFFF"/>
        </w:rPr>
        <w:t>峰值可扩展至 200 节点</w:t>
      </w:r>
      <w:r>
        <w:rPr>
          <w:rFonts w:hint="eastAsia" w:ascii="宋体" w:hAnsi="宋体" w:eastAsia="宋体" w:cs="Segoe UI"/>
          <w:sz w:val="24"/>
          <w:szCs w:val="24"/>
          <w:shd w:val="clear" w:color="auto" w:fill="FFFFFF"/>
        </w:rPr>
        <w:t>。</w:t>
      </w:r>
      <w:r>
        <w:rPr>
          <w:rFonts w:hint="eastAsia" w:ascii="宋体" w:hAnsi="宋体" w:eastAsia="宋体" w:cs="Times New Roman"/>
          <w:sz w:val="24"/>
          <w:szCs w:val="24"/>
        </w:rPr>
        <w:t>节点响应延迟≤500 毫秒，保障高负载场景下的稳定运行。</w:t>
      </w:r>
    </w:p>
    <w:p w14:paraId="3EFDE79B">
      <w:pPr>
        <w:spacing w:line="360" w:lineRule="auto"/>
        <w:rPr>
          <w:rFonts w:hint="eastAsia" w:ascii="宋体" w:hAnsi="宋体" w:eastAsia="宋体" w:cs="Times New Roman"/>
          <w:sz w:val="24"/>
          <w:szCs w:val="24"/>
        </w:rPr>
      </w:pPr>
      <w:r>
        <w:rPr>
          <w:rFonts w:hint="eastAsia" w:ascii="宋体" w:hAnsi="宋体" w:eastAsia="宋体" w:cs="Times New Roman"/>
          <w:sz w:val="24"/>
          <w:szCs w:val="21"/>
        </w:rPr>
        <w:t xml:space="preserve">   </w:t>
      </w:r>
      <w:r>
        <w:rPr>
          <w:rFonts w:hint="eastAsia" w:ascii="宋体" w:hAnsi="宋体" w:eastAsia="宋体" w:cs="Times New Roman"/>
          <w:sz w:val="24"/>
          <w:szCs w:val="24"/>
        </w:rPr>
        <w:t>（7）优化攻击流向展示逻辑，实现流向线条粗细随数据传输速率智能自适应调节（</w:t>
      </w:r>
      <w:r>
        <w:rPr>
          <w:rFonts w:ascii="宋体" w:hAnsi="宋体" w:eastAsia="宋体" w:cs="Segoe UI"/>
          <w:sz w:val="24"/>
          <w:szCs w:val="24"/>
          <w:shd w:val="clear" w:color="auto" w:fill="FFFFFF"/>
        </w:rPr>
        <w:t>支持 0-1000Mbps 速率对应的线条粗细动态调节</w:t>
      </w:r>
      <w:r>
        <w:rPr>
          <w:rFonts w:hint="eastAsia" w:ascii="宋体" w:hAnsi="宋体" w:eastAsia="宋体" w:cs="Segoe UI"/>
          <w:sz w:val="24"/>
          <w:szCs w:val="24"/>
          <w:shd w:val="clear" w:color="auto" w:fill="FFFFFF"/>
        </w:rPr>
        <w:t>，</w:t>
      </w:r>
      <w:r>
        <w:rPr>
          <w:rFonts w:ascii="宋体" w:hAnsi="宋体" w:eastAsia="宋体" w:cs="Segoe UI"/>
          <w:sz w:val="24"/>
          <w:szCs w:val="24"/>
          <w:shd w:val="clear" w:color="auto" w:fill="FFFFFF"/>
        </w:rPr>
        <w:t>线宽范围 1-10px</w:t>
      </w:r>
      <w:r>
        <w:rPr>
          <w:rFonts w:hint="eastAsia" w:ascii="宋体" w:hAnsi="宋体" w:eastAsia="宋体" w:cs="Times New Roman"/>
          <w:sz w:val="24"/>
          <w:szCs w:val="24"/>
        </w:rPr>
        <w:t>），支持用户自定义流向线条颜色参数，提升攻击路径的视觉辨识度与动态感知效果。</w:t>
      </w:r>
    </w:p>
    <w:p w14:paraId="455F5C39">
      <w:pPr>
        <w:spacing w:line="360" w:lineRule="auto"/>
        <w:rPr>
          <w:rFonts w:hint="eastAsia" w:ascii="宋体" w:hAnsi="宋体" w:eastAsia="宋体" w:cs="Times New Roman"/>
          <w:sz w:val="24"/>
          <w:szCs w:val="24"/>
        </w:rPr>
      </w:pPr>
      <w:bookmarkStart w:id="0" w:name="OLE_LINK2"/>
      <w:r>
        <w:rPr>
          <w:rFonts w:hint="eastAsia" w:ascii="宋体" w:hAnsi="宋体" w:eastAsia="宋体" w:cs="Times New Roman"/>
          <w:sz w:val="24"/>
          <w:szCs w:val="21"/>
        </w:rPr>
        <w:t xml:space="preserve">   </w:t>
      </w:r>
      <w:r>
        <w:rPr>
          <w:rFonts w:hint="eastAsia" w:ascii="宋体" w:hAnsi="宋体" w:eastAsia="宋体" w:cs="Times New Roman"/>
          <w:sz w:val="24"/>
          <w:szCs w:val="24"/>
        </w:rPr>
        <w:t>（8）对拓扑界面进行交互体验升级，拓扑节点间连接关系支持颜色、透明度双维度自定义配置，节点自身的颜色、尺寸参数可根据业务需求灵活调整，适配不同场景下的可视化分析诉求。（节点配置：颜色支持 24 位真彩色，尺寸调节范围 5-50px（步长 1px），配置生效延迟≤300ms）</w:t>
      </w:r>
      <w:bookmarkEnd w:id="0"/>
    </w:p>
    <w:p w14:paraId="50F25C80">
      <w:pPr>
        <w:spacing w:line="360" w:lineRule="auto"/>
        <w:rPr>
          <w:rFonts w:hint="eastAsia" w:ascii="宋体" w:hAnsi="宋体" w:eastAsia="宋体" w:cs="Times New Roman"/>
          <w:sz w:val="24"/>
          <w:szCs w:val="24"/>
        </w:rPr>
      </w:pPr>
      <w:r>
        <w:rPr>
          <w:rFonts w:hint="eastAsia" w:ascii="宋体" w:hAnsi="宋体" w:eastAsia="宋体" w:cs="Times New Roman"/>
          <w:sz w:val="24"/>
          <w:szCs w:val="21"/>
        </w:rPr>
        <w:t xml:space="preserve">   </w:t>
      </w:r>
      <w:r>
        <w:rPr>
          <w:rFonts w:hint="eastAsia" w:ascii="宋体" w:hAnsi="宋体" w:eastAsia="宋体" w:cs="Times New Roman"/>
          <w:sz w:val="24"/>
          <w:szCs w:val="24"/>
        </w:rPr>
        <w:t>（9）开发地图定向放大专用指令接口，支持通过接口调用直接定位并放大至指定国家区域，放大过程平滑无卡顿，缩放精度达像素级，提升地图操作效率。地图放大接口：定位准确率 100%，放大操作完成时间≤1 秒，接口调用成功率≥99.5%。</w:t>
      </w:r>
    </w:p>
    <w:p w14:paraId="30065FCE">
      <w:pPr>
        <w:spacing w:line="360" w:lineRule="auto"/>
        <w:rPr>
          <w:rFonts w:hint="eastAsia" w:ascii="宋体" w:hAnsi="宋体" w:eastAsia="宋体" w:cs="Times New Roman"/>
          <w:sz w:val="24"/>
          <w:szCs w:val="24"/>
        </w:rPr>
      </w:pPr>
      <w:r>
        <w:rPr>
          <w:rFonts w:hint="eastAsia" w:ascii="宋体" w:hAnsi="宋体" w:eastAsia="宋体" w:cs="Times New Roman"/>
          <w:sz w:val="24"/>
          <w:szCs w:val="21"/>
        </w:rPr>
        <w:t xml:space="preserve">   </w:t>
      </w:r>
      <w:r>
        <w:rPr>
          <w:rFonts w:hint="eastAsia" w:ascii="宋体" w:hAnsi="宋体" w:eastAsia="宋体" w:cs="Times New Roman"/>
          <w:sz w:val="24"/>
          <w:szCs w:val="24"/>
        </w:rPr>
        <w:t>（10）提供实时数据表数据一键清除指令接口，及可视化展示界面初始状态一键恢复功能接口，支持外部服务器通过标准化协议远程触发执行，操作响应时间≤1 秒，简化系统维护流程。数据 / 界面操作接口：指令响应时间≤2 秒，操作执行成功率 99.9%，支持每秒≥10 次并发调用。</w:t>
      </w:r>
    </w:p>
    <w:p w14:paraId="1C788304">
      <w:pPr>
        <w:spacing w:line="360" w:lineRule="auto"/>
        <w:rPr>
          <w:rFonts w:hint="eastAsia" w:ascii="宋体" w:hAnsi="宋体" w:eastAsia="宋体" w:cs="Times New Roman"/>
          <w:sz w:val="24"/>
          <w:szCs w:val="24"/>
        </w:rPr>
      </w:pPr>
      <w:r>
        <w:rPr>
          <w:rFonts w:hint="eastAsia" w:ascii="宋体" w:hAnsi="宋体" w:eastAsia="宋体" w:cs="Times New Roman"/>
          <w:sz w:val="24"/>
          <w:szCs w:val="21"/>
        </w:rPr>
        <w:t xml:space="preserve">   </w:t>
      </w:r>
      <w:r>
        <w:rPr>
          <w:rFonts w:hint="eastAsia" w:ascii="宋体" w:hAnsi="宋体" w:eastAsia="宋体" w:cs="Times New Roman"/>
          <w:sz w:val="24"/>
          <w:szCs w:val="24"/>
        </w:rPr>
        <w:t>（11）在甲方提供的全新服务器硬件环境中，完成一套与现有系统功能完全一致的冗余部署，搭建主备协同机制，保障系统在极端场景下的业务连续性。系统可用性：全年服务可用率≥99.99%（允许年度故障停机时间≤52.56 分钟）</w:t>
      </w:r>
    </w:p>
    <w:p w14:paraId="06D41FD3">
      <w:pPr>
        <w:spacing w:line="360" w:lineRule="auto"/>
        <w:rPr>
          <w:rFonts w:hint="eastAsia" w:ascii="宋体" w:hAnsi="宋体" w:eastAsia="宋体" w:cs="Times New Roman"/>
          <w:sz w:val="24"/>
          <w:szCs w:val="24"/>
        </w:rPr>
      </w:pPr>
      <w:r>
        <w:rPr>
          <w:rFonts w:hint="eastAsia" w:ascii="宋体" w:hAnsi="宋体" w:eastAsia="宋体" w:cs="Times New Roman"/>
          <w:sz w:val="24"/>
          <w:szCs w:val="21"/>
        </w:rPr>
        <w:t xml:space="preserve">   </w:t>
      </w:r>
      <w:r>
        <w:rPr>
          <w:rFonts w:hint="eastAsia" w:ascii="宋体" w:hAnsi="宋体" w:eastAsia="宋体" w:cs="Times New Roman"/>
          <w:sz w:val="24"/>
          <w:szCs w:val="24"/>
        </w:rPr>
        <w:t>（12）优化数据存储与回溯架构，支持同步状态历史数据回溯时长≥1 小时，回溯数据精度与实时数据一致，便于历史事件追溯与问题排查。（支持≥1 小时历史数据查询，数据完整性 100%，查询响应时间≤2 秒）</w:t>
      </w:r>
    </w:p>
    <w:p w14:paraId="5465E87F">
      <w:pPr>
        <w:spacing w:line="360" w:lineRule="auto"/>
        <w:rPr>
          <w:rFonts w:hint="eastAsia" w:ascii="宋体" w:hAnsi="宋体" w:eastAsia="宋体" w:cs="Times New Roman"/>
          <w:sz w:val="24"/>
          <w:szCs w:val="24"/>
        </w:rPr>
      </w:pPr>
      <w:r>
        <w:rPr>
          <w:rFonts w:hint="eastAsia" w:ascii="宋体" w:hAnsi="宋体" w:eastAsia="宋体" w:cs="Times New Roman"/>
          <w:sz w:val="24"/>
          <w:szCs w:val="21"/>
        </w:rPr>
        <w:t xml:space="preserve">   </w:t>
      </w:r>
      <w:r>
        <w:rPr>
          <w:rFonts w:hint="eastAsia" w:ascii="宋体" w:hAnsi="宋体" w:eastAsia="宋体" w:cs="Times New Roman"/>
          <w:sz w:val="24"/>
          <w:szCs w:val="24"/>
        </w:rPr>
        <w:t>（13）从视觉设计层面优化整体界面布局，通过色彩对比度强化、层级视觉区分等方式，突出节点、地形、流向的状态差异性，提升视觉识别效率；对系统底层架构进行性能调优，进一步提升数据同步频率稳定性、节点并发承载能力及地形渲染效率，确保系统在高负载下仍保持流畅运行体验。</w:t>
      </w:r>
    </w:p>
    <w:p w14:paraId="41D709B9">
      <w:pPr>
        <w:numPr>
          <w:ilvl w:val="0"/>
          <w:numId w:val="2"/>
        </w:numPr>
        <w:spacing w:line="360" w:lineRule="auto"/>
        <w:rPr>
          <w:rFonts w:hint="eastAsia" w:ascii="宋体" w:hAnsi="宋体" w:eastAsia="宋体" w:cs="Times New Roman"/>
          <w:sz w:val="24"/>
          <w:szCs w:val="24"/>
        </w:rPr>
      </w:pPr>
      <w:r>
        <w:rPr>
          <w:rFonts w:hint="eastAsia" w:ascii="宋体" w:hAnsi="宋体" w:eastAsia="宋体" w:cs="Times New Roman"/>
          <w:sz w:val="24"/>
          <w:szCs w:val="24"/>
        </w:rPr>
        <w:t>同步频率稳定性：连续 24 小时运行，频率波动≤5%；</w:t>
      </w:r>
    </w:p>
    <w:p w14:paraId="0AD743EC">
      <w:pPr>
        <w:numPr>
          <w:ilvl w:val="0"/>
          <w:numId w:val="2"/>
        </w:numPr>
        <w:spacing w:line="360" w:lineRule="auto"/>
        <w:rPr>
          <w:rFonts w:hint="eastAsia" w:ascii="宋体" w:hAnsi="宋体" w:eastAsia="宋体" w:cs="Times New Roman"/>
          <w:sz w:val="24"/>
          <w:szCs w:val="24"/>
        </w:rPr>
      </w:pPr>
      <w:r>
        <w:rPr>
          <w:rFonts w:hint="eastAsia" w:ascii="宋体" w:hAnsi="宋体" w:eastAsia="宋体" w:cs="Times New Roman"/>
          <w:sz w:val="24"/>
          <w:szCs w:val="24"/>
        </w:rPr>
        <w:t>高负载承载：100 节点满负载运行时，系统平均响应时间≤1 秒；</w:t>
      </w:r>
    </w:p>
    <w:p w14:paraId="71C4EFDF">
      <w:pPr>
        <w:numPr>
          <w:ilvl w:val="0"/>
          <w:numId w:val="2"/>
        </w:numPr>
        <w:spacing w:line="360" w:lineRule="auto"/>
        <w:rPr>
          <w:rFonts w:ascii="宋体" w:hAnsi="宋体" w:eastAsia="宋体" w:cs="Times New Roman"/>
          <w:sz w:val="24"/>
          <w:szCs w:val="24"/>
        </w:rPr>
      </w:pPr>
      <w:r>
        <w:rPr>
          <w:rFonts w:hint="eastAsia" w:ascii="宋体" w:hAnsi="宋体" w:eastAsia="宋体" w:cs="Times New Roman"/>
          <w:sz w:val="24"/>
          <w:szCs w:val="24"/>
        </w:rPr>
        <w:t>地形渲染效率：单帧地图渲染耗时≤150ms，支持每秒≥60 帧流畅显示</w:t>
      </w:r>
    </w:p>
    <w:p w14:paraId="13E6B1AF">
      <w:pPr>
        <w:spacing w:line="360" w:lineRule="auto"/>
        <w:ind w:left="420"/>
        <w:rPr>
          <w:rFonts w:ascii="宋体" w:hAnsi="宋体" w:eastAsia="宋体" w:cs="Times New Roman"/>
          <w:sz w:val="24"/>
          <w:szCs w:val="24"/>
          <w:highlight w:val="none"/>
        </w:rPr>
      </w:pPr>
      <w:r>
        <w:rPr>
          <w:rFonts w:hint="eastAsia" w:ascii="宋体" w:hAnsi="宋体" w:eastAsia="宋体" w:cs="Times New Roman"/>
          <w:b/>
          <w:bCs/>
          <w:sz w:val="24"/>
          <w:szCs w:val="24"/>
          <w:highlight w:val="none"/>
        </w:rPr>
        <w:t>2．</w:t>
      </w:r>
      <w:r>
        <w:rPr>
          <w:rFonts w:hint="eastAsia" w:ascii="宋体" w:hAnsi="Calibri" w:eastAsia="宋体" w:cs="Times New Roman"/>
          <w:b/>
          <w:bCs/>
          <w:sz w:val="24"/>
          <w:highlight w:val="none"/>
        </w:rPr>
        <w:t>设备采购及前端展示集成</w:t>
      </w:r>
    </w:p>
    <w:p w14:paraId="771F33CE">
      <w:pPr>
        <w:spacing w:line="360" w:lineRule="auto"/>
        <w:rPr>
          <w:rFonts w:hint="eastAsia" w:ascii="宋体" w:hAnsi="宋体" w:eastAsia="宋体" w:cs="Times New Roman"/>
          <w:sz w:val="24"/>
          <w:szCs w:val="24"/>
          <w:highlight w:val="none"/>
        </w:rPr>
      </w:pPr>
      <w:r>
        <w:rPr>
          <w:rFonts w:hint="eastAsia" w:ascii="宋体" w:hAnsi="宋体" w:eastAsia="宋体" w:cs="Times New Roman"/>
          <w:sz w:val="24"/>
          <w:szCs w:val="21"/>
          <w:highlight w:val="none"/>
        </w:rPr>
        <w:t xml:space="preserve">   </w:t>
      </w:r>
      <w:r>
        <w:rPr>
          <w:rFonts w:hint="eastAsia" w:ascii="宋体" w:hAnsi="宋体" w:eastAsia="宋体" w:cs="Times New Roman"/>
          <w:sz w:val="24"/>
          <w:szCs w:val="24"/>
          <w:highlight w:val="none"/>
        </w:rPr>
        <w:t>（1）采购安全防护监测系统可视化展示一体机设备，集成前端展示功能，支持4K超高清（3840×2160）多点触控交互，具备多路视频信号接入能力，满足7×24小时持续稳定运行要求。设备内置数据解析与实时渲染引擎，支持与本合同第1条约定的全部可视化功能模块无缝集成与协同工作，实现一体化呈现与操控。</w:t>
      </w:r>
    </w:p>
    <w:p w14:paraId="2B983B9D">
      <w:pPr>
        <w:spacing w:line="360" w:lineRule="auto"/>
        <w:rPr>
          <w:rFonts w:hint="eastAsia" w:ascii="宋体" w:hAnsi="宋体" w:eastAsia="宋体" w:cs="Times New Roman"/>
          <w:sz w:val="24"/>
          <w:szCs w:val="24"/>
        </w:rPr>
      </w:pPr>
    </w:p>
    <w:p w14:paraId="446D8EF3">
      <w:pPr>
        <w:spacing w:line="360" w:lineRule="auto"/>
        <w:rPr>
          <w:rFonts w:ascii="Calibri" w:hAnsi="Calibri" w:eastAsia="宋体" w:cs="Times New Roman"/>
          <w:sz w:val="24"/>
        </w:rPr>
      </w:pPr>
      <w:r>
        <w:rPr>
          <w:rFonts w:hint="eastAsia" w:ascii="Calibri" w:hAnsi="Calibri" w:eastAsia="宋体" w:cs="Times New Roman"/>
          <w:sz w:val="24"/>
        </w:rPr>
        <w:t xml:space="preserve">    </w:t>
      </w:r>
      <w:r>
        <w:rPr>
          <w:rFonts w:hint="eastAsia" w:ascii="Calibri" w:hAnsi="Calibri" w:eastAsia="宋体" w:cs="Times New Roman"/>
          <w:b/>
          <w:sz w:val="24"/>
        </w:rPr>
        <w:t>第三条</w:t>
      </w:r>
      <w:r>
        <w:rPr>
          <w:rFonts w:hint="eastAsia" w:ascii="Calibri" w:hAnsi="Calibri" w:eastAsia="宋体" w:cs="Times New Roman"/>
          <w:sz w:val="24"/>
        </w:rPr>
        <w:t xml:space="preserve">  乙方应按下列进度完成研究开发工作：</w:t>
      </w:r>
    </w:p>
    <w:p w14:paraId="3A11E881">
      <w:pPr>
        <w:spacing w:line="360" w:lineRule="auto"/>
        <w:rPr>
          <w:rFonts w:ascii="Calibri" w:hAnsi="Calibri" w:eastAsia="宋体" w:cs="Times New Roman"/>
          <w:sz w:val="24"/>
          <w:szCs w:val="21"/>
        </w:rPr>
      </w:pPr>
      <w:r>
        <w:rPr>
          <w:rFonts w:hint="eastAsia" w:ascii="Calibri" w:hAnsi="Calibri" w:eastAsia="宋体" w:cs="Times New Roman"/>
          <w:sz w:val="24"/>
          <w:szCs w:val="21"/>
        </w:rPr>
        <w:t xml:space="preserve">    1．合同签订后3个工作日内完成初步方案设计与技术选型；</w:t>
      </w:r>
    </w:p>
    <w:p w14:paraId="5C1169BD">
      <w:pPr>
        <w:spacing w:line="360" w:lineRule="auto"/>
        <w:rPr>
          <w:rFonts w:ascii="Calibri" w:hAnsi="Calibri" w:eastAsia="宋体" w:cs="Times New Roman"/>
          <w:sz w:val="24"/>
          <w:szCs w:val="21"/>
        </w:rPr>
      </w:pPr>
      <w:r>
        <w:rPr>
          <w:rFonts w:hint="eastAsia" w:ascii="Calibri" w:hAnsi="Calibri" w:eastAsia="宋体" w:cs="Times New Roman"/>
          <w:sz w:val="24"/>
          <w:szCs w:val="21"/>
        </w:rPr>
        <w:t xml:space="preserve">    2．合同签订5个工作日内完成主体功能框架搭建；</w:t>
      </w:r>
    </w:p>
    <w:p w14:paraId="23125F70">
      <w:pPr>
        <w:spacing w:line="360" w:lineRule="auto"/>
        <w:rPr>
          <w:rFonts w:ascii="Calibri" w:hAnsi="Calibri" w:eastAsia="宋体" w:cs="Times New Roman"/>
          <w:sz w:val="24"/>
          <w:szCs w:val="21"/>
        </w:rPr>
      </w:pPr>
      <w:r>
        <w:rPr>
          <w:rFonts w:hint="eastAsia" w:ascii="Calibri" w:hAnsi="Calibri" w:eastAsia="宋体" w:cs="Times New Roman"/>
          <w:sz w:val="24"/>
          <w:szCs w:val="21"/>
        </w:rPr>
        <w:t xml:space="preserve">    3．在甲方提供完备接口数据后10个工作日内完成本地开发测试工作；</w:t>
      </w:r>
    </w:p>
    <w:p w14:paraId="12E4151F">
      <w:pPr>
        <w:spacing w:line="360" w:lineRule="auto"/>
        <w:ind w:firstLine="480"/>
        <w:rPr>
          <w:rFonts w:ascii="Calibri" w:hAnsi="Calibri" w:eastAsia="宋体" w:cs="Times New Roman"/>
          <w:sz w:val="24"/>
          <w:szCs w:val="21"/>
          <w:highlight w:val="none"/>
        </w:rPr>
      </w:pPr>
      <w:r>
        <w:rPr>
          <w:rFonts w:hint="eastAsia" w:ascii="Calibri" w:hAnsi="Calibri" w:eastAsia="宋体" w:cs="Times New Roman"/>
          <w:sz w:val="24"/>
          <w:szCs w:val="21"/>
          <w:highlight w:val="none"/>
        </w:rPr>
        <w:t>4．在甲方提供完备的部署环境且一体机设备已就位后15个工作日内，完成软件系统的现场部署、与硬件设备的集成调试，并达到可验收状态。</w:t>
      </w:r>
    </w:p>
    <w:p w14:paraId="0CD9A98A">
      <w:pPr>
        <w:spacing w:line="360" w:lineRule="auto"/>
        <w:ind w:firstLine="480"/>
        <w:rPr>
          <w:rFonts w:hint="eastAsia" w:ascii="Calibri" w:hAnsi="Calibri" w:eastAsia="宋体" w:cs="Times New Roman"/>
          <w:sz w:val="24"/>
          <w:szCs w:val="21"/>
        </w:rPr>
      </w:pPr>
    </w:p>
    <w:p w14:paraId="1EBD8F23">
      <w:pPr>
        <w:spacing w:line="360" w:lineRule="auto"/>
        <w:ind w:left="555"/>
        <w:rPr>
          <w:rFonts w:ascii="Calibri" w:hAnsi="Calibri" w:eastAsia="宋体" w:cs="Times New Roman"/>
          <w:sz w:val="24"/>
        </w:rPr>
      </w:pPr>
      <w:r>
        <w:rPr>
          <w:rFonts w:hint="eastAsia" w:ascii="Calibri" w:hAnsi="Calibri" w:eastAsia="宋体" w:cs="Times New Roman"/>
          <w:b/>
          <w:sz w:val="24"/>
        </w:rPr>
        <w:t xml:space="preserve">第四条  </w:t>
      </w:r>
      <w:r>
        <w:rPr>
          <w:rFonts w:hint="eastAsia" w:ascii="Calibri" w:hAnsi="Calibri" w:eastAsia="宋体" w:cs="Times New Roman"/>
          <w:sz w:val="24"/>
        </w:rPr>
        <w:t>甲方应向乙方提供的技术资料及协作事项如下：</w:t>
      </w:r>
    </w:p>
    <w:p w14:paraId="5CA6B09A">
      <w:pPr>
        <w:spacing w:line="360" w:lineRule="auto"/>
        <w:rPr>
          <w:rFonts w:ascii="宋体" w:hAnsi="Calibri" w:eastAsia="宋体" w:cs="Times New Roman"/>
          <w:sz w:val="24"/>
        </w:rPr>
      </w:pPr>
      <w:r>
        <w:rPr>
          <w:rFonts w:hint="eastAsia" w:ascii="宋体" w:hAnsi="Calibri" w:eastAsia="宋体" w:cs="Times New Roman"/>
          <w:sz w:val="24"/>
        </w:rPr>
        <w:t xml:space="preserve">    1. 技术资料清单：可视化系统所需数据类型、数据接口、节点/地形预置信息等必要数据；</w:t>
      </w:r>
    </w:p>
    <w:p w14:paraId="62F872A5">
      <w:pPr>
        <w:spacing w:line="360" w:lineRule="auto"/>
        <w:rPr>
          <w:rFonts w:ascii="宋体" w:hAnsi="Calibri" w:eastAsia="宋体" w:cs="Times New Roman"/>
          <w:sz w:val="24"/>
          <w:u w:val="single"/>
        </w:rPr>
      </w:pPr>
      <w:r>
        <w:rPr>
          <w:rFonts w:hint="eastAsia" w:ascii="宋体" w:hAnsi="Calibri" w:eastAsia="宋体" w:cs="Times New Roman"/>
          <w:sz w:val="24"/>
        </w:rPr>
        <w:t xml:space="preserve">    2. 提供时间和方式：接口数据应在乙方完成系统功能开发以及模型渲染后10个工作日内提供；其他数据在甲乙双方协定后及时提供。资料以线上网盘或线下存盘形式提交；</w:t>
      </w:r>
    </w:p>
    <w:p w14:paraId="14A4E235">
      <w:pPr>
        <w:spacing w:line="360" w:lineRule="auto"/>
        <w:rPr>
          <w:rFonts w:ascii="宋体" w:hAnsi="Calibri" w:eastAsia="宋体" w:cs="Times New Roman"/>
          <w:sz w:val="24"/>
          <w:u w:val="single"/>
        </w:rPr>
      </w:pPr>
      <w:r>
        <w:rPr>
          <w:rFonts w:hint="eastAsia" w:ascii="宋体" w:hAnsi="Calibri" w:eastAsia="宋体" w:cs="Times New Roman"/>
          <w:sz w:val="24"/>
        </w:rPr>
        <w:t xml:space="preserve">    3. 其他协作事项：为乙方开展项目工作提供必要的协助和配合。对乙方的工作进度和成果进行监督和验收，如发现问题及时提出并要求乙方整改。</w:t>
      </w:r>
    </w:p>
    <w:p w14:paraId="1486B6A4">
      <w:pPr>
        <w:spacing w:line="360" w:lineRule="auto"/>
        <w:rPr>
          <w:rFonts w:ascii="宋体" w:hAnsi="Calibri" w:eastAsia="宋体" w:cs="Times New Roman"/>
          <w:sz w:val="24"/>
          <w:u w:val="single"/>
        </w:rPr>
      </w:pPr>
      <w:r>
        <w:rPr>
          <w:rFonts w:hint="eastAsia" w:ascii="宋体" w:hAnsi="Calibri" w:eastAsia="宋体" w:cs="Times New Roman"/>
          <w:sz w:val="24"/>
        </w:rPr>
        <w:t xml:space="preserve">    本合同履行完毕后，上述技术资料按以下方式处理：乙方应在合同终止后30日内销毁或永久删除从甲方获取的未公开技术资料（含地形边界数据、节点属性数据等），并向甲方提交书面销毁证明。针对可复用资料，乙方可留存副本，但不得用于本合同以外的商业用途。</w:t>
      </w:r>
    </w:p>
    <w:p w14:paraId="15C0375B">
      <w:pPr>
        <w:spacing w:line="360" w:lineRule="auto"/>
        <w:rPr>
          <w:rFonts w:ascii="宋体" w:hAnsi="Calibri" w:eastAsia="宋体" w:cs="Times New Roman"/>
          <w:sz w:val="24"/>
        </w:rPr>
      </w:pPr>
    </w:p>
    <w:p w14:paraId="6521A23A">
      <w:pPr>
        <w:spacing w:line="360" w:lineRule="auto"/>
        <w:ind w:left="555"/>
        <w:rPr>
          <w:rFonts w:ascii="宋体" w:hAnsi="Calibri" w:eastAsia="宋体" w:cs="Times New Roman"/>
          <w:sz w:val="24"/>
        </w:rPr>
      </w:pPr>
      <w:r>
        <w:rPr>
          <w:rFonts w:hint="eastAsia" w:ascii="Calibri" w:hAnsi="Calibri" w:eastAsia="宋体" w:cs="Times New Roman"/>
          <w:b/>
          <w:sz w:val="24"/>
        </w:rPr>
        <w:t>第五条</w:t>
      </w:r>
      <w:r>
        <w:rPr>
          <w:rFonts w:hint="eastAsia" w:ascii="Calibri" w:hAnsi="Calibri" w:eastAsia="宋体" w:cs="Times New Roman"/>
          <w:b/>
          <w:sz w:val="28"/>
        </w:rPr>
        <w:t xml:space="preserve">  </w:t>
      </w:r>
      <w:r>
        <w:rPr>
          <w:rFonts w:hint="eastAsia" w:ascii="宋体" w:hAnsi="Calibri" w:eastAsia="宋体" w:cs="Times New Roman"/>
          <w:sz w:val="24"/>
        </w:rPr>
        <w:t>甲方应按以下方式支付研究开发经费和报酬：</w:t>
      </w:r>
    </w:p>
    <w:p w14:paraId="336BEC8C">
      <w:pPr>
        <w:spacing w:line="360" w:lineRule="auto"/>
        <w:rPr>
          <w:rFonts w:ascii="宋体" w:hAnsi="Calibri" w:eastAsia="宋体" w:cs="Times New Roman"/>
          <w:sz w:val="24"/>
        </w:rPr>
      </w:pPr>
      <w:r>
        <w:rPr>
          <w:rFonts w:hint="eastAsia" w:ascii="宋体" w:hAnsi="Calibri" w:eastAsia="宋体" w:cs="Times New Roman"/>
          <w:sz w:val="24"/>
        </w:rPr>
        <w:t xml:space="preserve">    1．研究开发经费和报酬总额为：人民币￥105000.00元（大写：</w:t>
      </w:r>
      <w:r>
        <w:rPr>
          <w:rFonts w:hint="eastAsia" w:ascii="宋体" w:hAnsi="Calibri" w:eastAsia="宋体" w:cs="Times New Roman"/>
          <w:b/>
          <w:bCs/>
          <w:sz w:val="24"/>
        </w:rPr>
        <w:t>人民币壹拾万零伍仟元整</w:t>
      </w:r>
      <w:r>
        <w:rPr>
          <w:rFonts w:hint="eastAsia" w:ascii="宋体" w:hAnsi="Calibri" w:eastAsia="宋体" w:cs="Times New Roman"/>
          <w:sz w:val="24"/>
        </w:rPr>
        <w:t>）。</w:t>
      </w:r>
      <w:r>
        <w:rPr>
          <w:rFonts w:hint="eastAsia" w:ascii="宋体" w:hAnsi="Calibri" w:eastAsia="宋体" w:cs="Times New Roman"/>
          <w:sz w:val="24"/>
        </w:rPr>
        <w:br w:type="textWrapping"/>
      </w:r>
      <w:r>
        <w:rPr>
          <w:rFonts w:hint="eastAsia" w:ascii="宋体" w:hAnsi="Calibri" w:eastAsia="宋体" w:cs="Times New Roman"/>
          <w:sz w:val="24"/>
        </w:rPr>
        <w:t>其中：</w:t>
      </w:r>
    </w:p>
    <w:p w14:paraId="040DC5DD">
      <w:pPr>
        <w:spacing w:line="360" w:lineRule="auto"/>
        <w:rPr>
          <w:rFonts w:hint="eastAsia" w:ascii="宋体" w:hAnsi="Calibri" w:eastAsia="宋体" w:cs="Times New Roman"/>
          <w:b/>
          <w:bCs/>
          <w:sz w:val="24"/>
          <w:highlight w:val="none"/>
        </w:rPr>
      </w:pPr>
      <w:r>
        <w:rPr>
          <w:rFonts w:ascii="宋体" w:hAnsi="Calibri" w:eastAsia="宋体" w:cs="Times New Roman"/>
          <w:sz w:val="24"/>
        </w:rPr>
        <w:tab/>
      </w:r>
      <w:r>
        <w:rPr>
          <w:rFonts w:hint="eastAsia" w:ascii="Calibri" w:hAnsi="Calibri" w:eastAsia="宋体" w:cs="Times New Roman"/>
          <w:b/>
          <w:bCs/>
          <w:sz w:val="24"/>
          <w:highlight w:val="none"/>
        </w:rPr>
        <w:t>可视化系统功能研发及优化费</w:t>
      </w:r>
      <w:r>
        <w:rPr>
          <w:rFonts w:hint="eastAsia" w:ascii="宋体" w:hAnsi="Calibri" w:eastAsia="宋体" w:cs="Times New Roman"/>
          <w:b/>
          <w:bCs/>
          <w:sz w:val="24"/>
          <w:highlight w:val="none"/>
        </w:rPr>
        <w:t>总计49000元，具体如下：</w:t>
      </w:r>
    </w:p>
    <w:p w14:paraId="5BB88B93">
      <w:pPr>
        <w:spacing w:line="360" w:lineRule="auto"/>
        <w:rPr>
          <w:rFonts w:ascii="宋体" w:hAnsi="Calibri" w:eastAsia="宋体" w:cs="Times New Roman"/>
          <w:sz w:val="24"/>
          <w:highlight w:val="none"/>
        </w:rPr>
      </w:pPr>
      <w:r>
        <w:rPr>
          <w:rFonts w:hint="eastAsia" w:ascii="宋体" w:hAnsi="Calibri" w:eastAsia="宋体" w:cs="Times New Roman"/>
          <w:sz w:val="24"/>
          <w:highlight w:val="none"/>
        </w:rPr>
        <w:t xml:space="preserve">   </w:t>
      </w:r>
      <w:bookmarkStart w:id="1" w:name="_Hlk216042551"/>
      <w:r>
        <w:rPr>
          <w:rFonts w:hint="eastAsia" w:ascii="宋体" w:hAnsi="Calibri" w:eastAsia="宋体" w:cs="Times New Roman"/>
          <w:sz w:val="24"/>
          <w:highlight w:val="none"/>
        </w:rPr>
        <w:t>（1）基于GIS应用构建地形状态颜色类别及实时数据自定义渲染、秒级更新；费用：</w:t>
      </w:r>
      <w:r>
        <w:rPr>
          <w:rFonts w:hint="eastAsia" w:ascii="宋体" w:hAnsi="Calibri" w:eastAsia="宋体" w:cs="Times New Roman"/>
          <w:b/>
          <w:bCs/>
          <w:sz w:val="24"/>
          <w:highlight w:val="none"/>
        </w:rPr>
        <w:t>￥4500.00。</w:t>
      </w:r>
      <w:r>
        <w:rPr>
          <w:rFonts w:hint="eastAsia" w:ascii="宋体" w:hAnsi="Calibri" w:eastAsia="宋体" w:cs="Times New Roman"/>
          <w:sz w:val="24"/>
          <w:highlight w:val="none"/>
        </w:rPr>
        <w:br w:type="textWrapping"/>
      </w:r>
      <w:bookmarkEnd w:id="1"/>
      <w:r>
        <w:rPr>
          <w:rFonts w:hint="eastAsia" w:ascii="宋体" w:hAnsi="Calibri" w:eastAsia="宋体" w:cs="Times New Roman"/>
          <w:sz w:val="24"/>
          <w:highlight w:val="none"/>
        </w:rPr>
        <w:t xml:space="preserve">   （2）系统信息展示栏设备核心指标模块搭建，实时动态更新与可视化呈现；费用：</w:t>
      </w:r>
      <w:r>
        <w:rPr>
          <w:rFonts w:hint="eastAsia" w:ascii="宋体" w:hAnsi="Calibri" w:eastAsia="宋体" w:cs="Times New Roman"/>
          <w:b/>
          <w:bCs/>
          <w:sz w:val="24"/>
          <w:highlight w:val="none"/>
        </w:rPr>
        <w:t>￥2500.00。</w:t>
      </w:r>
    </w:p>
    <w:p w14:paraId="61804D41">
      <w:pPr>
        <w:spacing w:line="360" w:lineRule="auto"/>
        <w:rPr>
          <w:rFonts w:ascii="宋体" w:hAnsi="Calibri" w:eastAsia="宋体" w:cs="Times New Roman"/>
          <w:sz w:val="24"/>
          <w:highlight w:val="none"/>
        </w:rPr>
      </w:pPr>
      <w:r>
        <w:rPr>
          <w:rFonts w:hint="eastAsia" w:ascii="宋体" w:hAnsi="Calibri" w:eastAsia="宋体" w:cs="Times New Roman"/>
          <w:sz w:val="24"/>
          <w:highlight w:val="none"/>
        </w:rPr>
        <w:t xml:space="preserve">   （3）日本全域可视化地图，地形精度下沉至县级行政单位，支持基于实时数据的全颜色自定义渲染；费用：</w:t>
      </w:r>
      <w:r>
        <w:rPr>
          <w:rFonts w:hint="eastAsia" w:ascii="宋体" w:hAnsi="Calibri" w:eastAsia="宋体" w:cs="Times New Roman"/>
          <w:b/>
          <w:bCs/>
          <w:sz w:val="24"/>
          <w:highlight w:val="none"/>
        </w:rPr>
        <w:t>￥4000.00。</w:t>
      </w:r>
    </w:p>
    <w:p w14:paraId="54FB7410">
      <w:pPr>
        <w:spacing w:line="360" w:lineRule="auto"/>
        <w:rPr>
          <w:rFonts w:ascii="宋体" w:hAnsi="Calibri" w:eastAsia="宋体" w:cs="Times New Roman"/>
          <w:sz w:val="24"/>
          <w:highlight w:val="none"/>
        </w:rPr>
      </w:pPr>
      <w:r>
        <w:rPr>
          <w:rFonts w:hint="eastAsia" w:ascii="宋体" w:hAnsi="Calibri" w:eastAsia="宋体" w:cs="Times New Roman"/>
          <w:sz w:val="24"/>
          <w:highlight w:val="none"/>
        </w:rPr>
        <w:t xml:space="preserve">   （4）美国地图完成 50 个州全域覆盖，精准添加各州州府及不少于 60 个关键城市信息，支持自定义城市标注数量、三级标度尺自适应展示，秒级同步；费用：</w:t>
      </w:r>
      <w:r>
        <w:rPr>
          <w:rFonts w:hint="eastAsia" w:ascii="宋体" w:hAnsi="Calibri" w:eastAsia="宋体" w:cs="Times New Roman"/>
          <w:b/>
          <w:bCs/>
          <w:sz w:val="24"/>
          <w:highlight w:val="none"/>
        </w:rPr>
        <w:t>￥4000.00。</w:t>
      </w:r>
    </w:p>
    <w:p w14:paraId="0D0415F3">
      <w:pPr>
        <w:spacing w:line="360" w:lineRule="auto"/>
        <w:rPr>
          <w:rFonts w:ascii="宋体" w:hAnsi="Calibri" w:eastAsia="宋体" w:cs="Times New Roman"/>
          <w:sz w:val="24"/>
          <w:highlight w:val="none"/>
        </w:rPr>
      </w:pPr>
      <w:r>
        <w:rPr>
          <w:rFonts w:hint="eastAsia" w:ascii="宋体" w:hAnsi="Calibri" w:eastAsia="宋体" w:cs="Times New Roman"/>
          <w:sz w:val="24"/>
          <w:highlight w:val="none"/>
        </w:rPr>
        <w:t xml:space="preserve">   （5）美国地图双击放大展示城市，支持不同标度尺展示国家、州、城市信息；响应≤800ms；费用：</w:t>
      </w:r>
      <w:r>
        <w:rPr>
          <w:rFonts w:hint="eastAsia" w:ascii="宋体" w:hAnsi="Calibri" w:eastAsia="宋体" w:cs="Times New Roman"/>
          <w:b/>
          <w:bCs/>
          <w:sz w:val="24"/>
          <w:highlight w:val="none"/>
        </w:rPr>
        <w:t>￥2000.00。</w:t>
      </w:r>
    </w:p>
    <w:p w14:paraId="7CF8433E">
      <w:pPr>
        <w:spacing w:line="360" w:lineRule="auto"/>
        <w:rPr>
          <w:rFonts w:ascii="宋体" w:hAnsi="Calibri" w:eastAsia="宋体" w:cs="Times New Roman"/>
          <w:sz w:val="24"/>
          <w:highlight w:val="none"/>
        </w:rPr>
      </w:pPr>
      <w:r>
        <w:rPr>
          <w:rFonts w:hint="eastAsia" w:ascii="宋体" w:hAnsi="Calibri" w:eastAsia="宋体" w:cs="Times New Roman"/>
          <w:sz w:val="24"/>
          <w:highlight w:val="none"/>
        </w:rPr>
        <w:t xml:space="preserve">   （6）全量地形区域、核心节点均支持状态实时动态更新，同步频率稳定在秒级。节点响应延迟≤500 毫秒，保障高负载场景下的稳定运行；费用：</w:t>
      </w:r>
      <w:r>
        <w:rPr>
          <w:rFonts w:hint="eastAsia" w:ascii="宋体" w:hAnsi="Calibri" w:eastAsia="宋体" w:cs="Times New Roman"/>
          <w:b/>
          <w:bCs/>
          <w:sz w:val="24"/>
          <w:highlight w:val="none"/>
        </w:rPr>
        <w:t>￥4500.00。</w:t>
      </w:r>
    </w:p>
    <w:p w14:paraId="4265A9CB">
      <w:pPr>
        <w:spacing w:line="360" w:lineRule="auto"/>
        <w:rPr>
          <w:rFonts w:ascii="宋体" w:hAnsi="Calibri" w:eastAsia="宋体" w:cs="Times New Roman"/>
          <w:sz w:val="24"/>
          <w:highlight w:val="none"/>
        </w:rPr>
      </w:pPr>
      <w:r>
        <w:rPr>
          <w:rFonts w:hint="eastAsia" w:ascii="宋体" w:hAnsi="Calibri" w:eastAsia="宋体" w:cs="Times New Roman"/>
          <w:sz w:val="24"/>
          <w:highlight w:val="none"/>
        </w:rPr>
        <w:t xml:space="preserve">   （7）优化攻击流向展示逻辑，实现流向线条粗细随数据传输速率智能自适应调节（支持 0-1000Mbps 速率对应的线条粗细动态调节，线宽范围 1-10px）；费用：</w:t>
      </w:r>
      <w:r>
        <w:rPr>
          <w:rFonts w:hint="eastAsia" w:ascii="宋体" w:hAnsi="Calibri" w:eastAsia="宋体" w:cs="Times New Roman"/>
          <w:b/>
          <w:bCs/>
          <w:sz w:val="24"/>
          <w:highlight w:val="none"/>
        </w:rPr>
        <w:t>￥2000.00。</w:t>
      </w:r>
    </w:p>
    <w:p w14:paraId="0061E876">
      <w:pPr>
        <w:spacing w:line="360" w:lineRule="auto"/>
        <w:rPr>
          <w:rFonts w:ascii="宋体" w:hAnsi="Calibri" w:eastAsia="宋体" w:cs="Times New Roman"/>
          <w:sz w:val="24"/>
          <w:highlight w:val="none"/>
        </w:rPr>
      </w:pPr>
      <w:r>
        <w:rPr>
          <w:rFonts w:hint="eastAsia" w:ascii="宋体" w:hAnsi="Calibri" w:eastAsia="宋体" w:cs="Times New Roman"/>
          <w:sz w:val="24"/>
          <w:highlight w:val="none"/>
        </w:rPr>
        <w:t xml:space="preserve">   （8）拓扑节点间连接关系支持颜色、透明度双维度自定义配置，节点配置：颜色支持 24 位真彩色，尺寸调节范围 5-50px（步长 1px），配置生效延迟≤300ms，适配不同场景下的可视化分析诉求；费用：</w:t>
      </w:r>
      <w:r>
        <w:rPr>
          <w:rFonts w:hint="eastAsia" w:ascii="宋体" w:hAnsi="Calibri" w:eastAsia="宋体" w:cs="Times New Roman"/>
          <w:b/>
          <w:bCs/>
          <w:sz w:val="24"/>
          <w:highlight w:val="none"/>
        </w:rPr>
        <w:t>￥2000.00。</w:t>
      </w:r>
    </w:p>
    <w:p w14:paraId="10EDFA47">
      <w:pPr>
        <w:spacing w:line="360" w:lineRule="auto"/>
        <w:rPr>
          <w:rFonts w:ascii="宋体" w:hAnsi="Calibri" w:eastAsia="宋体" w:cs="Times New Roman"/>
          <w:sz w:val="24"/>
          <w:highlight w:val="none"/>
        </w:rPr>
      </w:pPr>
      <w:r>
        <w:rPr>
          <w:rFonts w:hint="eastAsia" w:ascii="宋体" w:hAnsi="Calibri" w:eastAsia="宋体" w:cs="Times New Roman"/>
          <w:sz w:val="24"/>
          <w:highlight w:val="none"/>
        </w:rPr>
        <w:t xml:space="preserve">   （9）支持通过接口调用直接定位并放大至指定国家区域，定位准确率 100%，放大操作完成时间≤1 秒，接口调用成功率≥99.5%；费用：</w:t>
      </w:r>
      <w:r>
        <w:rPr>
          <w:rFonts w:hint="eastAsia" w:ascii="宋体" w:hAnsi="Calibri" w:eastAsia="宋体" w:cs="Times New Roman"/>
          <w:b/>
          <w:bCs/>
          <w:sz w:val="24"/>
          <w:highlight w:val="none"/>
        </w:rPr>
        <w:t>￥4500.00。</w:t>
      </w:r>
    </w:p>
    <w:p w14:paraId="49637E07">
      <w:pPr>
        <w:spacing w:line="360" w:lineRule="auto"/>
        <w:rPr>
          <w:rFonts w:ascii="宋体" w:hAnsi="Calibri" w:eastAsia="宋体" w:cs="Times New Roman"/>
          <w:sz w:val="24"/>
          <w:highlight w:val="none"/>
        </w:rPr>
      </w:pPr>
      <w:r>
        <w:rPr>
          <w:rFonts w:hint="eastAsia" w:ascii="宋体" w:hAnsi="Calibri" w:eastAsia="宋体" w:cs="Times New Roman"/>
          <w:sz w:val="24"/>
          <w:highlight w:val="none"/>
        </w:rPr>
        <w:t xml:space="preserve">   （10）提供实时数据表数据一键清除指令接口，及可视化展示界面初始状态一键恢复功能接口，支持外部服务器通过标准化协议远程触发执行；费用：</w:t>
      </w:r>
      <w:r>
        <w:rPr>
          <w:rFonts w:hint="eastAsia" w:ascii="宋体" w:hAnsi="Calibri" w:eastAsia="宋体" w:cs="Times New Roman"/>
          <w:b/>
          <w:bCs/>
          <w:sz w:val="24"/>
          <w:highlight w:val="none"/>
        </w:rPr>
        <w:t>￥4000.00。</w:t>
      </w:r>
    </w:p>
    <w:p w14:paraId="522BF189">
      <w:pPr>
        <w:spacing w:line="360" w:lineRule="auto"/>
        <w:rPr>
          <w:rFonts w:ascii="宋体" w:hAnsi="Calibri" w:eastAsia="宋体" w:cs="Times New Roman"/>
          <w:b/>
          <w:bCs/>
          <w:sz w:val="24"/>
          <w:highlight w:val="none"/>
        </w:rPr>
      </w:pPr>
      <w:r>
        <w:rPr>
          <w:rFonts w:hint="eastAsia" w:ascii="宋体" w:hAnsi="Calibri" w:eastAsia="宋体" w:cs="Times New Roman"/>
          <w:sz w:val="24"/>
          <w:highlight w:val="none"/>
        </w:rPr>
        <w:t xml:space="preserve">   （11）搭建主备协同机制，保障系统在极端场景下的业务连续性。系统可用性：全年服务可用率≥99.99%（允许年度故障停机时间≤52.56 分钟）；费用：</w:t>
      </w:r>
      <w:r>
        <w:rPr>
          <w:rFonts w:hint="eastAsia" w:ascii="宋体" w:hAnsi="Calibri" w:eastAsia="宋体" w:cs="Times New Roman"/>
          <w:b/>
          <w:bCs/>
          <w:sz w:val="24"/>
          <w:highlight w:val="none"/>
        </w:rPr>
        <w:t>￥4500.00。</w:t>
      </w:r>
    </w:p>
    <w:p w14:paraId="03AEFEA1">
      <w:pPr>
        <w:spacing w:line="360" w:lineRule="auto"/>
        <w:rPr>
          <w:rFonts w:ascii="宋体" w:hAnsi="Calibri" w:eastAsia="宋体" w:cs="Times New Roman"/>
          <w:sz w:val="24"/>
          <w:highlight w:val="none"/>
        </w:rPr>
      </w:pPr>
      <w:r>
        <w:rPr>
          <w:rFonts w:hint="eastAsia" w:ascii="宋体" w:hAnsi="Calibri" w:eastAsia="宋体" w:cs="Times New Roman"/>
          <w:sz w:val="24"/>
          <w:highlight w:val="none"/>
        </w:rPr>
        <w:t xml:space="preserve">   （12）优化数据存储与回溯架构，支持≥1 小时历史数据查询，数据完整性 100%，查询响应时间≤2 秒，便于历史事件追溯与问题排查；费用：</w:t>
      </w:r>
      <w:r>
        <w:rPr>
          <w:rFonts w:hint="eastAsia" w:ascii="宋体" w:hAnsi="Calibri" w:eastAsia="宋体" w:cs="Times New Roman"/>
          <w:b/>
          <w:bCs/>
          <w:sz w:val="24"/>
          <w:highlight w:val="none"/>
        </w:rPr>
        <w:t>￥6000.00。</w:t>
      </w:r>
    </w:p>
    <w:p w14:paraId="7CFDC570">
      <w:pPr>
        <w:spacing w:line="360" w:lineRule="auto"/>
        <w:rPr>
          <w:rFonts w:ascii="宋体" w:hAnsi="Calibri" w:eastAsia="宋体" w:cs="Times New Roman"/>
          <w:b/>
          <w:bCs/>
          <w:sz w:val="24"/>
          <w:highlight w:val="none"/>
        </w:rPr>
      </w:pPr>
      <w:r>
        <w:rPr>
          <w:rFonts w:hint="eastAsia" w:ascii="宋体" w:hAnsi="Calibri" w:eastAsia="宋体" w:cs="Times New Roman"/>
          <w:sz w:val="24"/>
          <w:highlight w:val="none"/>
        </w:rPr>
        <w:t xml:space="preserve">   （13）通过色彩对比度强化、层级视觉区分等方式，突出节点、地形、流向的状态差异性，提升视觉识别效率；对系统底层架构进行性能调优，进一步提升数据同步频率稳定性、节点并发承载能力及地形渲染效率。费用：</w:t>
      </w:r>
      <w:r>
        <w:rPr>
          <w:rFonts w:hint="eastAsia" w:ascii="宋体" w:hAnsi="Calibri" w:eastAsia="宋体" w:cs="Times New Roman"/>
          <w:b/>
          <w:bCs/>
          <w:sz w:val="24"/>
          <w:highlight w:val="none"/>
        </w:rPr>
        <w:t>￥4500.00。</w:t>
      </w:r>
    </w:p>
    <w:p w14:paraId="2048C1B7">
      <w:pPr>
        <w:spacing w:line="360" w:lineRule="auto"/>
        <w:rPr>
          <w:rFonts w:hint="eastAsia" w:ascii="宋体" w:hAnsi="Calibri" w:eastAsia="宋体" w:cs="Times New Roman"/>
          <w:b/>
          <w:bCs/>
          <w:sz w:val="24"/>
          <w:highlight w:val="none"/>
        </w:rPr>
      </w:pPr>
      <w:r>
        <w:rPr>
          <w:rFonts w:ascii="宋体" w:hAnsi="Calibri" w:eastAsia="宋体" w:cs="Times New Roman"/>
          <w:sz w:val="24"/>
          <w:highlight w:val="none"/>
        </w:rPr>
        <w:tab/>
      </w:r>
      <w:r>
        <w:rPr>
          <w:rFonts w:hint="eastAsia" w:ascii="宋体" w:hAnsi="Calibri" w:eastAsia="宋体" w:cs="Times New Roman"/>
          <w:b/>
          <w:bCs/>
          <w:sz w:val="24"/>
          <w:highlight w:val="none"/>
        </w:rPr>
        <w:t>设备采购费总计56000元，具体如下：</w:t>
      </w:r>
    </w:p>
    <w:p w14:paraId="151FA851">
      <w:pPr>
        <w:spacing w:line="360" w:lineRule="auto"/>
        <w:ind w:firstLine="420"/>
        <w:rPr>
          <w:rFonts w:ascii="宋体" w:hAnsi="Calibri" w:eastAsia="宋体" w:cs="Times New Roman"/>
          <w:sz w:val="24"/>
          <w:highlight w:val="none"/>
        </w:rPr>
      </w:pPr>
      <w:r>
        <w:rPr>
          <w:rFonts w:hint="eastAsia" w:ascii="宋体" w:hAnsi="Calibri" w:eastAsia="宋体" w:cs="Times New Roman"/>
          <w:sz w:val="24"/>
          <w:highlight w:val="none"/>
        </w:rPr>
        <w:t>（1）</w:t>
      </w:r>
      <w:r>
        <w:rPr>
          <w:rFonts w:hint="eastAsia" w:ascii="宋体" w:hAnsi="宋体" w:eastAsia="宋体" w:cs="Times New Roman"/>
          <w:sz w:val="24"/>
          <w:szCs w:val="24"/>
          <w:highlight w:val="none"/>
        </w:rPr>
        <w:t>采购安全防护监测系统可视化展示一体机设备</w:t>
      </w:r>
      <w:r>
        <w:rPr>
          <w:rFonts w:hint="eastAsia" w:ascii="宋体" w:hAnsi="Calibri" w:eastAsia="宋体" w:cs="Times New Roman"/>
          <w:sz w:val="24"/>
          <w:highlight w:val="none"/>
        </w:rPr>
        <w:t>2套</w:t>
      </w:r>
      <w:r>
        <w:rPr>
          <w:rFonts w:hint="eastAsia" w:ascii="宋体" w:hAnsi="宋体" w:eastAsia="宋体" w:cs="Times New Roman"/>
          <w:sz w:val="24"/>
          <w:szCs w:val="24"/>
          <w:highlight w:val="none"/>
        </w:rPr>
        <w:t>，集成前端展示功能，支持与本合同第1条约定的全部可视化功能模块无缝集成与协同工作，实现一体化呈现与操控</w:t>
      </w:r>
      <w:r>
        <w:rPr>
          <w:rFonts w:hint="eastAsia" w:ascii="宋体" w:hAnsi="Calibri" w:eastAsia="宋体" w:cs="Times New Roman"/>
          <w:sz w:val="24"/>
          <w:highlight w:val="none"/>
        </w:rPr>
        <w:t>。对应设备名称、型号详见下表1。</w:t>
      </w:r>
    </w:p>
    <w:p w14:paraId="1F1C7C56">
      <w:pPr>
        <w:spacing w:line="360" w:lineRule="auto"/>
        <w:jc w:val="center"/>
        <w:rPr>
          <w:rFonts w:hint="eastAsia" w:ascii="宋体" w:hAnsi="Calibri" w:eastAsia="宋体" w:cs="Times New Roman"/>
          <w:sz w:val="24"/>
          <w:highlight w:val="none"/>
        </w:rPr>
      </w:pPr>
      <w:r>
        <w:rPr>
          <w:rFonts w:hint="eastAsia" w:ascii="宋体" w:hAnsi="Calibri" w:eastAsia="宋体" w:cs="Times New Roman"/>
          <w:sz w:val="24"/>
          <w:highlight w:val="none"/>
        </w:rPr>
        <w:t>表1设备采购明细</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977"/>
        <w:gridCol w:w="1418"/>
        <w:gridCol w:w="850"/>
        <w:gridCol w:w="1355"/>
      </w:tblGrid>
      <w:tr w14:paraId="31404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3A5E1B05">
            <w:pPr>
              <w:spacing w:line="360" w:lineRule="auto"/>
              <w:jc w:val="center"/>
              <w:rPr>
                <w:rFonts w:hint="eastAsia" w:ascii="宋体" w:hAnsi="Calibri" w:eastAsia="宋体" w:cs="Times New Roman"/>
                <w:b/>
                <w:bCs/>
                <w:sz w:val="24"/>
                <w:highlight w:val="none"/>
              </w:rPr>
            </w:pPr>
            <w:r>
              <w:rPr>
                <w:rFonts w:hint="eastAsia" w:ascii="宋体" w:hAnsi="Calibri" w:eastAsia="宋体" w:cs="Times New Roman"/>
                <w:b/>
                <w:bCs/>
                <w:sz w:val="24"/>
                <w:highlight w:val="none"/>
              </w:rPr>
              <w:t>设备名称</w:t>
            </w:r>
          </w:p>
        </w:tc>
        <w:tc>
          <w:tcPr>
            <w:tcW w:w="2977" w:type="dxa"/>
            <w:vAlign w:val="center"/>
          </w:tcPr>
          <w:p w14:paraId="473F6489">
            <w:pPr>
              <w:spacing w:line="360" w:lineRule="auto"/>
              <w:jc w:val="center"/>
              <w:rPr>
                <w:rFonts w:hint="eastAsia" w:ascii="宋体" w:hAnsi="Calibri" w:eastAsia="宋体" w:cs="Times New Roman"/>
                <w:b/>
                <w:bCs/>
                <w:sz w:val="24"/>
                <w:highlight w:val="none"/>
              </w:rPr>
            </w:pPr>
            <w:r>
              <w:rPr>
                <w:rFonts w:hint="eastAsia" w:ascii="宋体" w:hAnsi="Calibri" w:eastAsia="宋体" w:cs="Times New Roman"/>
                <w:b/>
                <w:bCs/>
                <w:sz w:val="24"/>
                <w:highlight w:val="none"/>
              </w:rPr>
              <w:t>规格型号</w:t>
            </w:r>
          </w:p>
        </w:tc>
        <w:tc>
          <w:tcPr>
            <w:tcW w:w="1418" w:type="dxa"/>
            <w:vAlign w:val="center"/>
          </w:tcPr>
          <w:p w14:paraId="6600ADD0">
            <w:pPr>
              <w:spacing w:line="360" w:lineRule="auto"/>
              <w:jc w:val="center"/>
              <w:rPr>
                <w:rFonts w:hint="eastAsia" w:ascii="宋体" w:hAnsi="Calibri" w:eastAsia="宋体" w:cs="Times New Roman"/>
                <w:b/>
                <w:bCs/>
                <w:sz w:val="24"/>
                <w:highlight w:val="none"/>
              </w:rPr>
            </w:pPr>
            <w:r>
              <w:rPr>
                <w:rFonts w:hint="eastAsia" w:ascii="宋体" w:hAnsi="Calibri" w:eastAsia="宋体" w:cs="Times New Roman"/>
                <w:b/>
                <w:bCs/>
                <w:sz w:val="24"/>
                <w:highlight w:val="none"/>
              </w:rPr>
              <w:t>单价</w:t>
            </w:r>
          </w:p>
        </w:tc>
        <w:tc>
          <w:tcPr>
            <w:tcW w:w="850" w:type="dxa"/>
            <w:vAlign w:val="center"/>
          </w:tcPr>
          <w:p w14:paraId="431900CB">
            <w:pPr>
              <w:spacing w:line="360" w:lineRule="auto"/>
              <w:jc w:val="center"/>
              <w:rPr>
                <w:rFonts w:hint="eastAsia" w:ascii="宋体" w:hAnsi="Calibri" w:eastAsia="宋体" w:cs="Times New Roman"/>
                <w:b/>
                <w:bCs/>
                <w:sz w:val="24"/>
                <w:highlight w:val="none"/>
              </w:rPr>
            </w:pPr>
            <w:r>
              <w:rPr>
                <w:rFonts w:hint="eastAsia" w:ascii="宋体" w:hAnsi="Calibri" w:eastAsia="宋体" w:cs="Times New Roman"/>
                <w:b/>
                <w:bCs/>
                <w:sz w:val="24"/>
                <w:highlight w:val="none"/>
              </w:rPr>
              <w:t>数量</w:t>
            </w:r>
          </w:p>
        </w:tc>
        <w:tc>
          <w:tcPr>
            <w:tcW w:w="1355" w:type="dxa"/>
            <w:vAlign w:val="center"/>
          </w:tcPr>
          <w:p w14:paraId="6BD0C1B9">
            <w:pPr>
              <w:spacing w:line="360" w:lineRule="auto"/>
              <w:jc w:val="center"/>
              <w:rPr>
                <w:rFonts w:hint="eastAsia" w:ascii="宋体" w:hAnsi="Calibri" w:eastAsia="宋体" w:cs="Times New Roman"/>
                <w:b/>
                <w:bCs/>
                <w:sz w:val="24"/>
                <w:highlight w:val="none"/>
              </w:rPr>
            </w:pPr>
            <w:r>
              <w:rPr>
                <w:rFonts w:hint="eastAsia" w:ascii="宋体" w:hAnsi="Calibri" w:eastAsia="宋体" w:cs="Times New Roman"/>
                <w:b/>
                <w:bCs/>
                <w:sz w:val="24"/>
                <w:highlight w:val="none"/>
              </w:rPr>
              <w:t>总额</w:t>
            </w:r>
          </w:p>
        </w:tc>
      </w:tr>
      <w:tr w14:paraId="106B9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138B03D5">
            <w:pPr>
              <w:jc w:val="center"/>
              <w:rPr>
                <w:rFonts w:hint="eastAsia" w:ascii="宋体" w:hAnsi="Calibri" w:eastAsia="宋体" w:cs="Times New Roman"/>
                <w:szCs w:val="21"/>
                <w:highlight w:val="none"/>
              </w:rPr>
            </w:pPr>
            <w:r>
              <w:rPr>
                <w:rFonts w:hint="eastAsia" w:ascii="宋体" w:hAnsi="Calibri" w:eastAsia="宋体" w:cs="Times New Roman"/>
                <w:szCs w:val="21"/>
                <w:highlight w:val="none"/>
              </w:rPr>
              <w:t>HUAWEI IdeaHub Board2Base</w:t>
            </w:r>
          </w:p>
        </w:tc>
        <w:tc>
          <w:tcPr>
            <w:tcW w:w="2977" w:type="dxa"/>
            <w:vAlign w:val="center"/>
          </w:tcPr>
          <w:p w14:paraId="571EAF56">
            <w:pPr>
              <w:rPr>
                <w:rFonts w:hint="eastAsia" w:ascii="宋体" w:hAnsi="Calibri" w:eastAsia="宋体" w:cs="Times New Roman"/>
                <w:szCs w:val="21"/>
                <w:highlight w:val="none"/>
              </w:rPr>
            </w:pPr>
            <w:r>
              <w:rPr>
                <w:rFonts w:hint="eastAsia" w:ascii="宋体" w:hAnsi="Calibri" w:eastAsia="宋体" w:cs="Times New Roman"/>
                <w:szCs w:val="21"/>
                <w:highlight w:val="none"/>
              </w:rPr>
              <w:t>型号IHB2-86SM；核心配置：内置存储32GB，运行内存4GB，操作系统支持Android 9.0与Windows 10；配有高性能OPS模块（Intel Core i7-11700B处理器、16GB内存、512GB固态硬盘）；网络：内置千兆网卡，支持双频Wi-Fi（2.4GHz &amp; 5GHz）；音频：内置全频喇叭2与高频喇叭2；视频接口：HDMI输入2（4K@60fps）、HDMI输出1（4K@60fps）、OPS输入*1（4K@60fps）；其他接口：USB Type-A*3、Type-B*1、Type-C*1、3.5mm音频输入/输出1、COM口1；设备带复位按钮与电源输入接口。</w:t>
            </w:r>
          </w:p>
        </w:tc>
        <w:tc>
          <w:tcPr>
            <w:tcW w:w="1418" w:type="dxa"/>
            <w:vAlign w:val="center"/>
          </w:tcPr>
          <w:p w14:paraId="4F394F7B">
            <w:pPr>
              <w:jc w:val="center"/>
              <w:rPr>
                <w:rFonts w:hint="eastAsia" w:ascii="宋体" w:hAnsi="Calibri" w:eastAsia="宋体" w:cs="Times New Roman"/>
                <w:szCs w:val="21"/>
                <w:highlight w:val="none"/>
              </w:rPr>
            </w:pPr>
            <w:r>
              <w:rPr>
                <w:rFonts w:hint="eastAsia" w:ascii="宋体" w:hAnsi="Calibri" w:eastAsia="宋体" w:cs="Times New Roman"/>
                <w:szCs w:val="21"/>
                <w:highlight w:val="none"/>
              </w:rPr>
              <w:t>￥28000.00</w:t>
            </w:r>
          </w:p>
        </w:tc>
        <w:tc>
          <w:tcPr>
            <w:tcW w:w="850" w:type="dxa"/>
            <w:vAlign w:val="center"/>
          </w:tcPr>
          <w:p w14:paraId="64AB0855">
            <w:pPr>
              <w:jc w:val="center"/>
              <w:rPr>
                <w:rFonts w:hint="eastAsia" w:ascii="宋体" w:hAnsi="Calibri" w:eastAsia="宋体" w:cs="Times New Roman"/>
                <w:szCs w:val="21"/>
                <w:highlight w:val="none"/>
              </w:rPr>
            </w:pPr>
            <w:r>
              <w:rPr>
                <w:rFonts w:hint="eastAsia" w:ascii="宋体" w:hAnsi="Calibri" w:eastAsia="宋体" w:cs="Times New Roman"/>
                <w:szCs w:val="21"/>
                <w:highlight w:val="none"/>
              </w:rPr>
              <w:t>2</w:t>
            </w:r>
          </w:p>
        </w:tc>
        <w:tc>
          <w:tcPr>
            <w:tcW w:w="1355" w:type="dxa"/>
            <w:vAlign w:val="center"/>
          </w:tcPr>
          <w:p w14:paraId="490D0887">
            <w:pPr>
              <w:jc w:val="center"/>
              <w:rPr>
                <w:rFonts w:hint="eastAsia" w:ascii="宋体" w:hAnsi="Calibri" w:eastAsia="宋体" w:cs="Times New Roman"/>
                <w:szCs w:val="21"/>
                <w:highlight w:val="none"/>
              </w:rPr>
            </w:pPr>
            <w:r>
              <w:rPr>
                <w:rFonts w:hint="eastAsia" w:ascii="宋体" w:hAnsi="Calibri" w:eastAsia="宋体" w:cs="Times New Roman"/>
                <w:szCs w:val="21"/>
                <w:highlight w:val="none"/>
              </w:rPr>
              <w:t>￥56000.00</w:t>
            </w:r>
          </w:p>
        </w:tc>
      </w:tr>
    </w:tbl>
    <w:p w14:paraId="3D01F98B">
      <w:pPr>
        <w:spacing w:line="360" w:lineRule="auto"/>
        <w:rPr>
          <w:rFonts w:hint="eastAsia" w:ascii="宋体" w:hAnsi="Calibri" w:eastAsia="宋体" w:cs="Times New Roman"/>
          <w:sz w:val="24"/>
          <w:highlight w:val="none"/>
        </w:rPr>
      </w:pPr>
    </w:p>
    <w:p w14:paraId="1E2CFF5C">
      <w:pPr>
        <w:spacing w:line="360" w:lineRule="auto"/>
        <w:ind w:firstLine="480"/>
        <w:rPr>
          <w:rFonts w:ascii="宋体" w:hAnsi="Calibri" w:eastAsia="宋体" w:cs="Times New Roman"/>
          <w:sz w:val="24"/>
          <w:highlight w:val="none"/>
        </w:rPr>
      </w:pPr>
      <w:r>
        <w:rPr>
          <w:rFonts w:hint="eastAsia" w:ascii="宋体" w:hAnsi="Calibri" w:eastAsia="宋体" w:cs="Times New Roman"/>
          <w:sz w:val="24"/>
          <w:highlight w:val="none"/>
        </w:rPr>
        <w:t>2．研究开发经费由甲方 分期 支付乙方。具体支付方式和时间如下：</w:t>
      </w:r>
    </w:p>
    <w:p w14:paraId="0CFE6A08">
      <w:pPr>
        <w:spacing w:line="360" w:lineRule="auto"/>
        <w:rPr>
          <w:rFonts w:ascii="宋体" w:hAnsi="Calibri" w:eastAsia="宋体" w:cs="Times New Roman"/>
          <w:sz w:val="24"/>
          <w:highlight w:val="none"/>
          <w:u w:val="single"/>
        </w:rPr>
      </w:pPr>
      <w:r>
        <w:rPr>
          <w:rFonts w:hint="eastAsia" w:ascii="宋体" w:hAnsi="Calibri" w:eastAsia="宋体" w:cs="Times New Roman"/>
          <w:sz w:val="24"/>
          <w:highlight w:val="none"/>
        </w:rPr>
        <w:t xml:space="preserve">   （1）合同签订后10个工作日内，甲方向乙方支付项目总费用的50%作为预付款，即人民币￥52500元（大写：人民币伍万贰仟伍佰元整）。</w:t>
      </w:r>
    </w:p>
    <w:p w14:paraId="771A68C8">
      <w:pPr>
        <w:spacing w:line="360" w:lineRule="auto"/>
        <w:rPr>
          <w:rFonts w:ascii="宋体" w:hAnsi="Calibri" w:eastAsia="宋体" w:cs="Times New Roman"/>
          <w:sz w:val="24"/>
          <w:highlight w:val="none"/>
          <w:u w:val="single"/>
        </w:rPr>
      </w:pPr>
      <w:r>
        <w:rPr>
          <w:rFonts w:hint="eastAsia" w:ascii="宋体" w:hAnsi="Calibri" w:eastAsia="宋体" w:cs="Times New Roman"/>
          <w:sz w:val="24"/>
          <w:highlight w:val="none"/>
        </w:rPr>
        <w:t xml:space="preserve">   （2）项目初步验收合格后10个工作日内，甲方向乙方支付项目总费用的35%，即人民币￥36750元（大写：人民币叁万陆仟柒佰伍拾元整）。</w:t>
      </w:r>
    </w:p>
    <w:p w14:paraId="468F30BE">
      <w:pPr>
        <w:spacing w:line="360" w:lineRule="auto"/>
        <w:rPr>
          <w:rFonts w:ascii="宋体" w:hAnsi="Calibri" w:eastAsia="宋体" w:cs="Times New Roman"/>
          <w:sz w:val="24"/>
          <w:highlight w:val="none"/>
          <w:u w:val="single"/>
        </w:rPr>
      </w:pPr>
      <w:r>
        <w:rPr>
          <w:rFonts w:hint="eastAsia" w:ascii="宋体" w:hAnsi="Calibri" w:eastAsia="宋体" w:cs="Times New Roman"/>
          <w:sz w:val="24"/>
          <w:highlight w:val="none"/>
        </w:rPr>
        <w:t xml:space="preserve">   （3）项目平稳运行后10个工作日内，甲方向乙方支付项目总费用的15%，即人民币￥15750元（大写：人民币壹万伍仟柒佰伍拾元整）。</w:t>
      </w:r>
    </w:p>
    <w:p w14:paraId="7E4DD657">
      <w:pPr>
        <w:spacing w:line="360" w:lineRule="auto"/>
        <w:rPr>
          <w:rFonts w:ascii="宋体" w:hAnsi="Calibri" w:eastAsia="宋体" w:cs="Times New Roman"/>
          <w:sz w:val="24"/>
          <w:highlight w:val="none"/>
        </w:rPr>
      </w:pPr>
    </w:p>
    <w:p w14:paraId="1D26411E">
      <w:pPr>
        <w:spacing w:line="360" w:lineRule="auto"/>
        <w:rPr>
          <w:rFonts w:ascii="宋体" w:hAnsi="Calibri" w:eastAsia="宋体" w:cs="Times New Roman"/>
          <w:sz w:val="24"/>
        </w:rPr>
      </w:pPr>
      <w:r>
        <w:rPr>
          <w:rFonts w:hint="eastAsia" w:ascii="宋体" w:hAnsi="Calibri" w:eastAsia="宋体" w:cs="Times New Roman"/>
          <w:sz w:val="24"/>
        </w:rPr>
        <w:t xml:space="preserve">    乙方开户银行名称、地址和帐号为：</w:t>
      </w:r>
    </w:p>
    <w:p w14:paraId="213EDFD9">
      <w:pPr>
        <w:spacing w:line="360" w:lineRule="auto"/>
        <w:rPr>
          <w:rFonts w:ascii="宋体" w:hAnsi="Calibri" w:eastAsia="宋体" w:cs="Times New Roman"/>
          <w:sz w:val="24"/>
          <w:u w:val="single"/>
        </w:rPr>
      </w:pPr>
      <w:r>
        <w:rPr>
          <w:rFonts w:hint="eastAsia" w:ascii="宋体" w:hAnsi="Calibri" w:eastAsia="宋体" w:cs="Times New Roman"/>
          <w:sz w:val="24"/>
        </w:rPr>
        <w:t xml:space="preserve">    开户银行：</w:t>
      </w:r>
      <w:r>
        <w:rPr>
          <w:rFonts w:hint="eastAsia" w:ascii="宋体" w:hAnsi="Calibri" w:eastAsia="宋体" w:cs="Times New Roman"/>
          <w:sz w:val="24"/>
          <w:u w:val="single"/>
        </w:rPr>
        <w:t>中国工商银行宣城宣州支行营业部</w:t>
      </w:r>
    </w:p>
    <w:p w14:paraId="16E476BA">
      <w:pPr>
        <w:spacing w:line="360" w:lineRule="auto"/>
        <w:ind w:firstLine="480"/>
        <w:rPr>
          <w:rFonts w:ascii="宋体" w:hAnsi="Calibri" w:eastAsia="宋体" w:cs="Times New Roman"/>
          <w:sz w:val="24"/>
          <w:u w:val="single"/>
        </w:rPr>
      </w:pPr>
      <w:r>
        <w:rPr>
          <w:rFonts w:hint="eastAsia" w:ascii="宋体" w:hAnsi="Calibri" w:eastAsia="宋体" w:cs="Times New Roman"/>
          <w:sz w:val="24"/>
        </w:rPr>
        <w:t>地址：</w:t>
      </w:r>
      <w:r>
        <w:rPr>
          <w:rFonts w:hint="eastAsia" w:ascii="宋体" w:hAnsi="Calibri" w:eastAsia="宋体" w:cs="Times New Roman"/>
          <w:sz w:val="24"/>
          <w:u w:val="single"/>
        </w:rPr>
        <w:t>安徽省宣城市宣州区佟公路191号</w:t>
      </w:r>
    </w:p>
    <w:p w14:paraId="55AB825A">
      <w:pPr>
        <w:spacing w:line="360" w:lineRule="auto"/>
        <w:ind w:firstLine="480" w:firstLineChars="200"/>
        <w:rPr>
          <w:rFonts w:ascii="宋体" w:hAnsi="Calibri" w:eastAsia="宋体" w:cs="Times New Roman"/>
          <w:sz w:val="24"/>
          <w:u w:val="single"/>
        </w:rPr>
      </w:pPr>
      <w:r>
        <w:rPr>
          <w:rFonts w:hint="eastAsia" w:ascii="宋体" w:hAnsi="Calibri" w:eastAsia="宋体" w:cs="Times New Roman"/>
          <w:sz w:val="24"/>
        </w:rPr>
        <w:t>帐号：</w:t>
      </w:r>
      <w:r>
        <w:rPr>
          <w:rFonts w:hint="eastAsia" w:ascii="宋体" w:hAnsi="Calibri" w:eastAsia="宋体" w:cs="Times New Roman"/>
          <w:sz w:val="24"/>
          <w:u w:val="single"/>
        </w:rPr>
        <w:t>1317086719200022071</w:t>
      </w:r>
    </w:p>
    <w:p w14:paraId="2FB4AD29">
      <w:pPr>
        <w:spacing w:line="360" w:lineRule="auto"/>
        <w:ind w:firstLine="570"/>
        <w:rPr>
          <w:rFonts w:ascii="宋体" w:hAnsi="Calibri" w:eastAsia="宋体" w:cs="Times New Roman"/>
          <w:sz w:val="24"/>
          <w:u w:val="single"/>
        </w:rPr>
      </w:pPr>
    </w:p>
    <w:p w14:paraId="29982FAD">
      <w:pPr>
        <w:spacing w:line="360" w:lineRule="auto"/>
        <w:rPr>
          <w:rFonts w:ascii="宋体" w:hAnsi="Calibri" w:eastAsia="宋体" w:cs="Times New Roman"/>
          <w:sz w:val="24"/>
        </w:rPr>
      </w:pPr>
      <w:r>
        <w:rPr>
          <w:rFonts w:hint="eastAsia" w:ascii="宋体" w:hAnsi="Calibri" w:eastAsia="宋体" w:cs="Times New Roman"/>
          <w:sz w:val="24"/>
        </w:rPr>
        <w:t xml:space="preserve">    3．双方确定，甲方以实施研究开发成果所产生的利益提成支付乙方的研究开发经费和报酬的，乙方有权在甲方同意下以</w:t>
      </w:r>
      <w:r>
        <w:rPr>
          <w:rFonts w:ascii="宋体" w:hAnsi="Calibri" w:eastAsia="宋体" w:cs="Times New Roman"/>
          <w:sz w:val="24"/>
        </w:rPr>
        <w:t>专项检查</w:t>
      </w:r>
      <w:r>
        <w:rPr>
          <w:rFonts w:hint="eastAsia" w:ascii="宋体" w:hAnsi="Calibri" w:eastAsia="宋体" w:cs="Times New Roman"/>
          <w:sz w:val="24"/>
        </w:rPr>
        <w:t>的方式查阅甲方有关的会计帐目。</w:t>
      </w:r>
    </w:p>
    <w:p w14:paraId="4E69C3BB">
      <w:pPr>
        <w:spacing w:line="360" w:lineRule="auto"/>
        <w:rPr>
          <w:rFonts w:ascii="宋体" w:hAnsi="Calibri" w:eastAsia="宋体" w:cs="Times New Roman"/>
          <w:sz w:val="24"/>
        </w:rPr>
      </w:pPr>
    </w:p>
    <w:p w14:paraId="30603619">
      <w:pPr>
        <w:spacing w:line="360" w:lineRule="auto"/>
        <w:rPr>
          <w:rFonts w:ascii="宋体" w:hAnsi="Calibri" w:eastAsia="宋体" w:cs="Times New Roman"/>
          <w:sz w:val="24"/>
        </w:rPr>
      </w:pPr>
      <w:r>
        <w:rPr>
          <w:rFonts w:hint="eastAsia" w:ascii="宋体" w:hAnsi="Calibri" w:eastAsia="宋体" w:cs="Times New Roman"/>
          <w:sz w:val="24"/>
        </w:rPr>
        <w:t xml:space="preserve">   </w:t>
      </w:r>
      <w:r>
        <w:rPr>
          <w:rFonts w:hint="eastAsia" w:ascii="宋体" w:hAnsi="Calibri" w:eastAsia="宋体" w:cs="Times New Roman"/>
          <w:b/>
          <w:sz w:val="24"/>
        </w:rPr>
        <w:t xml:space="preserve"> 第六条 </w:t>
      </w:r>
      <w:r>
        <w:rPr>
          <w:rFonts w:hint="eastAsia" w:ascii="宋体" w:hAnsi="Calibri" w:eastAsia="宋体" w:cs="Times New Roman"/>
          <w:sz w:val="24"/>
        </w:rPr>
        <w:t xml:space="preserve"> 本合同的研究开发经费由乙方以专款专用、独立核算的方式使用。甲方有权在乙方同意下以</w:t>
      </w:r>
      <w:r>
        <w:rPr>
          <w:rFonts w:ascii="宋体" w:hAnsi="Calibri" w:eastAsia="宋体" w:cs="Times New Roman"/>
          <w:sz w:val="24"/>
        </w:rPr>
        <w:t>专项检查</w:t>
      </w:r>
      <w:r>
        <w:rPr>
          <w:rFonts w:hint="eastAsia" w:ascii="宋体" w:hAnsi="Calibri" w:eastAsia="宋体" w:cs="Times New Roman"/>
          <w:sz w:val="24"/>
        </w:rPr>
        <w:t>的方式检查乙方进行研究开发工作和使用研究开发经费的情况，但不得妨碍乙方的正常工作。</w:t>
      </w:r>
    </w:p>
    <w:p w14:paraId="760830A0">
      <w:pPr>
        <w:spacing w:line="360" w:lineRule="auto"/>
        <w:rPr>
          <w:rFonts w:ascii="宋体" w:hAnsi="Calibri" w:eastAsia="宋体" w:cs="Times New Roman"/>
          <w:sz w:val="24"/>
        </w:rPr>
      </w:pPr>
    </w:p>
    <w:p w14:paraId="79CD2980">
      <w:pPr>
        <w:spacing w:line="360" w:lineRule="auto"/>
        <w:ind w:firstLine="480"/>
        <w:rPr>
          <w:rFonts w:ascii="宋体" w:hAnsi="Calibri" w:eastAsia="宋体" w:cs="Times New Roman"/>
          <w:sz w:val="24"/>
        </w:rPr>
      </w:pPr>
      <w:r>
        <w:rPr>
          <w:rFonts w:hint="eastAsia" w:ascii="宋体" w:hAnsi="Calibri" w:eastAsia="宋体" w:cs="Times New Roman"/>
          <w:b/>
          <w:sz w:val="24"/>
        </w:rPr>
        <w:t>第七条</w:t>
      </w:r>
      <w:r>
        <w:rPr>
          <w:rFonts w:hint="eastAsia" w:ascii="宋体" w:hAnsi="Calibri" w:eastAsia="宋体" w:cs="Times New Roman"/>
          <w:sz w:val="24"/>
        </w:rPr>
        <w:t xml:space="preserve">  本合同的变更必须由双方协商一致，并以书面形式确定。但有下列情形之一的，一方可以向另一方提出变更合同权利与义务的请求， 另一方应当在5个工作日内予以答复；逾期未予答复的，视为同意。</w:t>
      </w:r>
    </w:p>
    <w:p w14:paraId="6E68424D">
      <w:pPr>
        <w:spacing w:line="360" w:lineRule="auto"/>
        <w:rPr>
          <w:rFonts w:ascii="宋体" w:hAnsi="Calibri" w:eastAsia="宋体" w:cs="Times New Roman"/>
          <w:sz w:val="24"/>
        </w:rPr>
      </w:pPr>
      <w:r>
        <w:rPr>
          <w:rFonts w:hint="eastAsia" w:ascii="宋体" w:hAnsi="Calibri" w:eastAsia="宋体" w:cs="Times New Roman"/>
          <w:sz w:val="24"/>
        </w:rPr>
        <w:t xml:space="preserve">    1．因自然灾害、战争、疫情等不可抗力，或国家法律法规、行业政策重大调整，导致合同部分或全部无法履行；</w:t>
      </w:r>
    </w:p>
    <w:p w14:paraId="7EDB9AFC">
      <w:pPr>
        <w:spacing w:line="360" w:lineRule="auto"/>
        <w:rPr>
          <w:rFonts w:ascii="宋体" w:hAnsi="Calibri" w:eastAsia="宋体" w:cs="Times New Roman"/>
          <w:sz w:val="24"/>
        </w:rPr>
      </w:pPr>
      <w:r>
        <w:rPr>
          <w:rFonts w:hint="eastAsia" w:ascii="宋体" w:hAnsi="Calibri" w:eastAsia="宋体" w:cs="Times New Roman"/>
          <w:sz w:val="24"/>
        </w:rPr>
        <w:t xml:space="preserve">    2．在研发过程中发现技术方案存在重大缺陷或不可实现性，需调整技术路线或交付标准；</w:t>
      </w:r>
    </w:p>
    <w:p w14:paraId="49D5AB2F">
      <w:pPr>
        <w:spacing w:line="360" w:lineRule="auto"/>
        <w:rPr>
          <w:rFonts w:ascii="宋体" w:hAnsi="Calibri" w:eastAsia="宋体" w:cs="Times New Roman"/>
          <w:sz w:val="24"/>
        </w:rPr>
      </w:pPr>
      <w:r>
        <w:rPr>
          <w:rFonts w:hint="eastAsia" w:ascii="宋体" w:hAnsi="Calibri" w:eastAsia="宋体" w:cs="Times New Roman"/>
          <w:sz w:val="24"/>
        </w:rPr>
        <w:t xml:space="preserve">    3．因甲方向调整，原定研发成果不满足预期价值，需变更交付内容或终止项目。</w:t>
      </w:r>
    </w:p>
    <w:p w14:paraId="25150ACF">
      <w:pPr>
        <w:spacing w:line="360" w:lineRule="auto"/>
        <w:rPr>
          <w:rFonts w:ascii="宋体" w:hAnsi="Calibri" w:eastAsia="宋体" w:cs="Times New Roman"/>
          <w:sz w:val="24"/>
        </w:rPr>
      </w:pPr>
    </w:p>
    <w:p w14:paraId="161C6F8B">
      <w:pPr>
        <w:spacing w:line="360" w:lineRule="auto"/>
        <w:rPr>
          <w:rFonts w:ascii="宋体" w:hAnsi="Calibri" w:eastAsia="宋体" w:cs="Times New Roman"/>
          <w:sz w:val="24"/>
        </w:rPr>
      </w:pPr>
      <w:r>
        <w:rPr>
          <w:rFonts w:hint="eastAsia" w:ascii="宋体" w:hAnsi="Calibri" w:eastAsia="宋体" w:cs="Times New Roman"/>
          <w:sz w:val="24"/>
        </w:rPr>
        <w:t xml:space="preserve">    </w:t>
      </w:r>
      <w:r>
        <w:rPr>
          <w:rFonts w:hint="eastAsia" w:ascii="宋体" w:hAnsi="Calibri" w:eastAsia="宋体" w:cs="Times New Roman"/>
          <w:b/>
          <w:sz w:val="24"/>
        </w:rPr>
        <w:t xml:space="preserve">第八条 </w:t>
      </w:r>
      <w:r>
        <w:rPr>
          <w:rFonts w:hint="eastAsia" w:ascii="宋体" w:hAnsi="Calibri" w:eastAsia="宋体" w:cs="Times New Roman"/>
          <w:sz w:val="24"/>
        </w:rPr>
        <w:t xml:space="preserve"> 未经甲方同意，乙方不得将本合同项目部分或全部研究开发工作转让第三人承担。但有下列情况之一的，乙方可以不经甲方同意将本合同项目部分或全部研究开发工作转让第三人承但：</w:t>
      </w:r>
    </w:p>
    <w:p w14:paraId="1F1D0CB0">
      <w:pPr>
        <w:spacing w:line="360" w:lineRule="auto"/>
        <w:rPr>
          <w:rFonts w:ascii="宋体" w:hAnsi="Calibri" w:eastAsia="宋体" w:cs="Times New Roman"/>
          <w:sz w:val="24"/>
        </w:rPr>
      </w:pPr>
      <w:r>
        <w:rPr>
          <w:rFonts w:hint="eastAsia" w:ascii="宋体" w:hAnsi="Calibri" w:eastAsia="宋体" w:cs="Times New Roman"/>
          <w:sz w:val="24"/>
        </w:rPr>
        <w:t xml:space="preserve">    1．无。</w:t>
      </w:r>
    </w:p>
    <w:p w14:paraId="6EEA1B19">
      <w:pPr>
        <w:spacing w:line="360" w:lineRule="auto"/>
        <w:rPr>
          <w:rFonts w:ascii="宋体" w:hAnsi="Calibri" w:eastAsia="宋体" w:cs="Times New Roman"/>
          <w:sz w:val="24"/>
        </w:rPr>
      </w:pPr>
      <w:r>
        <w:rPr>
          <w:rFonts w:hint="eastAsia" w:ascii="宋体" w:hAnsi="Calibri" w:eastAsia="宋体" w:cs="Times New Roman"/>
          <w:sz w:val="24"/>
        </w:rPr>
        <w:t xml:space="preserve">    乙方可以转让研究开发工作的具体内容包括：无。</w:t>
      </w:r>
    </w:p>
    <w:p w14:paraId="261E890B">
      <w:pPr>
        <w:spacing w:line="360" w:lineRule="auto"/>
        <w:rPr>
          <w:rFonts w:ascii="宋体" w:hAnsi="Calibri" w:eastAsia="宋体" w:cs="Times New Roman"/>
          <w:sz w:val="24"/>
        </w:rPr>
      </w:pPr>
    </w:p>
    <w:p w14:paraId="7C7C2151">
      <w:pPr>
        <w:spacing w:line="360" w:lineRule="auto"/>
        <w:rPr>
          <w:rFonts w:ascii="宋体" w:hAnsi="Calibri" w:eastAsia="宋体" w:cs="Times New Roman"/>
          <w:sz w:val="24"/>
        </w:rPr>
      </w:pPr>
      <w:r>
        <w:rPr>
          <w:rFonts w:hint="eastAsia" w:ascii="宋体" w:hAnsi="Calibri" w:eastAsia="宋体" w:cs="Times New Roman"/>
          <w:sz w:val="24"/>
        </w:rPr>
        <w:t xml:space="preserve">   </w:t>
      </w:r>
      <w:r>
        <w:rPr>
          <w:rFonts w:hint="eastAsia" w:ascii="宋体" w:hAnsi="Calibri" w:eastAsia="宋体" w:cs="Times New Roman"/>
          <w:b/>
          <w:sz w:val="24"/>
        </w:rPr>
        <w:t xml:space="preserve"> 第九条</w:t>
      </w:r>
      <w:r>
        <w:rPr>
          <w:rFonts w:hint="eastAsia" w:ascii="宋体" w:hAnsi="Calibri" w:eastAsia="宋体" w:cs="Times New Roman"/>
          <w:sz w:val="24"/>
        </w:rPr>
        <w:t xml:space="preserve">  在本合同履行中，因出现在现有技术水平和条件下难以克服的技术困难，导致研究开发失败，并造成一方或双方损失的，双方按如下约定承</w:t>
      </w:r>
    </w:p>
    <w:p w14:paraId="32A5D7EF">
      <w:pPr>
        <w:spacing w:line="360" w:lineRule="auto"/>
        <w:rPr>
          <w:rFonts w:ascii="宋体" w:hAnsi="Calibri" w:eastAsia="宋体" w:cs="Times New Roman"/>
          <w:sz w:val="24"/>
        </w:rPr>
      </w:pPr>
      <w:r>
        <w:rPr>
          <w:rFonts w:hint="eastAsia" w:ascii="宋体" w:hAnsi="Calibri" w:eastAsia="宋体" w:cs="Times New Roman"/>
          <w:sz w:val="24"/>
        </w:rPr>
        <w:t>担风险损失：经认定属于客观技术风险的双方经协定共同承担；因一方未按合同约定提供技术资料或协作导致的失败，由责任方承担全部损失。</w:t>
      </w:r>
    </w:p>
    <w:p w14:paraId="04AAD1B8">
      <w:pPr>
        <w:spacing w:line="360" w:lineRule="auto"/>
        <w:rPr>
          <w:rFonts w:ascii="宋体" w:hAnsi="Calibri" w:eastAsia="宋体" w:cs="Times New Roman"/>
          <w:sz w:val="24"/>
        </w:rPr>
      </w:pPr>
      <w:r>
        <w:rPr>
          <w:rFonts w:hint="eastAsia" w:ascii="宋体" w:hAnsi="Calibri" w:eastAsia="宋体" w:cs="Times New Roman"/>
          <w:sz w:val="24"/>
        </w:rPr>
        <w:t xml:space="preserve">    双方确定，本合同项目的技术风险按第三方技术鉴定机构评估的方式认定的方式认定。认定技术风险的基本内容应当包括技术风险的存在、范围、程度及损失大小等。认定技术风险的基本条件是：</w:t>
      </w:r>
    </w:p>
    <w:p w14:paraId="276D0F44">
      <w:pPr>
        <w:spacing w:line="360" w:lineRule="auto"/>
        <w:rPr>
          <w:rFonts w:ascii="宋体" w:hAnsi="Calibri" w:eastAsia="宋体" w:cs="Times New Roman"/>
          <w:sz w:val="24"/>
        </w:rPr>
      </w:pPr>
      <w:r>
        <w:rPr>
          <w:rFonts w:hint="eastAsia" w:ascii="宋体" w:hAnsi="Calibri" w:eastAsia="宋体" w:cs="Times New Roman"/>
          <w:sz w:val="24"/>
        </w:rPr>
        <w:t xml:space="preserve">    1．本合同项目在现有技术水平条件下具有足够的难度；</w:t>
      </w:r>
    </w:p>
    <w:p w14:paraId="05854822">
      <w:pPr>
        <w:spacing w:line="360" w:lineRule="auto"/>
        <w:ind w:firstLine="480"/>
        <w:rPr>
          <w:rFonts w:ascii="宋体" w:hAnsi="Calibri" w:eastAsia="宋体" w:cs="Times New Roman"/>
          <w:sz w:val="24"/>
        </w:rPr>
      </w:pPr>
      <w:r>
        <w:rPr>
          <w:rFonts w:hint="eastAsia" w:ascii="宋体" w:hAnsi="Calibri" w:eastAsia="宋体" w:cs="Times New Roman"/>
          <w:sz w:val="24"/>
        </w:rPr>
        <w:t>2．乙方在主观上无过错且经认定研究开发失败为合理的失败。</w:t>
      </w:r>
    </w:p>
    <w:p w14:paraId="652CE91C">
      <w:pPr>
        <w:spacing w:line="360" w:lineRule="auto"/>
        <w:rPr>
          <w:rFonts w:ascii="宋体" w:hAnsi="Calibri" w:eastAsia="宋体" w:cs="Times New Roman"/>
          <w:sz w:val="24"/>
        </w:rPr>
      </w:pPr>
      <w:r>
        <w:rPr>
          <w:rFonts w:hint="eastAsia" w:ascii="宋体" w:hAnsi="Calibri" w:eastAsia="宋体" w:cs="Times New Roman"/>
          <w:sz w:val="24"/>
        </w:rPr>
        <w:t xml:space="preserve">    一方发现技术风险存在并有可能致使研究开发失败或部分失败的情形时，应当在 5 日内通知另一方并采取适当措施减少损失。逾期未通知并未采取适当措施而致使损失扩大的，应当就扩大的损失承担赔偿责任。</w:t>
      </w:r>
    </w:p>
    <w:p w14:paraId="06F7D02F">
      <w:pPr>
        <w:spacing w:line="360" w:lineRule="auto"/>
        <w:rPr>
          <w:rFonts w:ascii="宋体" w:hAnsi="Calibri" w:eastAsia="宋体" w:cs="Times New Roman"/>
          <w:sz w:val="24"/>
        </w:rPr>
      </w:pPr>
    </w:p>
    <w:p w14:paraId="6BFA5BF6">
      <w:pPr>
        <w:spacing w:line="360" w:lineRule="auto"/>
        <w:rPr>
          <w:rFonts w:ascii="宋体" w:hAnsi="Calibri" w:eastAsia="宋体" w:cs="Times New Roman"/>
          <w:sz w:val="24"/>
        </w:rPr>
      </w:pPr>
      <w:r>
        <w:rPr>
          <w:rFonts w:hint="eastAsia" w:ascii="宋体" w:hAnsi="Calibri" w:eastAsia="宋体" w:cs="Times New Roman"/>
          <w:b/>
          <w:sz w:val="24"/>
        </w:rPr>
        <w:t xml:space="preserve">    第十条</w:t>
      </w:r>
      <w:r>
        <w:rPr>
          <w:rFonts w:hint="eastAsia" w:ascii="宋体" w:hAnsi="Calibri" w:eastAsia="宋体" w:cs="Times New Roman"/>
          <w:sz w:val="24"/>
        </w:rPr>
        <w:t xml:space="preserve">  在本合同履行中，因作为研究开发标的技术已经由他人公开（包括以专利权方式公开），一方应在 5 日内通知另一方解除合同。逾期未通知并致使另一方产生损失的，另一方有权要求予以赔偿。</w:t>
      </w:r>
    </w:p>
    <w:p w14:paraId="7EA6D1BE">
      <w:pPr>
        <w:spacing w:line="360" w:lineRule="auto"/>
        <w:rPr>
          <w:rFonts w:ascii="宋体" w:hAnsi="Calibri" w:eastAsia="宋体" w:cs="Times New Roman"/>
          <w:sz w:val="24"/>
        </w:rPr>
      </w:pPr>
    </w:p>
    <w:p w14:paraId="60C95D15">
      <w:pPr>
        <w:spacing w:line="360" w:lineRule="auto"/>
        <w:ind w:firstLine="480"/>
        <w:rPr>
          <w:rFonts w:ascii="宋体" w:hAnsi="Calibri" w:eastAsia="宋体" w:cs="Times New Roman"/>
          <w:sz w:val="24"/>
        </w:rPr>
      </w:pPr>
      <w:r>
        <w:rPr>
          <w:rFonts w:hint="eastAsia" w:ascii="宋体" w:hAnsi="Calibri" w:eastAsia="宋体" w:cs="Times New Roman"/>
          <w:b/>
          <w:sz w:val="24"/>
        </w:rPr>
        <w:t xml:space="preserve">第十一条  </w:t>
      </w:r>
      <w:r>
        <w:rPr>
          <w:rFonts w:hint="eastAsia" w:ascii="宋体" w:hAnsi="Calibri" w:eastAsia="宋体" w:cs="Times New Roman"/>
          <w:sz w:val="24"/>
        </w:rPr>
        <w:t>双方确定履行本合同应遵守的保密义务如下：</w:t>
      </w:r>
    </w:p>
    <w:p w14:paraId="2804E099">
      <w:pPr>
        <w:spacing w:line="360" w:lineRule="auto"/>
        <w:ind w:firstLine="480"/>
        <w:rPr>
          <w:rFonts w:ascii="宋体" w:hAnsi="Calibri" w:eastAsia="宋体" w:cs="Times New Roman"/>
          <w:sz w:val="24"/>
        </w:rPr>
      </w:pPr>
      <w:r>
        <w:rPr>
          <w:rFonts w:hint="eastAsia" w:ascii="宋体" w:hAnsi="Calibri" w:eastAsia="宋体" w:cs="Times New Roman"/>
          <w:sz w:val="24"/>
        </w:rPr>
        <w:t>甲方：</w:t>
      </w:r>
    </w:p>
    <w:p w14:paraId="25ADDC4B">
      <w:pPr>
        <w:numPr>
          <w:ilvl w:val="0"/>
          <w:numId w:val="3"/>
        </w:numPr>
        <w:spacing w:line="360" w:lineRule="auto"/>
        <w:rPr>
          <w:rFonts w:ascii="宋体" w:hAnsi="Calibri" w:eastAsia="宋体" w:cs="Times New Roman"/>
          <w:sz w:val="24"/>
          <w:u w:val="single"/>
        </w:rPr>
      </w:pPr>
      <w:r>
        <w:rPr>
          <w:rFonts w:hint="eastAsia" w:ascii="宋体" w:hAnsi="Calibri" w:eastAsia="宋体" w:cs="Times New Roman"/>
          <w:sz w:val="24"/>
        </w:rPr>
        <w:t>保密内容（包括技术信息和经营信息）：</w:t>
      </w:r>
      <w:r>
        <w:rPr>
          <w:rFonts w:hint="eastAsia" w:ascii="宋体" w:hAnsi="宋体" w:eastAsia="宋体" w:cs="Times New Roman"/>
          <w:sz w:val="24"/>
        </w:rPr>
        <w:t>本外协项目密级：</w:t>
      </w:r>
      <w:r>
        <w:rPr>
          <w:rFonts w:hint="eastAsia" w:ascii="黑体" w:hAnsi="黑体" w:eastAsia="黑体" w:cs="Times New Roman"/>
          <w:sz w:val="24"/>
        </w:rPr>
        <w:t>内部</w:t>
      </w:r>
      <w:r>
        <w:rPr>
          <w:rFonts w:hint="eastAsia" w:ascii="宋体" w:hAnsi="宋体" w:eastAsia="宋体" w:cs="Times New Roman"/>
          <w:sz w:val="24"/>
        </w:rPr>
        <w:t>，合同文本和技术协议密级：</w:t>
      </w:r>
      <w:r>
        <w:rPr>
          <w:rFonts w:hint="eastAsia" w:ascii="黑体" w:hAnsi="黑体" w:eastAsia="黑体" w:cs="Times New Roman"/>
          <w:sz w:val="24"/>
        </w:rPr>
        <w:t>内部</w:t>
      </w:r>
      <w:r>
        <w:rPr>
          <w:rFonts w:hint="eastAsia" w:ascii="宋体" w:hAnsi="宋体" w:eastAsia="宋体" w:cs="Times New Roman"/>
          <w:sz w:val="24"/>
        </w:rPr>
        <w:t>。不得向乙方提供项目背景、技术参数等与合同无关内容。</w:t>
      </w:r>
      <w:r>
        <w:rPr>
          <w:rFonts w:hint="eastAsia" w:ascii="宋体" w:hAnsi="Calibri" w:eastAsia="宋体" w:cs="Times New Roman"/>
          <w:sz w:val="24"/>
        </w:rPr>
        <w:t xml:space="preserve"> </w:t>
      </w:r>
    </w:p>
    <w:p w14:paraId="5BC7C73C">
      <w:pPr>
        <w:numPr>
          <w:ilvl w:val="0"/>
          <w:numId w:val="3"/>
        </w:numPr>
        <w:spacing w:line="360" w:lineRule="auto"/>
        <w:rPr>
          <w:rFonts w:ascii="宋体" w:hAnsi="Calibri" w:eastAsia="宋体" w:cs="Times New Roman"/>
          <w:sz w:val="24"/>
          <w:u w:val="single"/>
        </w:rPr>
      </w:pPr>
      <w:r>
        <w:rPr>
          <w:rFonts w:hint="eastAsia" w:ascii="宋体" w:hAnsi="Calibri" w:eastAsia="宋体" w:cs="Times New Roman"/>
          <w:sz w:val="24"/>
        </w:rPr>
        <w:t>保密要点：</w:t>
      </w:r>
      <w:r>
        <w:rPr>
          <w:rFonts w:hint="eastAsia" w:ascii="宋体" w:hAnsi="宋体" w:eastAsia="宋体" w:cs="Times New Roman"/>
          <w:b/>
          <w:sz w:val="24"/>
        </w:rPr>
        <w:t>无</w:t>
      </w:r>
    </w:p>
    <w:p w14:paraId="1A33257C">
      <w:pPr>
        <w:numPr>
          <w:ilvl w:val="0"/>
          <w:numId w:val="3"/>
        </w:numPr>
        <w:spacing w:line="360" w:lineRule="auto"/>
        <w:rPr>
          <w:rFonts w:ascii="宋体" w:hAnsi="Calibri" w:eastAsia="宋体" w:cs="Times New Roman"/>
          <w:sz w:val="24"/>
        </w:rPr>
      </w:pPr>
      <w:r>
        <w:rPr>
          <w:rFonts w:hint="eastAsia" w:ascii="宋体" w:hAnsi="Calibri" w:eastAsia="宋体" w:cs="Times New Roman"/>
          <w:sz w:val="24"/>
        </w:rPr>
        <w:t>知悉范围：直接或间接涉及本合同的甲方主要研制人员。</w:t>
      </w:r>
    </w:p>
    <w:p w14:paraId="3731D3F9">
      <w:pPr>
        <w:numPr>
          <w:ilvl w:val="0"/>
          <w:numId w:val="3"/>
        </w:numPr>
        <w:spacing w:line="360" w:lineRule="auto"/>
        <w:rPr>
          <w:rFonts w:ascii="宋体" w:hAnsi="Calibri" w:eastAsia="宋体" w:cs="Times New Roman"/>
          <w:sz w:val="24"/>
        </w:rPr>
      </w:pPr>
      <w:r>
        <w:rPr>
          <w:rFonts w:hint="eastAsia" w:ascii="宋体" w:hAnsi="Calibri" w:eastAsia="宋体" w:cs="Times New Roman"/>
          <w:sz w:val="24"/>
        </w:rPr>
        <w:t>保密期限：</w:t>
      </w:r>
      <w:r>
        <w:rPr>
          <w:rFonts w:hint="eastAsia" w:ascii="宋体" w:hAnsi="Calibri" w:eastAsia="宋体" w:cs="Times New Roman"/>
          <w:b/>
          <w:sz w:val="24"/>
        </w:rPr>
        <w:t>1年</w:t>
      </w:r>
      <w:r>
        <w:rPr>
          <w:rFonts w:hint="eastAsia" w:ascii="宋体" w:hAnsi="Calibri" w:eastAsia="宋体" w:cs="Times New Roman"/>
          <w:sz w:val="24"/>
        </w:rPr>
        <w:t>。</w:t>
      </w:r>
    </w:p>
    <w:p w14:paraId="0D9DCDB4">
      <w:pPr>
        <w:spacing w:line="360" w:lineRule="auto"/>
        <w:ind w:firstLine="480"/>
        <w:rPr>
          <w:rFonts w:ascii="宋体" w:hAnsi="Calibri" w:eastAsia="宋体" w:cs="Times New Roman"/>
          <w:sz w:val="24"/>
        </w:rPr>
      </w:pPr>
      <w:r>
        <w:rPr>
          <w:rFonts w:hint="eastAsia" w:ascii="宋体" w:hAnsi="Calibri" w:eastAsia="宋体" w:cs="Times New Roman"/>
          <w:sz w:val="24"/>
        </w:rPr>
        <w:t>5.甲方向乙方提交的国家秘密资料、保密设备、密品等应当按相关保密法规办理审批登记手续；</w:t>
      </w:r>
    </w:p>
    <w:p w14:paraId="79E9287C">
      <w:pPr>
        <w:spacing w:line="360" w:lineRule="auto"/>
        <w:ind w:firstLine="480" w:firstLineChars="200"/>
        <w:rPr>
          <w:rFonts w:ascii="宋体" w:hAnsi="Calibri" w:eastAsia="宋体" w:cs="Times New Roman"/>
          <w:sz w:val="24"/>
        </w:rPr>
      </w:pPr>
      <w:r>
        <w:rPr>
          <w:rFonts w:hint="eastAsia" w:ascii="宋体" w:hAnsi="Calibri" w:eastAsia="宋体" w:cs="Times New Roman"/>
          <w:sz w:val="24"/>
        </w:rPr>
        <w:t>6.泄密责任：  按国家</w:t>
      </w:r>
      <w:r>
        <w:rPr>
          <w:rFonts w:hint="eastAsia" w:ascii="宋体" w:hAnsi="宋体" w:eastAsia="宋体" w:cs="Times New Roman"/>
          <w:sz w:val="24"/>
        </w:rPr>
        <w:t>《保密法》</w:t>
      </w:r>
      <w:r>
        <w:rPr>
          <w:rFonts w:hint="eastAsia" w:ascii="宋体" w:hAnsi="Calibri" w:eastAsia="宋体" w:cs="Times New Roman"/>
          <w:sz w:val="24"/>
        </w:rPr>
        <w:t>和学校相关规定，对违反保密规定、造成失泄密的，将依法追究当事人的法规责任并赔偿相关的直接、间接经济损失    。</w:t>
      </w:r>
    </w:p>
    <w:p w14:paraId="00C322CC">
      <w:pPr>
        <w:spacing w:line="360" w:lineRule="auto"/>
        <w:ind w:firstLine="480"/>
        <w:rPr>
          <w:rFonts w:ascii="宋体" w:hAnsi="Calibri" w:eastAsia="宋体" w:cs="Times New Roman"/>
          <w:sz w:val="24"/>
        </w:rPr>
      </w:pPr>
      <w:r>
        <w:rPr>
          <w:rFonts w:hint="eastAsia" w:ascii="宋体" w:hAnsi="Calibri" w:eastAsia="宋体" w:cs="Times New Roman"/>
          <w:sz w:val="24"/>
        </w:rPr>
        <w:t>乙方：</w:t>
      </w:r>
    </w:p>
    <w:p w14:paraId="2B9FAE86">
      <w:pPr>
        <w:spacing w:line="360" w:lineRule="auto"/>
        <w:ind w:firstLine="480"/>
        <w:rPr>
          <w:rFonts w:ascii="宋体" w:hAnsi="Calibri" w:eastAsia="宋体" w:cs="Times New Roman"/>
          <w:sz w:val="24"/>
        </w:rPr>
      </w:pPr>
      <w:r>
        <w:rPr>
          <w:rFonts w:hint="eastAsia" w:ascii="宋体" w:hAnsi="Calibri" w:eastAsia="宋体" w:cs="Times New Roman"/>
          <w:sz w:val="24"/>
        </w:rPr>
        <w:t>1．保密内容（包括技术信息和经营信息：本外协项目密级：</w:t>
      </w:r>
      <w:r>
        <w:rPr>
          <w:rFonts w:hint="eastAsia" w:ascii="黑体" w:hAnsi="黑体" w:eastAsia="黑体" w:cs="Times New Roman"/>
          <w:sz w:val="24"/>
        </w:rPr>
        <w:t>内部</w:t>
      </w:r>
      <w:r>
        <w:rPr>
          <w:rFonts w:hint="eastAsia" w:ascii="宋体" w:hAnsi="Calibri" w:eastAsia="宋体" w:cs="Times New Roman"/>
          <w:sz w:val="24"/>
        </w:rPr>
        <w:t>，合同文本和技术协议密级：</w:t>
      </w:r>
      <w:r>
        <w:rPr>
          <w:rFonts w:hint="eastAsia" w:ascii="黑体" w:hAnsi="黑体" w:eastAsia="黑体" w:cs="Times New Roman"/>
          <w:sz w:val="24"/>
        </w:rPr>
        <w:t>内部</w:t>
      </w:r>
      <w:r>
        <w:rPr>
          <w:rFonts w:hint="eastAsia" w:ascii="宋体" w:hAnsi="Calibri" w:eastAsia="宋体" w:cs="Times New Roman"/>
          <w:sz w:val="24"/>
        </w:rPr>
        <w:t>，涉及本合同中甲方提供的资料均为内部内容 。</w:t>
      </w:r>
    </w:p>
    <w:p w14:paraId="6EBC3FE7">
      <w:pPr>
        <w:spacing w:line="360" w:lineRule="auto"/>
        <w:ind w:firstLine="480"/>
        <w:rPr>
          <w:rFonts w:ascii="宋体" w:hAnsi="Calibri" w:eastAsia="宋体" w:cs="Times New Roman"/>
          <w:sz w:val="24"/>
        </w:rPr>
      </w:pPr>
      <w:r>
        <w:rPr>
          <w:rFonts w:hint="eastAsia" w:ascii="宋体" w:hAnsi="Calibri" w:eastAsia="宋体" w:cs="Times New Roman"/>
          <w:sz w:val="24"/>
        </w:rPr>
        <w:t>2.保密要点：</w:t>
      </w:r>
      <w:r>
        <w:rPr>
          <w:rFonts w:hint="eastAsia" w:ascii="宋体" w:hAnsi="宋体" w:eastAsia="宋体" w:cs="Times New Roman"/>
          <w:bCs/>
          <w:sz w:val="24"/>
        </w:rPr>
        <w:t>无。</w:t>
      </w:r>
      <w:r>
        <w:rPr>
          <w:rFonts w:ascii="宋体" w:hAnsi="Calibri" w:eastAsia="宋体" w:cs="Times New Roman"/>
          <w:sz w:val="24"/>
        </w:rPr>
        <w:t xml:space="preserve"> </w:t>
      </w:r>
    </w:p>
    <w:p w14:paraId="46EC7236">
      <w:pPr>
        <w:spacing w:line="360" w:lineRule="auto"/>
        <w:ind w:firstLine="480" w:firstLineChars="200"/>
        <w:rPr>
          <w:rFonts w:ascii="宋体" w:hAnsi="Calibri" w:eastAsia="宋体" w:cs="Times New Roman"/>
          <w:sz w:val="24"/>
        </w:rPr>
      </w:pPr>
      <w:r>
        <w:rPr>
          <w:rFonts w:hint="eastAsia" w:ascii="宋体" w:hAnsi="Calibri" w:eastAsia="宋体" w:cs="Times New Roman"/>
          <w:sz w:val="24"/>
        </w:rPr>
        <w:t>3．知悉范围：直接或间接涉及本合同的乙方主要研制人。</w:t>
      </w:r>
    </w:p>
    <w:p w14:paraId="77E64DAB">
      <w:pPr>
        <w:spacing w:line="360" w:lineRule="auto"/>
        <w:rPr>
          <w:rFonts w:ascii="宋体" w:hAnsi="Calibri" w:eastAsia="宋体" w:cs="Times New Roman"/>
          <w:sz w:val="24"/>
        </w:rPr>
      </w:pPr>
      <w:r>
        <w:rPr>
          <w:rFonts w:hint="eastAsia" w:ascii="宋体" w:hAnsi="Calibri" w:eastAsia="宋体" w:cs="Times New Roman"/>
          <w:sz w:val="24"/>
        </w:rPr>
        <w:t xml:space="preserve">    4．保密期限：1年。</w:t>
      </w:r>
    </w:p>
    <w:p w14:paraId="593E80F8">
      <w:pPr>
        <w:spacing w:line="360" w:lineRule="auto"/>
        <w:ind w:firstLine="480"/>
        <w:rPr>
          <w:rFonts w:ascii="宋体" w:hAnsi="Calibri" w:eastAsia="宋体" w:cs="Times New Roman"/>
          <w:sz w:val="24"/>
        </w:rPr>
      </w:pPr>
      <w:r>
        <w:rPr>
          <w:rFonts w:hint="eastAsia" w:ascii="宋体" w:hAnsi="Calibri" w:eastAsia="宋体" w:cs="Times New Roman"/>
          <w:sz w:val="24"/>
        </w:rPr>
        <w:t>5．乙方向甲方相提交的国家秘密资料、保密设备、密品等应当按相关保密法规办理审批登记手续；</w:t>
      </w:r>
    </w:p>
    <w:p w14:paraId="4DE6A101">
      <w:pPr>
        <w:spacing w:line="360" w:lineRule="auto"/>
        <w:ind w:firstLine="480"/>
        <w:rPr>
          <w:rFonts w:ascii="宋体" w:hAnsi="Calibri" w:eastAsia="宋体" w:cs="Times New Roman"/>
          <w:sz w:val="24"/>
        </w:rPr>
      </w:pPr>
      <w:r>
        <w:rPr>
          <w:rFonts w:hint="eastAsia" w:ascii="宋体" w:hAnsi="Calibri" w:eastAsia="宋体" w:cs="Times New Roman"/>
          <w:sz w:val="24"/>
        </w:rPr>
        <w:t>6.泄密责任：甲方按国家</w:t>
      </w:r>
      <w:r>
        <w:rPr>
          <w:rFonts w:hint="eastAsia" w:ascii="宋体" w:hAnsi="宋体" w:eastAsia="宋体" w:cs="Times New Roman"/>
          <w:sz w:val="24"/>
        </w:rPr>
        <w:t>《保密法》</w:t>
      </w:r>
      <w:r>
        <w:rPr>
          <w:rFonts w:hint="eastAsia" w:ascii="宋体" w:hAnsi="Calibri" w:eastAsia="宋体" w:cs="Times New Roman"/>
          <w:sz w:val="24"/>
        </w:rPr>
        <w:t>和学校相关规定，对违反保密规定、造成失泄密的，将依法追究乙方单位和当事人的法规责任并赔偿相关的直接、间接经济损失  。</w:t>
      </w:r>
    </w:p>
    <w:p w14:paraId="23BB8752">
      <w:pPr>
        <w:ind w:firstLine="480"/>
        <w:rPr>
          <w:rFonts w:ascii="宋体" w:hAnsi="Calibri" w:eastAsia="宋体" w:cs="Times New Roman"/>
          <w:sz w:val="24"/>
          <w:u w:val="single"/>
        </w:rPr>
      </w:pPr>
    </w:p>
    <w:p w14:paraId="6C43141A">
      <w:pPr>
        <w:spacing w:line="360" w:lineRule="auto"/>
        <w:rPr>
          <w:rFonts w:ascii="宋体" w:hAnsi="Calibri" w:eastAsia="宋体" w:cs="Times New Roman"/>
          <w:sz w:val="24"/>
          <w:highlight w:val="none"/>
        </w:rPr>
      </w:pPr>
      <w:r>
        <w:rPr>
          <w:rFonts w:hint="eastAsia" w:ascii="宋体" w:hAnsi="Calibri" w:eastAsia="宋体" w:cs="Times New Roman"/>
          <w:b/>
          <w:sz w:val="24"/>
        </w:rPr>
        <w:t xml:space="preserve">    </w:t>
      </w:r>
      <w:r>
        <w:rPr>
          <w:rFonts w:hint="eastAsia" w:ascii="宋体" w:hAnsi="Calibri" w:eastAsia="宋体" w:cs="Times New Roman"/>
          <w:b/>
          <w:sz w:val="24"/>
          <w:highlight w:val="none"/>
        </w:rPr>
        <w:t xml:space="preserve">第十二条 </w:t>
      </w:r>
      <w:r>
        <w:rPr>
          <w:rFonts w:hint="eastAsia" w:ascii="宋体" w:hAnsi="Calibri" w:eastAsia="宋体" w:cs="Times New Roman"/>
          <w:sz w:val="24"/>
          <w:highlight w:val="none"/>
        </w:rPr>
        <w:t xml:space="preserve"> 乙方应当按以下方式向甲方交付研究开发成果：</w:t>
      </w:r>
    </w:p>
    <w:p w14:paraId="35A3DA02">
      <w:pPr>
        <w:spacing w:line="360" w:lineRule="auto"/>
        <w:rPr>
          <w:rFonts w:hint="eastAsia" w:ascii="宋体" w:hAnsi="Calibri" w:eastAsia="宋体" w:cs="Times New Roman"/>
          <w:sz w:val="24"/>
          <w:highlight w:val="none"/>
        </w:rPr>
      </w:pPr>
      <w:r>
        <w:rPr>
          <w:rFonts w:hint="eastAsia" w:ascii="宋体" w:hAnsi="Calibri" w:eastAsia="宋体" w:cs="Times New Roman"/>
          <w:sz w:val="24"/>
          <w:highlight w:val="none"/>
        </w:rPr>
        <w:t xml:space="preserve">    1．交付物清单与形式。乙方应按照本合同约定，向甲方交付以下研究开发成果：</w:t>
      </w:r>
    </w:p>
    <w:p w14:paraId="61C198FD">
      <w:pPr>
        <w:spacing w:line="360" w:lineRule="auto"/>
        <w:rPr>
          <w:rFonts w:ascii="宋体" w:hAnsi="Calibri" w:eastAsia="宋体" w:cs="Times New Roman"/>
          <w:sz w:val="24"/>
          <w:highlight w:val="none"/>
        </w:rPr>
      </w:pPr>
      <w:r>
        <w:rPr>
          <w:rFonts w:ascii="宋体" w:hAnsi="Calibri" w:eastAsia="宋体" w:cs="Times New Roman"/>
          <w:sz w:val="24"/>
          <w:highlight w:val="none"/>
        </w:rPr>
        <w:tab/>
      </w:r>
      <w:r>
        <w:rPr>
          <w:rFonts w:hint="eastAsia" w:ascii="宋体" w:hAnsi="Calibri" w:eastAsia="宋体" w:cs="Times New Roman"/>
          <w:sz w:val="24"/>
          <w:highlight w:val="none"/>
        </w:rPr>
        <w:t>（1）软件系统：以一套完整、可运行的安全防护监测系统可视化软件的形式交付，最终部署于甲方指定的服务器环境中。</w:t>
      </w:r>
    </w:p>
    <w:p w14:paraId="65008FEF">
      <w:pPr>
        <w:spacing w:line="360" w:lineRule="auto"/>
        <w:rPr>
          <w:rFonts w:hint="eastAsia" w:ascii="宋体" w:hAnsi="Calibri" w:eastAsia="宋体" w:cs="Times New Roman"/>
          <w:sz w:val="24"/>
          <w:highlight w:val="none"/>
        </w:rPr>
      </w:pPr>
      <w:r>
        <w:rPr>
          <w:rFonts w:ascii="宋体" w:hAnsi="Calibri" w:eastAsia="宋体" w:cs="Times New Roman"/>
          <w:sz w:val="24"/>
          <w:highlight w:val="none"/>
        </w:rPr>
        <w:tab/>
      </w:r>
      <w:r>
        <w:rPr>
          <w:rFonts w:hint="eastAsia" w:ascii="宋体" w:hAnsi="Calibri" w:eastAsia="宋体" w:cs="Times New Roman"/>
          <w:sz w:val="24"/>
          <w:highlight w:val="none"/>
        </w:rPr>
        <w:t>（2）硬件设备：包括两台符合本合同技术规格要求的“安全防护监测系统可视化展示一体机”，应为全新、原装、运行正常的正品。</w:t>
      </w:r>
    </w:p>
    <w:p w14:paraId="1D265684">
      <w:pPr>
        <w:spacing w:line="360" w:lineRule="auto"/>
        <w:ind w:firstLine="480"/>
        <w:rPr>
          <w:rFonts w:ascii="宋体" w:hAnsi="Calibri" w:eastAsia="宋体" w:cs="Times New Roman"/>
          <w:sz w:val="24"/>
          <w:highlight w:val="none"/>
        </w:rPr>
      </w:pPr>
      <w:r>
        <w:rPr>
          <w:rFonts w:hint="eastAsia" w:ascii="宋体" w:hAnsi="Calibri" w:eastAsia="宋体" w:cs="Times New Roman"/>
          <w:sz w:val="24"/>
          <w:highlight w:val="none"/>
        </w:rPr>
        <w:t xml:space="preserve">2．研究开发成果交付的时间、地点与方式： </w:t>
      </w:r>
    </w:p>
    <w:p w14:paraId="033C2199">
      <w:pPr>
        <w:spacing w:line="360" w:lineRule="auto"/>
        <w:ind w:firstLine="420"/>
        <w:rPr>
          <w:rFonts w:ascii="宋体" w:hAnsi="Calibri" w:eastAsia="宋体" w:cs="Times New Roman"/>
          <w:sz w:val="24"/>
          <w:highlight w:val="none"/>
        </w:rPr>
      </w:pPr>
      <w:r>
        <w:rPr>
          <w:rFonts w:hint="eastAsia" w:ascii="宋体" w:hAnsi="Calibri" w:eastAsia="宋体" w:cs="Times New Roman"/>
          <w:sz w:val="24"/>
          <w:highlight w:val="none"/>
        </w:rPr>
        <w:t>（1）软件系统交付：应于本合同签订生效后30日内完成。交付物应包括但不限于：所有源代码、编译后的可执行程序、完整的部署文档、操作手册及必要的知识产权文件。交付方式为通过加密线上网盘或线下移动存储介质提交。</w:t>
      </w:r>
    </w:p>
    <w:p w14:paraId="70DA1B0E">
      <w:pPr>
        <w:spacing w:line="360" w:lineRule="auto"/>
        <w:ind w:firstLine="420"/>
        <w:rPr>
          <w:rFonts w:hint="eastAsia" w:ascii="宋体" w:hAnsi="Calibri" w:eastAsia="宋体" w:cs="Times New Roman"/>
          <w:sz w:val="24"/>
          <w:highlight w:val="none"/>
        </w:rPr>
      </w:pPr>
      <w:r>
        <w:rPr>
          <w:rFonts w:hint="eastAsia" w:ascii="宋体" w:hAnsi="Calibri" w:eastAsia="宋体" w:cs="Times New Roman"/>
          <w:sz w:val="24"/>
          <w:highlight w:val="none"/>
        </w:rPr>
        <w:t>（2）硬件设备交付：应于本合同签订生效后30日内完成。乙方负责将两台一体机设备安全运送至甲方指定地点（</w:t>
      </w:r>
      <w:r>
        <w:rPr>
          <w:rFonts w:hint="eastAsia" w:ascii="宋体" w:hAnsi="Calibri" w:eastAsia="宋体" w:cs="Times New Roman"/>
          <w:sz w:val="24"/>
          <w:highlight w:val="none"/>
          <w:lang w:val="en-US" w:eastAsia="zh-CN"/>
        </w:rPr>
        <w:t>陕西</w:t>
      </w:r>
      <w:r>
        <w:rPr>
          <w:rFonts w:hint="eastAsia" w:ascii="宋体" w:hAnsi="Calibri" w:eastAsia="宋体" w:cs="Times New Roman"/>
          <w:sz w:val="24"/>
          <w:highlight w:val="none"/>
        </w:rPr>
        <w:t>省西安市长安区东大街道西北工业大学），并承担运输中的所有风险及费用。设备到达指定地点并经甲方初步查验签收，即视为完成硬件交付。</w:t>
      </w:r>
    </w:p>
    <w:p w14:paraId="66CB7AD7">
      <w:pPr>
        <w:spacing w:line="360" w:lineRule="auto"/>
        <w:rPr>
          <w:rFonts w:hint="eastAsia" w:ascii="宋体" w:hAnsi="Calibri" w:eastAsia="宋体" w:cs="Times New Roman"/>
          <w:sz w:val="24"/>
          <w:highlight w:val="none"/>
        </w:rPr>
      </w:pPr>
    </w:p>
    <w:p w14:paraId="03DC28FE">
      <w:pPr>
        <w:spacing w:line="360" w:lineRule="auto"/>
        <w:ind w:firstLine="492"/>
        <w:rPr>
          <w:rFonts w:ascii="宋体" w:hAnsi="Calibri" w:eastAsia="宋体" w:cs="Times New Roman"/>
          <w:sz w:val="24"/>
          <w:highlight w:val="none"/>
        </w:rPr>
      </w:pPr>
      <w:r>
        <w:rPr>
          <w:rFonts w:hint="eastAsia" w:ascii="宋体" w:hAnsi="Calibri" w:eastAsia="宋体" w:cs="Times New Roman"/>
          <w:b/>
          <w:sz w:val="24"/>
          <w:highlight w:val="none"/>
        </w:rPr>
        <w:t xml:space="preserve">第十三条 </w:t>
      </w:r>
      <w:r>
        <w:rPr>
          <w:rFonts w:hint="eastAsia" w:ascii="宋体" w:hAnsi="Calibri" w:eastAsia="宋体" w:cs="Times New Roman"/>
          <w:sz w:val="24"/>
          <w:highlight w:val="none"/>
        </w:rPr>
        <w:t xml:space="preserve"> 双方确定，按以下标准及方法对乙方完成的研究开发成果进行验收： </w:t>
      </w:r>
    </w:p>
    <w:p w14:paraId="38262B3F">
      <w:pPr>
        <w:spacing w:line="360" w:lineRule="auto"/>
        <w:ind w:firstLine="492"/>
        <w:rPr>
          <w:rFonts w:ascii="宋体" w:hAnsi="Calibri" w:eastAsia="宋体" w:cs="Times New Roman"/>
          <w:sz w:val="24"/>
          <w:highlight w:val="none"/>
        </w:rPr>
      </w:pPr>
      <w:r>
        <w:rPr>
          <w:rFonts w:hint="eastAsia" w:ascii="宋体" w:hAnsi="Calibri" w:eastAsia="宋体" w:cs="Times New Roman"/>
          <w:sz w:val="24"/>
          <w:highlight w:val="none"/>
        </w:rPr>
        <w:t>1. 验收标准：按照本合同第二条约定的项目功能要求及双方书面确认的其他相关标准进行验收。</w:t>
      </w:r>
    </w:p>
    <w:p w14:paraId="54ADBA2B">
      <w:pPr>
        <w:spacing w:line="360" w:lineRule="auto"/>
        <w:ind w:firstLine="492"/>
        <w:rPr>
          <w:rFonts w:ascii="宋体" w:hAnsi="Calibri" w:eastAsia="宋体" w:cs="Times New Roman"/>
          <w:sz w:val="24"/>
          <w:highlight w:val="none"/>
        </w:rPr>
      </w:pPr>
      <w:r>
        <w:rPr>
          <w:rFonts w:hint="eastAsia" w:ascii="宋体" w:hAnsi="Calibri" w:eastAsia="宋体" w:cs="Times New Roman"/>
          <w:sz w:val="24"/>
          <w:highlight w:val="none"/>
        </w:rPr>
        <w:t>2. 验收方式：乙方完成项目开发后，书面通知甲方进行验收。甲方应在收到通知后积极组织验收，如5个工作日内未验收且未提出书面异议的，视为项目验收合格。</w:t>
      </w:r>
    </w:p>
    <w:p w14:paraId="2D334619">
      <w:pPr>
        <w:spacing w:line="360" w:lineRule="auto"/>
        <w:ind w:firstLine="492"/>
        <w:rPr>
          <w:rFonts w:ascii="宋体" w:hAnsi="Calibri" w:eastAsia="宋体" w:cs="Times New Roman"/>
          <w:sz w:val="24"/>
          <w:highlight w:val="none"/>
        </w:rPr>
      </w:pPr>
      <w:r>
        <w:rPr>
          <w:rFonts w:hint="eastAsia" w:ascii="宋体" w:hAnsi="Calibri" w:eastAsia="宋体" w:cs="Times New Roman"/>
          <w:sz w:val="24"/>
          <w:highlight w:val="none"/>
        </w:rPr>
        <w:t>3. 若验收不合格，甲方应向乙方提出书面整改意见，乙方应在收到意见后的15个工作日内完成整改，并重新提交验收。</w:t>
      </w:r>
    </w:p>
    <w:p w14:paraId="1D456FBB">
      <w:pPr>
        <w:spacing w:line="360" w:lineRule="auto"/>
        <w:ind w:firstLine="492"/>
        <w:rPr>
          <w:rFonts w:ascii="宋体" w:hAnsi="Calibri" w:eastAsia="宋体" w:cs="Times New Roman"/>
          <w:sz w:val="24"/>
          <w:highlight w:val="none"/>
          <w:u w:val="single"/>
        </w:rPr>
      </w:pPr>
    </w:p>
    <w:p w14:paraId="164B814F">
      <w:pPr>
        <w:spacing w:line="360" w:lineRule="auto"/>
        <w:rPr>
          <w:rFonts w:ascii="宋体" w:hAnsi="Calibri" w:eastAsia="宋体" w:cs="Times New Roman"/>
          <w:sz w:val="24"/>
        </w:rPr>
      </w:pPr>
      <w:r>
        <w:rPr>
          <w:rFonts w:hint="eastAsia" w:ascii="宋体" w:hAnsi="Calibri" w:eastAsia="宋体" w:cs="Times New Roman"/>
          <w:b/>
          <w:sz w:val="24"/>
          <w:highlight w:val="none"/>
        </w:rPr>
        <w:t xml:space="preserve">    第十四条</w:t>
      </w:r>
      <w:r>
        <w:rPr>
          <w:rFonts w:hint="eastAsia" w:ascii="宋体" w:hAnsi="Calibri" w:eastAsia="宋体" w:cs="Times New Roman"/>
          <w:sz w:val="24"/>
          <w:highlight w:val="none"/>
        </w:rPr>
        <w:t xml:space="preserve">  乙方应当保证其交付给甲方的研究开发成果不侵犯任何第三人的合法权益。如发生第三人指控甲方实施的技术侵权的，乙方应当在10个工作日内提供替代方案或退还甲方已支付的全部费用</w:t>
      </w:r>
      <w:r>
        <w:rPr>
          <w:rFonts w:hint="eastAsia" w:ascii="宋体" w:hAnsi="Calibri" w:eastAsia="宋体" w:cs="Times New Roman"/>
          <w:sz w:val="24"/>
        </w:rPr>
        <w:t>。</w:t>
      </w:r>
    </w:p>
    <w:p w14:paraId="69AC7FE6">
      <w:pPr>
        <w:spacing w:line="360" w:lineRule="auto"/>
        <w:rPr>
          <w:rFonts w:ascii="宋体" w:hAnsi="Calibri" w:eastAsia="宋体" w:cs="Times New Roman"/>
          <w:sz w:val="24"/>
        </w:rPr>
      </w:pPr>
    </w:p>
    <w:p w14:paraId="19B39058">
      <w:pPr>
        <w:spacing w:line="360" w:lineRule="auto"/>
        <w:rPr>
          <w:rFonts w:ascii="宋体" w:hAnsi="Calibri" w:eastAsia="宋体" w:cs="Times New Roman"/>
          <w:sz w:val="24"/>
        </w:rPr>
      </w:pPr>
      <w:r>
        <w:rPr>
          <w:rFonts w:hint="eastAsia" w:ascii="宋体" w:hAnsi="Calibri" w:eastAsia="宋体" w:cs="Times New Roman"/>
          <w:b/>
          <w:sz w:val="24"/>
        </w:rPr>
        <w:t xml:space="preserve">    第十五条</w:t>
      </w:r>
      <w:r>
        <w:rPr>
          <w:rFonts w:hint="eastAsia" w:ascii="宋体" w:hAnsi="Calibri" w:eastAsia="宋体" w:cs="Times New Roman"/>
          <w:sz w:val="24"/>
        </w:rPr>
        <w:t xml:space="preserve">  双方确定，因履行本合同所产生的研究开发成果及其相关知识产权权利归属，按下列第1种方式处理：</w:t>
      </w:r>
    </w:p>
    <w:p w14:paraId="7D9CCA63">
      <w:pPr>
        <w:spacing w:line="360" w:lineRule="auto"/>
        <w:ind w:firstLine="600" w:firstLineChars="250"/>
        <w:rPr>
          <w:rFonts w:ascii="宋体" w:hAnsi="Calibri" w:eastAsia="宋体" w:cs="Times New Roman"/>
          <w:sz w:val="24"/>
        </w:rPr>
      </w:pPr>
      <w:r>
        <w:rPr>
          <w:rFonts w:hint="eastAsia" w:ascii="宋体" w:hAnsi="Calibri" w:eastAsia="宋体" w:cs="Times New Roman"/>
          <w:sz w:val="24"/>
        </w:rPr>
        <w:t>1.双方享有申请专利的权利。</w:t>
      </w:r>
    </w:p>
    <w:p w14:paraId="363F23BF">
      <w:pPr>
        <w:spacing w:line="360" w:lineRule="auto"/>
        <w:ind w:firstLine="482"/>
        <w:rPr>
          <w:rFonts w:ascii="宋体" w:hAnsi="Calibri" w:eastAsia="宋体" w:cs="Times New Roman"/>
          <w:sz w:val="24"/>
        </w:rPr>
      </w:pPr>
      <w:r>
        <w:rPr>
          <w:rFonts w:hint="eastAsia" w:ascii="宋体" w:hAnsi="Calibri" w:eastAsia="宋体" w:cs="Times New Roman"/>
          <w:sz w:val="24"/>
        </w:rPr>
        <w:t>专利权取得后的使用和有关利益分配方式如下：共有专利权时，双方行使权利应书面协商一致，一方不同意申请专利的，另一方不得单独申请。若需转让或许可第三方使用，须提前30日书面通知对方，且对方在同等条件下享有优先受让/被许可权。</w:t>
      </w:r>
    </w:p>
    <w:p w14:paraId="07EB8A5F">
      <w:pPr>
        <w:spacing w:line="360" w:lineRule="auto"/>
        <w:ind w:firstLine="482"/>
        <w:rPr>
          <w:rFonts w:ascii="宋体" w:hAnsi="Calibri" w:eastAsia="宋体" w:cs="Times New Roman"/>
          <w:sz w:val="24"/>
        </w:rPr>
      </w:pPr>
      <w:r>
        <w:rPr>
          <w:rFonts w:hint="eastAsia" w:ascii="宋体" w:hAnsi="Calibri" w:eastAsia="宋体" w:cs="Times New Roman"/>
          <w:sz w:val="24"/>
        </w:rPr>
        <w:t>双方对本合同有关的知识产权权利归属特别约定如下：相关知识产权（包括专利权、著作权等）需由乙方在甲方的技术指导下完成，产生的知识产权归甲、乙双方共同所有。</w:t>
      </w:r>
    </w:p>
    <w:p w14:paraId="72281462">
      <w:pPr>
        <w:rPr>
          <w:rFonts w:ascii="宋体" w:hAnsi="Calibri" w:eastAsia="宋体" w:cs="Times New Roman"/>
          <w:sz w:val="24"/>
        </w:rPr>
      </w:pPr>
    </w:p>
    <w:p w14:paraId="06A2E473">
      <w:pPr>
        <w:spacing w:line="360" w:lineRule="auto"/>
        <w:rPr>
          <w:rFonts w:ascii="宋体" w:hAnsi="Calibri" w:eastAsia="宋体" w:cs="Times New Roman"/>
          <w:sz w:val="24"/>
        </w:rPr>
      </w:pPr>
      <w:r>
        <w:rPr>
          <w:rFonts w:hint="eastAsia" w:ascii="宋体" w:hAnsi="Calibri" w:eastAsia="宋体" w:cs="Times New Roman"/>
          <w:b/>
          <w:sz w:val="24"/>
        </w:rPr>
        <w:t xml:space="preserve">    第十六条</w:t>
      </w:r>
      <w:r>
        <w:rPr>
          <w:rFonts w:hint="eastAsia" w:ascii="宋体" w:hAnsi="Calibri" w:eastAsia="宋体" w:cs="Times New Roman"/>
          <w:sz w:val="24"/>
        </w:rPr>
        <w:t xml:space="preserve">  乙方不得在向甲方交付研究开发成果之前，自行研究将开发成果转让给第三人。</w:t>
      </w:r>
    </w:p>
    <w:p w14:paraId="3222B22C">
      <w:pPr>
        <w:spacing w:line="360" w:lineRule="auto"/>
        <w:rPr>
          <w:rFonts w:ascii="宋体" w:hAnsi="Calibri" w:eastAsia="宋体" w:cs="Times New Roman"/>
          <w:sz w:val="24"/>
        </w:rPr>
      </w:pPr>
    </w:p>
    <w:p w14:paraId="781A03C5">
      <w:pPr>
        <w:spacing w:line="360" w:lineRule="auto"/>
        <w:rPr>
          <w:rFonts w:ascii="宋体" w:hAnsi="Calibri" w:eastAsia="宋体" w:cs="Times New Roman"/>
          <w:sz w:val="24"/>
        </w:rPr>
      </w:pPr>
      <w:r>
        <w:rPr>
          <w:rFonts w:hint="eastAsia" w:ascii="宋体" w:hAnsi="Calibri" w:eastAsia="宋体" w:cs="Times New Roman"/>
          <w:b/>
          <w:sz w:val="24"/>
        </w:rPr>
        <w:t xml:space="preserve">    第十七条  </w:t>
      </w:r>
      <w:r>
        <w:rPr>
          <w:rFonts w:hint="eastAsia" w:ascii="宋体" w:hAnsi="Calibri" w:eastAsia="宋体" w:cs="Times New Roman"/>
          <w:sz w:val="24"/>
        </w:rPr>
        <w:t>乙方完成本合同项目的研究开发人员享有在有关技术成果文件上写明技术成果完成者的权利和取得有关荣誉证书、奖励的权利。</w:t>
      </w:r>
    </w:p>
    <w:p w14:paraId="190F88D7">
      <w:pPr>
        <w:spacing w:line="360" w:lineRule="auto"/>
        <w:rPr>
          <w:rFonts w:ascii="宋体" w:hAnsi="Calibri" w:eastAsia="宋体" w:cs="Times New Roman"/>
          <w:sz w:val="24"/>
        </w:rPr>
      </w:pPr>
    </w:p>
    <w:p w14:paraId="040165B8">
      <w:pPr>
        <w:spacing w:line="360" w:lineRule="auto"/>
        <w:rPr>
          <w:rFonts w:ascii="宋体" w:hAnsi="Calibri" w:eastAsia="宋体" w:cs="Times New Roman"/>
          <w:sz w:val="24"/>
        </w:rPr>
      </w:pPr>
      <w:r>
        <w:rPr>
          <w:rFonts w:hint="eastAsia" w:ascii="宋体" w:hAnsi="Calibri" w:eastAsia="宋体" w:cs="Times New Roman"/>
          <w:b/>
          <w:sz w:val="24"/>
        </w:rPr>
        <w:t xml:space="preserve">    第十八条</w:t>
      </w:r>
      <w:r>
        <w:rPr>
          <w:rFonts w:hint="eastAsia" w:ascii="宋体" w:hAnsi="Calibri" w:eastAsia="宋体" w:cs="Times New Roman"/>
          <w:sz w:val="24"/>
        </w:rPr>
        <w:t xml:space="preserve">  乙方利用研究开发经费所购置与研究开发工作有关的设备、器材、资料等财产，归乙方所有。</w:t>
      </w:r>
    </w:p>
    <w:p w14:paraId="44A7ED81">
      <w:pPr>
        <w:spacing w:line="360" w:lineRule="auto"/>
        <w:rPr>
          <w:rFonts w:ascii="宋体" w:hAnsi="Calibri" w:eastAsia="宋体" w:cs="Times New Roman"/>
          <w:sz w:val="24"/>
        </w:rPr>
      </w:pPr>
    </w:p>
    <w:p w14:paraId="794F4766">
      <w:pPr>
        <w:numPr>
          <w:ilvl w:val="0"/>
          <w:numId w:val="4"/>
        </w:numPr>
        <w:spacing w:line="360" w:lineRule="auto"/>
        <w:rPr>
          <w:rFonts w:ascii="宋体" w:hAnsi="Calibri" w:eastAsia="宋体" w:cs="Times New Roman"/>
          <w:sz w:val="24"/>
        </w:rPr>
      </w:pPr>
      <w:r>
        <w:rPr>
          <w:rFonts w:hint="eastAsia" w:ascii="宋体" w:hAnsi="Calibri" w:eastAsia="宋体" w:cs="Times New Roman"/>
          <w:sz w:val="24"/>
        </w:rPr>
        <w:t>双方确定，乙方应在向甲方交付研究开发成果后，根据甲方的</w:t>
      </w:r>
    </w:p>
    <w:p w14:paraId="71731694">
      <w:pPr>
        <w:spacing w:line="360" w:lineRule="auto"/>
        <w:rPr>
          <w:rFonts w:ascii="宋体" w:hAnsi="Times New Roman" w:eastAsia="宋体" w:cs="Times New Roman"/>
          <w:sz w:val="24"/>
          <w:szCs w:val="20"/>
        </w:rPr>
      </w:pPr>
      <w:r>
        <w:rPr>
          <w:rFonts w:hint="eastAsia" w:ascii="宋体" w:hAnsi="Times New Roman" w:eastAsia="宋体" w:cs="Times New Roman"/>
          <w:sz w:val="24"/>
          <w:szCs w:val="20"/>
        </w:rPr>
        <w:t>请求，为甲方指定人员提供技术指导和培训，或提供与使用该研究开发成果相关的技术服务。</w:t>
      </w:r>
    </w:p>
    <w:p w14:paraId="43924726">
      <w:pPr>
        <w:spacing w:line="360" w:lineRule="auto"/>
        <w:rPr>
          <w:rFonts w:ascii="宋体" w:hAnsi="Calibri" w:eastAsia="宋体" w:cs="Times New Roman"/>
          <w:sz w:val="24"/>
          <w:u w:val="single"/>
        </w:rPr>
      </w:pPr>
      <w:r>
        <w:rPr>
          <w:rFonts w:hint="eastAsia" w:ascii="宋体" w:hAnsi="Calibri" w:eastAsia="宋体" w:cs="Times New Roman"/>
          <w:sz w:val="24"/>
        </w:rPr>
        <w:t xml:space="preserve">    1．技术服务和指导内容：指导甲方主要参与人员完成可视化系统部署、运行及数据接入过程。同时，指导甲方完成按需修改配置文件，修改节点、地形等数据内容功能。</w:t>
      </w:r>
    </w:p>
    <w:p w14:paraId="378960F3">
      <w:pPr>
        <w:spacing w:line="360" w:lineRule="auto"/>
        <w:rPr>
          <w:rFonts w:ascii="宋体" w:hAnsi="Calibri" w:eastAsia="宋体" w:cs="Times New Roman"/>
          <w:sz w:val="24"/>
          <w:u w:val="single"/>
        </w:rPr>
      </w:pPr>
      <w:r>
        <w:rPr>
          <w:rFonts w:hint="eastAsia" w:ascii="宋体" w:hAnsi="Calibri" w:eastAsia="宋体" w:cs="Times New Roman"/>
          <w:sz w:val="24"/>
        </w:rPr>
        <w:t xml:space="preserve">    2．地点和方式：线上会议形式，必要前往甲方进行线下指导及调试。 </w:t>
      </w:r>
    </w:p>
    <w:p w14:paraId="686FCC20">
      <w:pPr>
        <w:spacing w:line="360" w:lineRule="auto"/>
        <w:rPr>
          <w:rFonts w:ascii="宋体" w:hAnsi="Calibri" w:eastAsia="宋体" w:cs="Times New Roman"/>
          <w:sz w:val="24"/>
          <w:u w:val="single"/>
        </w:rPr>
      </w:pPr>
      <w:r>
        <w:rPr>
          <w:rFonts w:hint="eastAsia" w:ascii="宋体" w:hAnsi="Calibri" w:eastAsia="宋体" w:cs="Times New Roman"/>
          <w:sz w:val="24"/>
        </w:rPr>
        <w:t xml:space="preserve">    3．费用及支付方式：详见合同第五条。</w:t>
      </w:r>
    </w:p>
    <w:p w14:paraId="2E623F0E">
      <w:pPr>
        <w:spacing w:line="360" w:lineRule="auto"/>
        <w:rPr>
          <w:rFonts w:ascii="宋体" w:hAnsi="Calibri" w:eastAsia="宋体" w:cs="Times New Roman"/>
          <w:sz w:val="24"/>
        </w:rPr>
      </w:pPr>
      <w:r>
        <w:rPr>
          <w:rFonts w:hint="eastAsia" w:ascii="宋体" w:hAnsi="Calibri" w:eastAsia="宋体" w:cs="Times New Roman"/>
          <w:b/>
          <w:sz w:val="24"/>
        </w:rPr>
        <w:t xml:space="preserve">    第二十条</w:t>
      </w:r>
      <w:r>
        <w:rPr>
          <w:rFonts w:hint="eastAsia" w:ascii="宋体" w:hAnsi="Calibri" w:eastAsia="宋体" w:cs="Times New Roman"/>
          <w:sz w:val="24"/>
        </w:rPr>
        <w:t xml:space="preserve">  双方确定：任何一方违反本合同约定，造成研究开发工作停滞、延误或失败的，按以下约定承担违约责任：</w:t>
      </w:r>
    </w:p>
    <w:p w14:paraId="41F4BB55">
      <w:pPr>
        <w:spacing w:line="360" w:lineRule="auto"/>
        <w:ind w:firstLine="480"/>
        <w:rPr>
          <w:rFonts w:ascii="宋体" w:hAnsi="Calibri" w:eastAsia="宋体" w:cs="Times New Roman"/>
          <w:sz w:val="24"/>
        </w:rPr>
      </w:pPr>
      <w:r>
        <w:rPr>
          <w:rFonts w:hint="eastAsia" w:ascii="宋体" w:hAnsi="Calibri" w:eastAsia="宋体" w:cs="Times New Roman"/>
          <w:sz w:val="24"/>
        </w:rPr>
        <w:t>1．甲方违反本合同第五条约定，应当每逾期一天，应向乙方支付逾期付款金额0.03%的违约金。</w:t>
      </w:r>
    </w:p>
    <w:p w14:paraId="67F5E926">
      <w:pPr>
        <w:spacing w:line="360" w:lineRule="auto"/>
        <w:ind w:firstLine="480"/>
        <w:rPr>
          <w:rFonts w:ascii="宋体" w:hAnsi="Calibri" w:eastAsia="宋体" w:cs="Times New Roman"/>
          <w:sz w:val="24"/>
        </w:rPr>
      </w:pPr>
      <w:r>
        <w:rPr>
          <w:rFonts w:hint="eastAsia" w:ascii="宋体" w:hAnsi="Calibri" w:eastAsia="宋体" w:cs="Times New Roman"/>
          <w:sz w:val="24"/>
        </w:rPr>
        <w:t>2．乙方违反本合同第十二条约定，应当每逾期一天，应向甲方支付项目总费用0.03%的违约金（累计金额最高不超过合同额的10%）。因乙方原因导致项目功能未达到约定标准，乙方应负责整改，直至达到要求，并承担由此给甲方造成的损失。</w:t>
      </w:r>
    </w:p>
    <w:p w14:paraId="6D5A7361">
      <w:pPr>
        <w:spacing w:line="360" w:lineRule="auto"/>
        <w:ind w:firstLine="480"/>
        <w:rPr>
          <w:rFonts w:ascii="宋体" w:hAnsi="Calibri" w:eastAsia="宋体" w:cs="Times New Roman"/>
          <w:sz w:val="24"/>
        </w:rPr>
      </w:pPr>
      <w:r>
        <w:rPr>
          <w:rFonts w:hint="eastAsia" w:ascii="宋体" w:hAnsi="Calibri" w:eastAsia="宋体" w:cs="Times New Roman"/>
          <w:sz w:val="24"/>
        </w:rPr>
        <w:t>3．任何一方违反本合同第十一条约定，应当承担相应的赔偿责任。</w:t>
      </w:r>
    </w:p>
    <w:p w14:paraId="42093757">
      <w:pPr>
        <w:rPr>
          <w:rFonts w:ascii="宋体" w:hAnsi="Calibri" w:eastAsia="宋体" w:cs="Times New Roman"/>
          <w:sz w:val="24"/>
        </w:rPr>
      </w:pPr>
    </w:p>
    <w:p w14:paraId="7AB29139">
      <w:pPr>
        <w:spacing w:line="360" w:lineRule="auto"/>
        <w:rPr>
          <w:rFonts w:ascii="宋体" w:hAnsi="Calibri" w:eastAsia="宋体" w:cs="Times New Roman"/>
          <w:sz w:val="24"/>
        </w:rPr>
      </w:pPr>
      <w:r>
        <w:rPr>
          <w:rFonts w:hint="eastAsia" w:ascii="宋体" w:hAnsi="Calibri" w:eastAsia="宋体" w:cs="Times New Roman"/>
          <w:b/>
          <w:sz w:val="24"/>
        </w:rPr>
        <w:t xml:space="preserve">    第二十一条 </w:t>
      </w:r>
      <w:r>
        <w:rPr>
          <w:rFonts w:hint="eastAsia" w:ascii="宋体" w:hAnsi="Calibri" w:eastAsia="宋体" w:cs="Times New Roman"/>
          <w:sz w:val="24"/>
        </w:rPr>
        <w:t xml:space="preserve"> 双方确定，甲方有权利用乙方按照本合同约定提供的研究开</w:t>
      </w:r>
    </w:p>
    <w:p w14:paraId="7B785D27">
      <w:pPr>
        <w:spacing w:line="360" w:lineRule="auto"/>
        <w:rPr>
          <w:rFonts w:ascii="宋体" w:hAnsi="Calibri" w:eastAsia="宋体" w:cs="Times New Roman"/>
          <w:sz w:val="24"/>
        </w:rPr>
      </w:pPr>
      <w:r>
        <w:rPr>
          <w:rFonts w:hint="eastAsia" w:ascii="宋体" w:hAnsi="Calibri" w:eastAsia="宋体" w:cs="Times New Roman"/>
          <w:sz w:val="24"/>
        </w:rPr>
        <w:t>发成果，进行后续改进。由此产生的具有实质性或创造性技术进步特征的新的</w:t>
      </w:r>
    </w:p>
    <w:p w14:paraId="4D171B1E">
      <w:pPr>
        <w:spacing w:line="360" w:lineRule="auto"/>
        <w:rPr>
          <w:rFonts w:ascii="宋体" w:hAnsi="Calibri" w:eastAsia="宋体" w:cs="Times New Roman"/>
          <w:sz w:val="24"/>
        </w:rPr>
      </w:pPr>
      <w:r>
        <w:rPr>
          <w:rFonts w:hint="eastAsia" w:ascii="宋体" w:hAnsi="Calibri" w:eastAsia="宋体" w:cs="Times New Roman"/>
          <w:sz w:val="24"/>
        </w:rPr>
        <w:t>技术成果及其权利归属，由甲方享有。具体相关利益的分配办法如下：归甲方所有。</w:t>
      </w:r>
    </w:p>
    <w:p w14:paraId="3F9643F4">
      <w:pPr>
        <w:spacing w:line="360" w:lineRule="auto"/>
        <w:ind w:firstLine="480"/>
        <w:rPr>
          <w:rFonts w:ascii="宋体" w:hAnsi="Calibri" w:eastAsia="宋体" w:cs="Times New Roman"/>
          <w:sz w:val="24"/>
        </w:rPr>
      </w:pPr>
      <w:r>
        <w:rPr>
          <w:rFonts w:hint="eastAsia" w:ascii="宋体" w:hAnsi="Calibri" w:eastAsia="宋体" w:cs="Times New Roman"/>
          <w:sz w:val="24"/>
        </w:rPr>
        <w:t>乙方有权在完成本合同约定的研究开发工作后，利用该项目研究开发成果</w:t>
      </w:r>
    </w:p>
    <w:p w14:paraId="28943C23">
      <w:pPr>
        <w:spacing w:line="360" w:lineRule="auto"/>
        <w:rPr>
          <w:rFonts w:ascii="宋体" w:hAnsi="Calibri" w:eastAsia="宋体" w:cs="Times New Roman"/>
          <w:sz w:val="24"/>
        </w:rPr>
      </w:pPr>
      <w:r>
        <w:rPr>
          <w:rFonts w:hint="eastAsia" w:ascii="宋体" w:hAnsi="Calibri" w:eastAsia="宋体" w:cs="Times New Roman"/>
          <w:sz w:val="24"/>
        </w:rPr>
        <w:t>进行后续改进。由此产生的具有实质性或创造性技术进步特征的新的技术成果</w:t>
      </w:r>
    </w:p>
    <w:p w14:paraId="79633093">
      <w:pPr>
        <w:spacing w:line="360" w:lineRule="auto"/>
        <w:rPr>
          <w:rFonts w:ascii="宋体" w:hAnsi="Calibri" w:eastAsia="宋体" w:cs="Times New Roman"/>
          <w:sz w:val="24"/>
        </w:rPr>
      </w:pPr>
      <w:r>
        <w:rPr>
          <w:rFonts w:hint="eastAsia" w:ascii="宋体" w:hAnsi="Calibri" w:eastAsia="宋体" w:cs="Times New Roman"/>
          <w:sz w:val="24"/>
        </w:rPr>
        <w:t>，乙方享有。具体相关利益的分配办法如下：归乙方所有。</w:t>
      </w:r>
    </w:p>
    <w:p w14:paraId="20D85DEF">
      <w:pPr>
        <w:spacing w:line="360" w:lineRule="auto"/>
        <w:rPr>
          <w:rFonts w:ascii="宋体" w:hAnsi="Calibri" w:eastAsia="宋体" w:cs="Times New Roman"/>
          <w:sz w:val="24"/>
        </w:rPr>
      </w:pPr>
    </w:p>
    <w:p w14:paraId="0ECFF0AE">
      <w:pPr>
        <w:spacing w:line="360" w:lineRule="auto"/>
        <w:rPr>
          <w:rFonts w:ascii="宋体" w:hAnsi="Calibri" w:eastAsia="宋体" w:cs="Times New Roman"/>
          <w:sz w:val="24"/>
        </w:rPr>
      </w:pPr>
      <w:r>
        <w:rPr>
          <w:rFonts w:hint="eastAsia" w:ascii="宋体" w:hAnsi="Calibri" w:eastAsia="宋体" w:cs="Times New Roman"/>
          <w:b/>
          <w:sz w:val="24"/>
        </w:rPr>
        <w:t xml:space="preserve">    第二十二条 </w:t>
      </w:r>
      <w:r>
        <w:rPr>
          <w:rFonts w:hint="eastAsia" w:ascii="宋体" w:hAnsi="Calibri" w:eastAsia="宋体" w:cs="Times New Roman"/>
          <w:sz w:val="24"/>
        </w:rPr>
        <w:t xml:space="preserve"> 双方确定，在本合同有效期内，甲方指定刘家佳为甲方项目联系人，乙方指定任仕康为乙方项目联系人。项目联系人承担以下责任：</w:t>
      </w:r>
    </w:p>
    <w:p w14:paraId="72B7E5B4">
      <w:pPr>
        <w:spacing w:line="360" w:lineRule="auto"/>
        <w:rPr>
          <w:rFonts w:ascii="宋体" w:hAnsi="Calibri" w:eastAsia="宋体" w:cs="Times New Roman"/>
          <w:sz w:val="24"/>
          <w:u w:val="single"/>
        </w:rPr>
      </w:pPr>
      <w:r>
        <w:rPr>
          <w:rFonts w:hint="eastAsia" w:ascii="宋体" w:hAnsi="Calibri" w:eastAsia="宋体" w:cs="Times New Roman"/>
          <w:sz w:val="24"/>
        </w:rPr>
        <w:t xml:space="preserve">    1．负责双方日常事务对接，包括但不限于技术资料传递、进度汇报、问题反馈等；</w:t>
      </w:r>
    </w:p>
    <w:p w14:paraId="2490C8D1">
      <w:pPr>
        <w:spacing w:line="360" w:lineRule="auto"/>
        <w:rPr>
          <w:rFonts w:ascii="宋体" w:hAnsi="Calibri" w:eastAsia="宋体" w:cs="Times New Roman"/>
          <w:sz w:val="24"/>
        </w:rPr>
      </w:pPr>
      <w:r>
        <w:rPr>
          <w:rFonts w:hint="eastAsia" w:ascii="宋体" w:hAnsi="Calibri" w:eastAsia="宋体" w:cs="Times New Roman"/>
          <w:sz w:val="24"/>
        </w:rPr>
        <w:t xml:space="preserve">    2．及时识别项目执行中的技术、进度或合规风险，并在发现后3个工作日内以书面形式正式告知对方；</w:t>
      </w:r>
    </w:p>
    <w:p w14:paraId="5ACCAD85">
      <w:pPr>
        <w:spacing w:line="360" w:lineRule="auto"/>
        <w:rPr>
          <w:rFonts w:ascii="宋体" w:hAnsi="Calibri" w:eastAsia="宋体" w:cs="Times New Roman"/>
          <w:sz w:val="24"/>
        </w:rPr>
      </w:pPr>
      <w:r>
        <w:rPr>
          <w:rFonts w:hint="eastAsia" w:ascii="宋体" w:hAnsi="Calibri" w:eastAsia="宋体" w:cs="Times New Roman"/>
          <w:sz w:val="24"/>
        </w:rPr>
        <w:t xml:space="preserve">    3．协调双方资源解决突发问题，避免损失扩大。</w:t>
      </w:r>
    </w:p>
    <w:p w14:paraId="7929A1AE">
      <w:pPr>
        <w:spacing w:line="360" w:lineRule="auto"/>
        <w:rPr>
          <w:rFonts w:ascii="宋体" w:hAnsi="Calibri" w:eastAsia="宋体" w:cs="Times New Roman"/>
          <w:sz w:val="24"/>
        </w:rPr>
      </w:pPr>
      <w:r>
        <w:rPr>
          <w:rFonts w:hint="eastAsia" w:ascii="宋体" w:hAnsi="Calibri" w:eastAsia="宋体" w:cs="Times New Roman"/>
          <w:sz w:val="24"/>
        </w:rPr>
        <w:t xml:space="preserve">    一方变更项目联系人的，应及时以书面形式通知另一方。未及时通知并影响本合同履行或造成损失的，应承担相应的责任。</w:t>
      </w:r>
    </w:p>
    <w:p w14:paraId="4D2C77C3">
      <w:pPr>
        <w:spacing w:line="360" w:lineRule="auto"/>
        <w:rPr>
          <w:rFonts w:ascii="宋体" w:hAnsi="Calibri" w:eastAsia="宋体" w:cs="Times New Roman"/>
          <w:sz w:val="24"/>
        </w:rPr>
      </w:pPr>
    </w:p>
    <w:p w14:paraId="3DFB4EE1">
      <w:pPr>
        <w:spacing w:line="360" w:lineRule="auto"/>
        <w:rPr>
          <w:rFonts w:ascii="宋体" w:hAnsi="Calibri" w:eastAsia="宋体" w:cs="Times New Roman"/>
          <w:sz w:val="24"/>
        </w:rPr>
      </w:pPr>
      <w:r>
        <w:rPr>
          <w:rFonts w:hint="eastAsia" w:ascii="宋体" w:hAnsi="Calibri" w:eastAsia="宋体" w:cs="Times New Roman"/>
          <w:b/>
          <w:sz w:val="24"/>
        </w:rPr>
        <w:t xml:space="preserve">    第二十三条 </w:t>
      </w:r>
      <w:r>
        <w:rPr>
          <w:rFonts w:hint="eastAsia" w:ascii="宋体" w:hAnsi="Calibri" w:eastAsia="宋体" w:cs="Times New Roman"/>
          <w:sz w:val="24"/>
        </w:rPr>
        <w:t xml:space="preserve"> 双方确定，出现下列情形，致使本合同的履行成为不必要或不可能的，一方可以通知另一方解除本合同；</w:t>
      </w:r>
    </w:p>
    <w:p w14:paraId="47B69EBE">
      <w:pPr>
        <w:spacing w:line="360" w:lineRule="auto"/>
        <w:rPr>
          <w:rFonts w:ascii="宋体" w:hAnsi="Calibri" w:eastAsia="宋体" w:cs="Times New Roman"/>
          <w:sz w:val="24"/>
        </w:rPr>
      </w:pPr>
      <w:r>
        <w:rPr>
          <w:rFonts w:hint="eastAsia" w:ascii="宋体" w:hAnsi="Calibri" w:eastAsia="宋体" w:cs="Times New Roman"/>
          <w:sz w:val="24"/>
        </w:rPr>
        <w:t xml:space="preserve">    1．因发生不可抗力或技术风险；</w:t>
      </w:r>
    </w:p>
    <w:p w14:paraId="207950EA">
      <w:pPr>
        <w:spacing w:line="360" w:lineRule="auto"/>
        <w:ind w:firstLine="480"/>
        <w:rPr>
          <w:rFonts w:ascii="宋体" w:hAnsi="Calibri" w:eastAsia="宋体" w:cs="Times New Roman"/>
          <w:sz w:val="24"/>
          <w:u w:val="single"/>
        </w:rPr>
      </w:pPr>
      <w:r>
        <w:rPr>
          <w:rFonts w:hint="eastAsia" w:ascii="宋体" w:hAnsi="Calibri" w:eastAsia="宋体" w:cs="Times New Roman"/>
          <w:sz w:val="24"/>
        </w:rPr>
        <w:t>2．一方发生</w:t>
      </w:r>
      <w:r>
        <w:rPr>
          <w:rFonts w:ascii="宋体" w:hAnsi="Calibri" w:eastAsia="宋体" w:cs="Times New Roman"/>
          <w:sz w:val="24"/>
        </w:rPr>
        <w:t>实质性违反保密义务、知识产权条款</w:t>
      </w:r>
      <w:r>
        <w:rPr>
          <w:rFonts w:hint="eastAsia" w:ascii="宋体" w:hAnsi="Calibri" w:eastAsia="宋体" w:cs="Times New Roman"/>
          <w:sz w:val="24"/>
        </w:rPr>
        <w:t>等严重违约行为；</w:t>
      </w:r>
    </w:p>
    <w:p w14:paraId="04FB152E">
      <w:pPr>
        <w:spacing w:line="360" w:lineRule="auto"/>
        <w:ind w:firstLine="480"/>
        <w:rPr>
          <w:rFonts w:ascii="宋体" w:hAnsi="Calibri" w:eastAsia="宋体" w:cs="Times New Roman"/>
          <w:sz w:val="24"/>
          <w:u w:val="single"/>
        </w:rPr>
      </w:pPr>
    </w:p>
    <w:p w14:paraId="6921E4D1">
      <w:pPr>
        <w:spacing w:line="360" w:lineRule="auto"/>
        <w:rPr>
          <w:rFonts w:ascii="宋体" w:hAnsi="Calibri" w:eastAsia="宋体" w:cs="Times New Roman"/>
          <w:sz w:val="24"/>
        </w:rPr>
      </w:pPr>
      <w:r>
        <w:rPr>
          <w:rFonts w:hint="eastAsia" w:ascii="宋体" w:hAnsi="Calibri" w:eastAsia="宋体" w:cs="Times New Roman"/>
          <w:sz w:val="24"/>
        </w:rPr>
        <w:t xml:space="preserve">    </w:t>
      </w:r>
      <w:r>
        <w:rPr>
          <w:rFonts w:hint="eastAsia" w:ascii="宋体" w:hAnsi="Calibri" w:eastAsia="宋体" w:cs="Times New Roman"/>
          <w:b/>
          <w:sz w:val="24"/>
        </w:rPr>
        <w:t>第二十四条</w:t>
      </w:r>
      <w:r>
        <w:rPr>
          <w:rFonts w:hint="eastAsia" w:ascii="宋体" w:hAnsi="Calibri" w:eastAsia="宋体" w:cs="Times New Roman"/>
          <w:sz w:val="24"/>
        </w:rPr>
        <w:t xml:space="preserve">  双方因履行本合同而发生的争议，应协商、调解解决。协商、调解不成的，确定按以下第2种方式处理：</w:t>
      </w:r>
    </w:p>
    <w:p w14:paraId="13078E3A">
      <w:pPr>
        <w:spacing w:line="360" w:lineRule="auto"/>
        <w:rPr>
          <w:rFonts w:ascii="宋体" w:hAnsi="Calibri" w:eastAsia="宋体" w:cs="Times New Roman"/>
          <w:sz w:val="24"/>
        </w:rPr>
      </w:pPr>
      <w:r>
        <w:rPr>
          <w:rFonts w:hint="eastAsia" w:ascii="宋体" w:hAnsi="Calibri" w:eastAsia="宋体" w:cs="Times New Roman"/>
          <w:sz w:val="24"/>
        </w:rPr>
        <w:t xml:space="preserve">    1．提交仲裁委员会仲裁；</w:t>
      </w:r>
    </w:p>
    <w:p w14:paraId="23E81260">
      <w:pPr>
        <w:spacing w:line="360" w:lineRule="auto"/>
        <w:rPr>
          <w:rFonts w:ascii="宋体" w:hAnsi="Calibri" w:eastAsia="宋体" w:cs="Times New Roman"/>
          <w:sz w:val="24"/>
        </w:rPr>
      </w:pPr>
      <w:r>
        <w:rPr>
          <w:rFonts w:hint="eastAsia" w:ascii="宋体" w:hAnsi="Calibri" w:eastAsia="宋体" w:cs="Times New Roman"/>
          <w:sz w:val="24"/>
        </w:rPr>
        <w:t xml:space="preserve">    2．依法向人民法院起诉。</w:t>
      </w:r>
    </w:p>
    <w:p w14:paraId="1915B569">
      <w:pPr>
        <w:spacing w:line="360" w:lineRule="auto"/>
        <w:rPr>
          <w:rFonts w:ascii="宋体" w:hAnsi="Calibri" w:eastAsia="宋体" w:cs="Times New Roman"/>
          <w:sz w:val="24"/>
        </w:rPr>
      </w:pPr>
    </w:p>
    <w:p w14:paraId="70DD2A06">
      <w:pPr>
        <w:spacing w:line="360" w:lineRule="auto"/>
        <w:rPr>
          <w:rFonts w:ascii="宋体" w:hAnsi="Calibri" w:eastAsia="宋体" w:cs="Times New Roman"/>
          <w:sz w:val="24"/>
        </w:rPr>
      </w:pPr>
      <w:r>
        <w:rPr>
          <w:rFonts w:hint="eastAsia" w:ascii="宋体" w:hAnsi="Calibri" w:eastAsia="宋体" w:cs="Times New Roman"/>
          <w:b/>
          <w:sz w:val="24"/>
        </w:rPr>
        <w:t xml:space="preserve">    第二十五条</w:t>
      </w:r>
      <w:r>
        <w:rPr>
          <w:rFonts w:hint="eastAsia" w:ascii="宋体" w:hAnsi="Calibri" w:eastAsia="宋体" w:cs="Times New Roman"/>
          <w:sz w:val="24"/>
        </w:rPr>
        <w:t xml:space="preserve">  双方确定：本合同及相关附件中所涉及的有关名词和技术术语，其定义和解译如下：</w:t>
      </w:r>
    </w:p>
    <w:p w14:paraId="20F4E920">
      <w:pPr>
        <w:spacing w:line="360" w:lineRule="auto"/>
        <w:rPr>
          <w:rFonts w:ascii="宋体" w:hAnsi="Calibri" w:eastAsia="宋体" w:cs="Times New Roman"/>
          <w:sz w:val="24"/>
        </w:rPr>
      </w:pPr>
      <w:r>
        <w:rPr>
          <w:rFonts w:hint="eastAsia" w:ascii="宋体" w:hAnsi="Calibri" w:eastAsia="宋体" w:cs="Times New Roman"/>
          <w:sz w:val="24"/>
        </w:rPr>
        <w:t xml:space="preserve">    1．无</w:t>
      </w:r>
    </w:p>
    <w:p w14:paraId="6EA02765">
      <w:pPr>
        <w:spacing w:line="360" w:lineRule="auto"/>
        <w:rPr>
          <w:rFonts w:ascii="宋体" w:hAnsi="Calibri" w:eastAsia="宋体" w:cs="Times New Roman"/>
          <w:sz w:val="24"/>
        </w:rPr>
      </w:pPr>
    </w:p>
    <w:p w14:paraId="600A15F1">
      <w:pPr>
        <w:spacing w:line="360" w:lineRule="auto"/>
        <w:rPr>
          <w:rFonts w:ascii="宋体" w:hAnsi="Calibri" w:eastAsia="宋体" w:cs="Times New Roman"/>
          <w:sz w:val="24"/>
        </w:rPr>
      </w:pPr>
      <w:r>
        <w:rPr>
          <w:rFonts w:hint="eastAsia" w:ascii="宋体" w:hAnsi="Calibri" w:eastAsia="宋体" w:cs="Times New Roman"/>
          <w:b/>
          <w:sz w:val="24"/>
        </w:rPr>
        <w:t xml:space="preserve">    第二十六条 </w:t>
      </w:r>
      <w:r>
        <w:rPr>
          <w:rFonts w:hint="eastAsia" w:ascii="宋体" w:hAnsi="Calibri" w:eastAsia="宋体" w:cs="Times New Roman"/>
          <w:sz w:val="24"/>
        </w:rPr>
        <w:t xml:space="preserve"> 与履行本合同有关的下列技术文件，经双方以无方式确认后，为本合同的组成部分：</w:t>
      </w:r>
    </w:p>
    <w:p w14:paraId="06B5680C">
      <w:pPr>
        <w:spacing w:line="360" w:lineRule="auto"/>
        <w:ind w:firstLine="480"/>
        <w:rPr>
          <w:rFonts w:ascii="宋体" w:hAnsi="Calibri" w:eastAsia="宋体" w:cs="Times New Roman"/>
          <w:sz w:val="24"/>
        </w:rPr>
      </w:pPr>
      <w:r>
        <w:rPr>
          <w:rFonts w:hint="eastAsia" w:ascii="宋体" w:hAnsi="Calibri" w:eastAsia="宋体" w:cs="Times New Roman"/>
          <w:sz w:val="24"/>
        </w:rPr>
        <w:t>1．技术背景资料：无；</w:t>
      </w:r>
    </w:p>
    <w:p w14:paraId="608A4E06">
      <w:pPr>
        <w:spacing w:line="360" w:lineRule="auto"/>
        <w:rPr>
          <w:rFonts w:ascii="宋体" w:hAnsi="Calibri" w:eastAsia="宋体" w:cs="Times New Roman"/>
          <w:sz w:val="24"/>
        </w:rPr>
      </w:pPr>
      <w:r>
        <w:rPr>
          <w:rFonts w:hint="eastAsia" w:ascii="宋体" w:hAnsi="Calibri" w:eastAsia="宋体" w:cs="Times New Roman"/>
          <w:sz w:val="24"/>
        </w:rPr>
        <w:t xml:space="preserve">    2．可行性论证报告：无；</w:t>
      </w:r>
    </w:p>
    <w:p w14:paraId="1790A343">
      <w:pPr>
        <w:spacing w:line="360" w:lineRule="auto"/>
        <w:rPr>
          <w:rFonts w:ascii="宋体" w:hAnsi="Calibri" w:eastAsia="宋体" w:cs="Times New Roman"/>
          <w:sz w:val="24"/>
        </w:rPr>
      </w:pPr>
      <w:r>
        <w:rPr>
          <w:rFonts w:hint="eastAsia" w:ascii="宋体" w:hAnsi="Calibri" w:eastAsia="宋体" w:cs="Times New Roman"/>
          <w:sz w:val="24"/>
        </w:rPr>
        <w:t xml:space="preserve">    3．技术评价报告：无；</w:t>
      </w:r>
    </w:p>
    <w:p w14:paraId="39D3B70B">
      <w:pPr>
        <w:spacing w:line="360" w:lineRule="auto"/>
        <w:rPr>
          <w:rFonts w:ascii="宋体" w:hAnsi="Calibri" w:eastAsia="宋体" w:cs="Times New Roman"/>
          <w:sz w:val="24"/>
        </w:rPr>
      </w:pPr>
      <w:r>
        <w:rPr>
          <w:rFonts w:hint="eastAsia" w:ascii="宋体" w:hAnsi="Calibri" w:eastAsia="宋体" w:cs="Times New Roman"/>
          <w:sz w:val="24"/>
        </w:rPr>
        <w:t xml:space="preserve">    4．技术标准和规范：无；</w:t>
      </w:r>
    </w:p>
    <w:p w14:paraId="55FF65A3">
      <w:pPr>
        <w:spacing w:line="360" w:lineRule="auto"/>
        <w:rPr>
          <w:rFonts w:ascii="宋体" w:hAnsi="Calibri" w:eastAsia="宋体" w:cs="Times New Roman"/>
          <w:sz w:val="24"/>
        </w:rPr>
      </w:pPr>
      <w:r>
        <w:rPr>
          <w:rFonts w:hint="eastAsia" w:ascii="宋体" w:hAnsi="Calibri" w:eastAsia="宋体" w:cs="Times New Roman"/>
          <w:sz w:val="24"/>
        </w:rPr>
        <w:t xml:space="preserve">    5．原始设计和工艺文件：无；</w:t>
      </w:r>
    </w:p>
    <w:p w14:paraId="1064D46E">
      <w:pPr>
        <w:spacing w:line="360" w:lineRule="auto"/>
        <w:rPr>
          <w:rFonts w:ascii="宋体" w:hAnsi="Calibri" w:eastAsia="宋体" w:cs="Times New Roman"/>
          <w:sz w:val="24"/>
        </w:rPr>
      </w:pPr>
      <w:r>
        <w:rPr>
          <w:rFonts w:hint="eastAsia" w:ascii="宋体" w:hAnsi="Calibri" w:eastAsia="宋体" w:cs="Times New Roman"/>
          <w:sz w:val="24"/>
        </w:rPr>
        <w:t xml:space="preserve">    6．其他：无。</w:t>
      </w:r>
    </w:p>
    <w:p w14:paraId="073637C9">
      <w:pPr>
        <w:spacing w:line="360" w:lineRule="auto"/>
        <w:rPr>
          <w:rFonts w:ascii="宋体" w:hAnsi="Calibri" w:eastAsia="宋体" w:cs="Times New Roman"/>
          <w:sz w:val="24"/>
        </w:rPr>
      </w:pPr>
    </w:p>
    <w:p w14:paraId="45CC9724">
      <w:pPr>
        <w:spacing w:line="360" w:lineRule="auto"/>
        <w:rPr>
          <w:rFonts w:ascii="宋体" w:hAnsi="Calibri" w:eastAsia="宋体" w:cs="Times New Roman"/>
          <w:sz w:val="24"/>
          <w:u w:val="single"/>
        </w:rPr>
      </w:pPr>
      <w:r>
        <w:rPr>
          <w:rFonts w:hint="eastAsia" w:ascii="宋体" w:hAnsi="Calibri" w:eastAsia="宋体" w:cs="Times New Roman"/>
          <w:sz w:val="24"/>
        </w:rPr>
        <w:t xml:space="preserve">    </w:t>
      </w:r>
      <w:r>
        <w:rPr>
          <w:rFonts w:hint="eastAsia" w:ascii="宋体" w:hAnsi="Calibri" w:eastAsia="宋体" w:cs="Times New Roman"/>
          <w:b/>
          <w:sz w:val="24"/>
        </w:rPr>
        <w:t>第二十七条</w:t>
      </w:r>
      <w:r>
        <w:rPr>
          <w:rFonts w:hint="eastAsia" w:ascii="宋体" w:hAnsi="Calibri" w:eastAsia="宋体" w:cs="Times New Roman"/>
          <w:sz w:val="24"/>
        </w:rPr>
        <w:t xml:space="preserve">  双方约定本合同其他相关事项为：本合同未尽事宜，可由双方另行签订补充协议，补充协议与本合同具有同等法律效力。</w:t>
      </w:r>
    </w:p>
    <w:p w14:paraId="2983AE23">
      <w:pPr>
        <w:spacing w:line="360" w:lineRule="auto"/>
        <w:rPr>
          <w:rFonts w:ascii="宋体" w:hAnsi="Calibri" w:eastAsia="宋体" w:cs="Times New Roman"/>
          <w:sz w:val="24"/>
        </w:rPr>
      </w:pPr>
      <w:r>
        <w:rPr>
          <w:rFonts w:hint="eastAsia" w:ascii="宋体" w:hAnsi="Calibri" w:eastAsia="宋体" w:cs="Times New Roman"/>
          <w:sz w:val="24"/>
        </w:rPr>
        <w:t xml:space="preserve">    </w:t>
      </w:r>
      <w:r>
        <w:rPr>
          <w:rFonts w:hint="eastAsia" w:ascii="宋体" w:hAnsi="Calibri" w:eastAsia="宋体" w:cs="Times New Roman"/>
          <w:b/>
          <w:sz w:val="24"/>
        </w:rPr>
        <w:t>第二十八条</w:t>
      </w:r>
      <w:r>
        <w:rPr>
          <w:rFonts w:hint="eastAsia" w:ascii="宋体" w:hAnsi="Calibri" w:eastAsia="宋体" w:cs="Times New Roman"/>
          <w:sz w:val="24"/>
        </w:rPr>
        <w:t xml:space="preserve">  本合同一式3份，具有同等法律效力。</w:t>
      </w:r>
    </w:p>
    <w:p w14:paraId="2E7DC25A">
      <w:pPr>
        <w:spacing w:line="360" w:lineRule="auto"/>
        <w:ind w:firstLine="480"/>
        <w:rPr>
          <w:rFonts w:hint="eastAsia" w:ascii="宋体" w:hAnsi="Calibri" w:eastAsia="宋体" w:cs="Times New Roman"/>
          <w:sz w:val="24"/>
        </w:rPr>
      </w:pPr>
      <w:r>
        <w:rPr>
          <w:rFonts w:hint="eastAsia" w:ascii="宋体" w:hAnsi="Calibri" w:eastAsia="宋体" w:cs="Times New Roman"/>
          <w:b/>
          <w:sz w:val="24"/>
        </w:rPr>
        <w:t>第二十九条</w:t>
      </w:r>
      <w:r>
        <w:rPr>
          <w:rFonts w:hint="eastAsia" w:ascii="宋体" w:hAnsi="Calibri" w:eastAsia="宋体" w:cs="Times New Roman"/>
          <w:sz w:val="24"/>
        </w:rPr>
        <w:t xml:space="preserve">  本合同经双方签字盖章后生效。</w:t>
      </w:r>
    </w:p>
    <w:p w14:paraId="0EDE1E56">
      <w:pPr>
        <w:spacing w:line="360" w:lineRule="auto"/>
        <w:ind w:firstLine="480"/>
        <w:rPr>
          <w:rFonts w:hint="eastAsia" w:ascii="宋体" w:hAnsi="Calibri" w:eastAsia="宋体" w:cs="Times New Roman"/>
          <w:sz w:val="24"/>
        </w:rPr>
      </w:pPr>
    </w:p>
    <w:p w14:paraId="2995C2E6">
      <w:pPr>
        <w:rPr>
          <w:rFonts w:ascii="宋体" w:hAnsi="Calibri" w:eastAsia="宋体" w:cs="Times New Roman"/>
          <w:sz w:val="24"/>
        </w:rPr>
      </w:pPr>
      <w:r>
        <w:rPr>
          <w:rFonts w:hint="eastAsia" w:ascii="宋体" w:hAnsi="Calibri" w:eastAsia="宋体" w:cs="Times New Roman"/>
          <w:sz w:val="24"/>
        </w:rPr>
        <w:t xml:space="preserve">    甲方：</w:t>
      </w:r>
      <w:r>
        <w:rPr>
          <w:rFonts w:hint="eastAsia" w:ascii="宋体" w:hAnsi="Calibri" w:eastAsia="宋体" w:cs="Times New Roman"/>
          <w:sz w:val="24"/>
          <w:u w:val="single"/>
        </w:rPr>
        <w:t>西北工业大学</w:t>
      </w:r>
      <w:r>
        <w:rPr>
          <w:rFonts w:hint="eastAsia" w:ascii="宋体" w:hAnsi="Calibri" w:eastAsia="宋体" w:cs="Times New Roman"/>
          <w:sz w:val="24"/>
        </w:rPr>
        <w:t>（盖章）</w:t>
      </w:r>
    </w:p>
    <w:p w14:paraId="7162C0FA">
      <w:pPr>
        <w:rPr>
          <w:rFonts w:ascii="宋体" w:hAnsi="Calibri" w:eastAsia="宋体" w:cs="Times New Roman"/>
          <w:sz w:val="24"/>
        </w:rPr>
      </w:pPr>
    </w:p>
    <w:p w14:paraId="74922556">
      <w:pPr>
        <w:rPr>
          <w:rFonts w:ascii="宋体" w:hAnsi="Calibri" w:eastAsia="宋体" w:cs="Times New Roman"/>
          <w:sz w:val="24"/>
        </w:rPr>
      </w:pPr>
      <w:r>
        <w:rPr>
          <w:rFonts w:hint="eastAsia" w:ascii="宋体" w:hAnsi="Calibri" w:eastAsia="宋体" w:cs="Times New Roman"/>
          <w:sz w:val="24"/>
        </w:rPr>
        <w:t xml:space="preserve">    法定代表人/委托代理人：</w:t>
      </w:r>
      <w:r>
        <w:rPr>
          <w:rFonts w:hint="eastAsia" w:ascii="宋体" w:hAnsi="Calibri" w:eastAsia="宋体" w:cs="Times New Roman"/>
          <w:sz w:val="24"/>
          <w:u w:val="single"/>
        </w:rPr>
        <w:t xml:space="preserve">                           </w:t>
      </w:r>
      <w:r>
        <w:rPr>
          <w:rFonts w:hint="eastAsia" w:ascii="宋体" w:hAnsi="Calibri" w:eastAsia="宋体" w:cs="Times New Roman"/>
          <w:sz w:val="24"/>
        </w:rPr>
        <w:t>（签名/签章）</w:t>
      </w:r>
    </w:p>
    <w:p w14:paraId="25AF5173">
      <w:pPr>
        <w:rPr>
          <w:rFonts w:ascii="宋体" w:hAnsi="Calibri" w:eastAsia="宋体" w:cs="Times New Roman"/>
          <w:sz w:val="24"/>
        </w:rPr>
      </w:pPr>
    </w:p>
    <w:p w14:paraId="10D33DA9">
      <w:pPr>
        <w:rPr>
          <w:rFonts w:ascii="宋体" w:hAnsi="Calibri" w:eastAsia="宋体" w:cs="Times New Roman"/>
          <w:sz w:val="24"/>
        </w:rPr>
      </w:pPr>
      <w:r>
        <w:rPr>
          <w:rFonts w:hint="eastAsia" w:ascii="宋体" w:hAnsi="Calibri" w:eastAsia="宋体" w:cs="Times New Roman"/>
          <w:sz w:val="24"/>
        </w:rPr>
        <w:t xml:space="preserve">                                         年       月       日</w:t>
      </w:r>
    </w:p>
    <w:p w14:paraId="12F1241C">
      <w:pPr>
        <w:rPr>
          <w:rFonts w:ascii="宋体" w:hAnsi="Calibri" w:eastAsia="宋体" w:cs="Times New Roman"/>
          <w:sz w:val="24"/>
        </w:rPr>
      </w:pPr>
    </w:p>
    <w:p w14:paraId="480303FD">
      <w:pPr>
        <w:rPr>
          <w:rFonts w:ascii="宋体" w:hAnsi="Calibri" w:eastAsia="宋体" w:cs="Times New Roman"/>
          <w:sz w:val="24"/>
        </w:rPr>
      </w:pPr>
      <w:r>
        <w:rPr>
          <w:rFonts w:hint="eastAsia" w:ascii="宋体" w:hAnsi="Calibri" w:eastAsia="宋体" w:cs="Times New Roman"/>
          <w:sz w:val="24"/>
        </w:rPr>
        <w:t xml:space="preserve">    乙方：</w:t>
      </w:r>
      <w:r>
        <w:rPr>
          <w:rFonts w:hint="eastAsia" w:ascii="宋体" w:hAnsi="Calibri" w:eastAsia="宋体" w:cs="Times New Roman"/>
          <w:sz w:val="24"/>
          <w:u w:val="single"/>
        </w:rPr>
        <w:t>安徽梦馨信息技术有限公司</w:t>
      </w:r>
      <w:r>
        <w:rPr>
          <w:rFonts w:hint="eastAsia" w:ascii="宋体" w:hAnsi="Calibri" w:eastAsia="宋体" w:cs="Times New Roman"/>
          <w:sz w:val="24"/>
        </w:rPr>
        <w:t>（盖章）</w:t>
      </w:r>
    </w:p>
    <w:p w14:paraId="36BCD521">
      <w:pPr>
        <w:rPr>
          <w:rFonts w:ascii="宋体" w:hAnsi="Calibri" w:eastAsia="宋体" w:cs="Times New Roman"/>
          <w:sz w:val="24"/>
        </w:rPr>
      </w:pPr>
    </w:p>
    <w:p w14:paraId="05493320">
      <w:pPr>
        <w:rPr>
          <w:rFonts w:ascii="宋体" w:hAnsi="Calibri" w:eastAsia="宋体" w:cs="Times New Roman"/>
          <w:sz w:val="24"/>
        </w:rPr>
      </w:pPr>
      <w:r>
        <w:rPr>
          <w:rFonts w:hint="eastAsia" w:ascii="宋体" w:hAnsi="Calibri" w:eastAsia="宋体" w:cs="Times New Roman"/>
          <w:sz w:val="24"/>
        </w:rPr>
        <w:t xml:space="preserve">    法定代表人/委托代理人：</w:t>
      </w:r>
      <w:r>
        <w:rPr>
          <w:rFonts w:hint="eastAsia" w:ascii="宋体" w:hAnsi="Calibri" w:eastAsia="宋体" w:cs="Times New Roman"/>
          <w:sz w:val="24"/>
          <w:u w:val="single"/>
        </w:rPr>
        <w:t xml:space="preserve">                           </w:t>
      </w:r>
      <w:r>
        <w:rPr>
          <w:rFonts w:hint="eastAsia" w:ascii="宋体" w:hAnsi="Calibri" w:eastAsia="宋体" w:cs="Times New Roman"/>
          <w:sz w:val="24"/>
        </w:rPr>
        <w:t>（签名/签章）</w:t>
      </w:r>
    </w:p>
    <w:p w14:paraId="643B07D2">
      <w:pPr>
        <w:rPr>
          <w:rFonts w:ascii="宋体" w:hAnsi="Calibri" w:eastAsia="宋体" w:cs="Times New Roman"/>
          <w:sz w:val="24"/>
        </w:rPr>
      </w:pPr>
    </w:p>
    <w:p w14:paraId="508E270E">
      <w:pPr>
        <w:rPr>
          <w:rFonts w:hint="eastAsia"/>
        </w:rPr>
      </w:pPr>
      <w:r>
        <w:rPr>
          <w:rFonts w:hint="eastAsia" w:ascii="宋体" w:hAnsi="Calibri" w:eastAsia="宋体" w:cs="Times New Roman"/>
          <w:sz w:val="24"/>
        </w:rPr>
        <w:t xml:space="preserve">                                         年       月       日</w:t>
      </w: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5774974"/>
    </w:sdtPr>
    <w:sdtEndPr>
      <w:rPr>
        <w:rFonts w:ascii="宋体" w:hAnsi="宋体" w:eastAsia="宋体"/>
        <w:sz w:val="28"/>
        <w:szCs w:val="28"/>
      </w:rPr>
    </w:sdtEndPr>
    <w:sdtContent>
      <w:sdt>
        <w:sdtPr>
          <w:id w:val="632287981"/>
        </w:sdtPr>
        <w:sdtEndPr>
          <w:rPr>
            <w:rFonts w:ascii="宋体" w:hAnsi="宋体" w:eastAsia="宋体"/>
            <w:sz w:val="32"/>
            <w:szCs w:val="32"/>
          </w:rPr>
        </w:sdtEndPr>
        <w:sdtContent>
          <w:p w14:paraId="6ADD1E23">
            <w:pPr>
              <w:pStyle w:val="13"/>
              <w:ind w:left="720"/>
              <w:jc w:val="right"/>
              <w:rPr>
                <w:rFonts w:hint="eastAsia" w:ascii="宋体" w:hAnsi="宋体" w:eastAsia="宋体"/>
                <w:sz w:val="32"/>
                <w:szCs w:val="32"/>
              </w:rPr>
            </w:pPr>
            <w:r>
              <w:rPr>
                <w:rFonts w:hint="eastAsia" w:ascii="宋体" w:hAnsi="宋体" w:eastAsia="宋体"/>
                <w:sz w:val="32"/>
                <w:szCs w:val="32"/>
              </w:rPr>
              <w:t xml:space="preserve">— </w:t>
            </w:r>
            <w:r>
              <w:rPr>
                <w:rFonts w:ascii="宋体" w:hAnsi="宋体" w:eastAsia="宋体"/>
                <w:sz w:val="32"/>
                <w:szCs w:val="32"/>
              </w:rPr>
              <w:fldChar w:fldCharType="begin"/>
            </w:r>
            <w:r>
              <w:rPr>
                <w:rFonts w:ascii="宋体" w:hAnsi="宋体" w:eastAsia="宋体"/>
                <w:sz w:val="32"/>
                <w:szCs w:val="32"/>
              </w:rPr>
              <w:instrText xml:space="preserve">PAGE   \* MERGEFORMAT</w:instrText>
            </w:r>
            <w:r>
              <w:rPr>
                <w:rFonts w:ascii="宋体" w:hAnsi="宋体" w:eastAsia="宋体"/>
                <w:sz w:val="32"/>
                <w:szCs w:val="32"/>
              </w:rPr>
              <w:fldChar w:fldCharType="separate"/>
            </w:r>
            <w:r>
              <w:rPr>
                <w:rFonts w:hint="eastAsia" w:ascii="宋体" w:hAnsi="宋体" w:eastAsia="宋体"/>
                <w:sz w:val="32"/>
                <w:szCs w:val="32"/>
              </w:rPr>
              <w:t>- 1 -</w:t>
            </w:r>
            <w:r>
              <w:rPr>
                <w:rFonts w:ascii="宋体" w:hAnsi="宋体" w:eastAsia="宋体"/>
                <w:sz w:val="32"/>
                <w:szCs w:val="32"/>
              </w:rPr>
              <w:fldChar w:fldCharType="end"/>
            </w:r>
            <w:r>
              <w:rPr>
                <w:rFonts w:hint="eastAsia" w:ascii="宋体" w:hAnsi="宋体" w:eastAsia="宋体"/>
                <w:sz w:val="32"/>
                <w:szCs w:val="32"/>
              </w:rPr>
              <w:t xml:space="preserve"> —</w:t>
            </w:r>
          </w:p>
        </w:sdtContent>
      </w:sdt>
    </w:sdtContent>
  </w:sdt>
  <w:p w14:paraId="7C002854">
    <w:pPr>
      <w:pStyle w:val="13"/>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69079635"/>
    </w:sdtPr>
    <w:sdtContent>
      <w:sdt>
        <w:sdtPr>
          <w:id w:val="1647248563"/>
        </w:sdtPr>
        <w:sdtEndPr>
          <w:rPr>
            <w:rFonts w:ascii="宋体" w:hAnsi="宋体" w:eastAsia="宋体"/>
            <w:sz w:val="32"/>
            <w:szCs w:val="32"/>
          </w:rPr>
        </w:sdtEndPr>
        <w:sdtContent>
          <w:p w14:paraId="677C029D">
            <w:pPr>
              <w:pStyle w:val="13"/>
              <w:ind w:right="720"/>
              <w:rPr>
                <w:rFonts w:hint="eastAsia" w:ascii="宋体" w:hAnsi="宋体" w:eastAsia="宋体"/>
                <w:sz w:val="32"/>
                <w:szCs w:val="32"/>
              </w:rPr>
            </w:pPr>
            <w:r>
              <w:rPr>
                <w:rFonts w:hint="eastAsia" w:ascii="宋体" w:hAnsi="宋体" w:eastAsia="宋体"/>
                <w:sz w:val="32"/>
                <w:szCs w:val="32"/>
              </w:rPr>
              <w:t xml:space="preserve">— </w:t>
            </w:r>
            <w:r>
              <w:rPr>
                <w:rFonts w:ascii="宋体" w:hAnsi="宋体" w:eastAsia="宋体"/>
                <w:sz w:val="32"/>
                <w:szCs w:val="32"/>
              </w:rPr>
              <w:fldChar w:fldCharType="begin"/>
            </w:r>
            <w:r>
              <w:rPr>
                <w:rFonts w:ascii="宋体" w:hAnsi="宋体" w:eastAsia="宋体"/>
                <w:sz w:val="32"/>
                <w:szCs w:val="32"/>
              </w:rPr>
              <w:instrText xml:space="preserve">PAGE   \* MERGEFORMAT</w:instrText>
            </w:r>
            <w:r>
              <w:rPr>
                <w:rFonts w:ascii="宋体" w:hAnsi="宋体" w:eastAsia="宋体"/>
                <w:sz w:val="32"/>
                <w:szCs w:val="32"/>
              </w:rPr>
              <w:fldChar w:fldCharType="separate"/>
            </w:r>
            <w:r>
              <w:rPr>
                <w:rFonts w:hint="eastAsia" w:ascii="宋体" w:hAnsi="宋体" w:eastAsia="宋体"/>
                <w:sz w:val="32"/>
                <w:szCs w:val="32"/>
              </w:rPr>
              <w:t>1</w:t>
            </w:r>
            <w:r>
              <w:rPr>
                <w:rFonts w:ascii="宋体" w:hAnsi="宋体" w:eastAsia="宋体"/>
                <w:sz w:val="32"/>
                <w:szCs w:val="32"/>
              </w:rPr>
              <w:fldChar w:fldCharType="end"/>
            </w:r>
            <w:r>
              <w:rPr>
                <w:rFonts w:hint="eastAsia" w:ascii="宋体" w:hAnsi="宋体" w:eastAsia="宋体"/>
                <w:sz w:val="32"/>
                <w:szCs w:val="32"/>
              </w:rPr>
              <w:t xml:space="preserve"> —</w:t>
            </w:r>
          </w:p>
        </w:sdtContent>
      </w:sdt>
    </w:sdtContent>
  </w:sdt>
  <w:p w14:paraId="2178383C">
    <w:pPr>
      <w:pStyle w:val="13"/>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75014E"/>
    <w:multiLevelType w:val="singleLevel"/>
    <w:tmpl w:val="E675014E"/>
    <w:lvl w:ilvl="0" w:tentative="0">
      <w:start w:val="1"/>
      <w:numFmt w:val="bullet"/>
      <w:lvlText w:val=""/>
      <w:lvlJc w:val="left"/>
      <w:pPr>
        <w:ind w:left="420" w:hanging="420"/>
      </w:pPr>
      <w:rPr>
        <w:rFonts w:hint="default" w:ascii="Wingdings" w:hAnsi="Wingdings"/>
      </w:rPr>
    </w:lvl>
  </w:abstractNum>
  <w:abstractNum w:abstractNumId="1">
    <w:nsid w:val="FCB8299E"/>
    <w:multiLevelType w:val="singleLevel"/>
    <w:tmpl w:val="FCB8299E"/>
    <w:lvl w:ilvl="0" w:tentative="0">
      <w:start w:val="1"/>
      <w:numFmt w:val="bullet"/>
      <w:lvlText w:val=""/>
      <w:lvlJc w:val="left"/>
      <w:pPr>
        <w:ind w:left="420" w:hanging="420"/>
      </w:pPr>
      <w:rPr>
        <w:rFonts w:hint="default" w:ascii="Wingdings" w:hAnsi="Wingdings"/>
      </w:rPr>
    </w:lvl>
  </w:abstractNum>
  <w:abstractNum w:abstractNumId="2">
    <w:nsid w:val="37C708DE"/>
    <w:multiLevelType w:val="singleLevel"/>
    <w:tmpl w:val="37C708DE"/>
    <w:lvl w:ilvl="0" w:tentative="0">
      <w:start w:val="1"/>
      <w:numFmt w:val="decimal"/>
      <w:lvlText w:val="%1．"/>
      <w:lvlJc w:val="left"/>
      <w:pPr>
        <w:tabs>
          <w:tab w:val="left" w:pos="786"/>
        </w:tabs>
        <w:ind w:left="786" w:hanging="360"/>
      </w:pPr>
      <w:rPr>
        <w:rFonts w:hint="eastAsia"/>
        <w:u w:val="none"/>
      </w:rPr>
    </w:lvl>
  </w:abstractNum>
  <w:abstractNum w:abstractNumId="3">
    <w:nsid w:val="5B934F5F"/>
    <w:multiLevelType w:val="singleLevel"/>
    <w:tmpl w:val="5B934F5F"/>
    <w:lvl w:ilvl="0" w:tentative="0">
      <w:start w:val="19"/>
      <w:numFmt w:val="japaneseCounting"/>
      <w:lvlText w:val="第%1条"/>
      <w:lvlJc w:val="left"/>
      <w:pPr>
        <w:tabs>
          <w:tab w:val="left" w:pos="1695"/>
        </w:tabs>
        <w:ind w:left="1695" w:hanging="1215"/>
      </w:pPr>
      <w:rPr>
        <w:rFonts w:hint="eastAsia"/>
        <w:b/>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3B4"/>
    <w:rsid w:val="00026998"/>
    <w:rsid w:val="00032EEF"/>
    <w:rsid w:val="00036295"/>
    <w:rsid w:val="00040236"/>
    <w:rsid w:val="00040FEB"/>
    <w:rsid w:val="000749F5"/>
    <w:rsid w:val="00076AD5"/>
    <w:rsid w:val="00081153"/>
    <w:rsid w:val="0008328F"/>
    <w:rsid w:val="00085F07"/>
    <w:rsid w:val="00090864"/>
    <w:rsid w:val="00090F9E"/>
    <w:rsid w:val="00091419"/>
    <w:rsid w:val="000B0BFA"/>
    <w:rsid w:val="000B32AB"/>
    <w:rsid w:val="000B6A09"/>
    <w:rsid w:val="000C5BAF"/>
    <w:rsid w:val="000C65AD"/>
    <w:rsid w:val="000D34FA"/>
    <w:rsid w:val="000E072A"/>
    <w:rsid w:val="000F2C58"/>
    <w:rsid w:val="00102C53"/>
    <w:rsid w:val="001054B1"/>
    <w:rsid w:val="001062F9"/>
    <w:rsid w:val="0013211F"/>
    <w:rsid w:val="00141C69"/>
    <w:rsid w:val="00142658"/>
    <w:rsid w:val="00143AAF"/>
    <w:rsid w:val="00152ED5"/>
    <w:rsid w:val="00153CAC"/>
    <w:rsid w:val="00154D74"/>
    <w:rsid w:val="00173A47"/>
    <w:rsid w:val="00195393"/>
    <w:rsid w:val="001A1A92"/>
    <w:rsid w:val="001A5EE1"/>
    <w:rsid w:val="001C1BF9"/>
    <w:rsid w:val="001C4DBE"/>
    <w:rsid w:val="001D2FFE"/>
    <w:rsid w:val="001D6B6E"/>
    <w:rsid w:val="00203179"/>
    <w:rsid w:val="00207319"/>
    <w:rsid w:val="00231AEF"/>
    <w:rsid w:val="002418FD"/>
    <w:rsid w:val="00247BFB"/>
    <w:rsid w:val="00250BEC"/>
    <w:rsid w:val="002564AB"/>
    <w:rsid w:val="00262C6E"/>
    <w:rsid w:val="00270BE1"/>
    <w:rsid w:val="00291D84"/>
    <w:rsid w:val="00297D76"/>
    <w:rsid w:val="002A0501"/>
    <w:rsid w:val="002A4678"/>
    <w:rsid w:val="002C2BEB"/>
    <w:rsid w:val="002C3C5F"/>
    <w:rsid w:val="002C3F3E"/>
    <w:rsid w:val="002C5303"/>
    <w:rsid w:val="002D323A"/>
    <w:rsid w:val="002F33E2"/>
    <w:rsid w:val="00305669"/>
    <w:rsid w:val="00320186"/>
    <w:rsid w:val="003212DC"/>
    <w:rsid w:val="00325834"/>
    <w:rsid w:val="00332122"/>
    <w:rsid w:val="00344389"/>
    <w:rsid w:val="00352089"/>
    <w:rsid w:val="003611F1"/>
    <w:rsid w:val="00363402"/>
    <w:rsid w:val="0037454A"/>
    <w:rsid w:val="003762A9"/>
    <w:rsid w:val="00381A22"/>
    <w:rsid w:val="003857B8"/>
    <w:rsid w:val="003975F4"/>
    <w:rsid w:val="003A1AA6"/>
    <w:rsid w:val="003B005B"/>
    <w:rsid w:val="003B0D02"/>
    <w:rsid w:val="003B4024"/>
    <w:rsid w:val="003B6145"/>
    <w:rsid w:val="003C5927"/>
    <w:rsid w:val="003C6CD3"/>
    <w:rsid w:val="003D0F40"/>
    <w:rsid w:val="00405742"/>
    <w:rsid w:val="004075B5"/>
    <w:rsid w:val="0041098A"/>
    <w:rsid w:val="004434D2"/>
    <w:rsid w:val="0046573D"/>
    <w:rsid w:val="00484DD2"/>
    <w:rsid w:val="00486E43"/>
    <w:rsid w:val="004947C1"/>
    <w:rsid w:val="004A1477"/>
    <w:rsid w:val="004A4BF3"/>
    <w:rsid w:val="004B5459"/>
    <w:rsid w:val="004B5AAA"/>
    <w:rsid w:val="004C626E"/>
    <w:rsid w:val="004D1FE4"/>
    <w:rsid w:val="004D66E9"/>
    <w:rsid w:val="004E3C10"/>
    <w:rsid w:val="004F303C"/>
    <w:rsid w:val="00501B77"/>
    <w:rsid w:val="00510113"/>
    <w:rsid w:val="00513F7A"/>
    <w:rsid w:val="00523722"/>
    <w:rsid w:val="00531B2E"/>
    <w:rsid w:val="00532C76"/>
    <w:rsid w:val="00536C18"/>
    <w:rsid w:val="00552913"/>
    <w:rsid w:val="0055424D"/>
    <w:rsid w:val="00556FFB"/>
    <w:rsid w:val="00577C45"/>
    <w:rsid w:val="005819F9"/>
    <w:rsid w:val="00584C8C"/>
    <w:rsid w:val="00591F18"/>
    <w:rsid w:val="00592C47"/>
    <w:rsid w:val="00595A12"/>
    <w:rsid w:val="00595B33"/>
    <w:rsid w:val="005B44FA"/>
    <w:rsid w:val="005B772D"/>
    <w:rsid w:val="005C3E7B"/>
    <w:rsid w:val="005E4343"/>
    <w:rsid w:val="005F36DE"/>
    <w:rsid w:val="005F50A1"/>
    <w:rsid w:val="00606561"/>
    <w:rsid w:val="00613522"/>
    <w:rsid w:val="00624749"/>
    <w:rsid w:val="00624820"/>
    <w:rsid w:val="006260FA"/>
    <w:rsid w:val="00632E8F"/>
    <w:rsid w:val="00633AAA"/>
    <w:rsid w:val="00634691"/>
    <w:rsid w:val="00640968"/>
    <w:rsid w:val="006624F2"/>
    <w:rsid w:val="00663BA8"/>
    <w:rsid w:val="00665F3A"/>
    <w:rsid w:val="00667F89"/>
    <w:rsid w:val="00670985"/>
    <w:rsid w:val="0069356F"/>
    <w:rsid w:val="00694902"/>
    <w:rsid w:val="006B6F76"/>
    <w:rsid w:val="006B79DA"/>
    <w:rsid w:val="006C0DB9"/>
    <w:rsid w:val="006C4F19"/>
    <w:rsid w:val="006C7149"/>
    <w:rsid w:val="006D08F9"/>
    <w:rsid w:val="006D761E"/>
    <w:rsid w:val="006E2529"/>
    <w:rsid w:val="006E6691"/>
    <w:rsid w:val="007139B6"/>
    <w:rsid w:val="007206BC"/>
    <w:rsid w:val="00730927"/>
    <w:rsid w:val="007312BB"/>
    <w:rsid w:val="00736A3C"/>
    <w:rsid w:val="00782356"/>
    <w:rsid w:val="007951C2"/>
    <w:rsid w:val="00796D48"/>
    <w:rsid w:val="007B09B9"/>
    <w:rsid w:val="007B2F57"/>
    <w:rsid w:val="007C214C"/>
    <w:rsid w:val="007C73B4"/>
    <w:rsid w:val="007D1713"/>
    <w:rsid w:val="007D3BF0"/>
    <w:rsid w:val="007E1F8D"/>
    <w:rsid w:val="007E2AA2"/>
    <w:rsid w:val="007F43FC"/>
    <w:rsid w:val="007F4564"/>
    <w:rsid w:val="008026C2"/>
    <w:rsid w:val="00813CBB"/>
    <w:rsid w:val="00832C2E"/>
    <w:rsid w:val="00833059"/>
    <w:rsid w:val="00853608"/>
    <w:rsid w:val="00863DA9"/>
    <w:rsid w:val="00864C65"/>
    <w:rsid w:val="008752E6"/>
    <w:rsid w:val="0089657A"/>
    <w:rsid w:val="008977B2"/>
    <w:rsid w:val="008A5CB6"/>
    <w:rsid w:val="008B4721"/>
    <w:rsid w:val="008C0F1B"/>
    <w:rsid w:val="008D7F82"/>
    <w:rsid w:val="008E2C1F"/>
    <w:rsid w:val="008E3790"/>
    <w:rsid w:val="008E5BE2"/>
    <w:rsid w:val="008F2F7E"/>
    <w:rsid w:val="008F3DD6"/>
    <w:rsid w:val="00915474"/>
    <w:rsid w:val="00922512"/>
    <w:rsid w:val="00923926"/>
    <w:rsid w:val="009268EA"/>
    <w:rsid w:val="00941A04"/>
    <w:rsid w:val="009469F3"/>
    <w:rsid w:val="00950D25"/>
    <w:rsid w:val="00966234"/>
    <w:rsid w:val="0096753F"/>
    <w:rsid w:val="009705C6"/>
    <w:rsid w:val="009B3A58"/>
    <w:rsid w:val="009D0C14"/>
    <w:rsid w:val="009D3B75"/>
    <w:rsid w:val="009D47D2"/>
    <w:rsid w:val="009D50F7"/>
    <w:rsid w:val="009F10CB"/>
    <w:rsid w:val="00A0216B"/>
    <w:rsid w:val="00A02937"/>
    <w:rsid w:val="00A03778"/>
    <w:rsid w:val="00A10BFD"/>
    <w:rsid w:val="00A34B8C"/>
    <w:rsid w:val="00A409F6"/>
    <w:rsid w:val="00A45748"/>
    <w:rsid w:val="00A63648"/>
    <w:rsid w:val="00A8152E"/>
    <w:rsid w:val="00A840F4"/>
    <w:rsid w:val="00AA193E"/>
    <w:rsid w:val="00AC15CF"/>
    <w:rsid w:val="00AC35D2"/>
    <w:rsid w:val="00AC61E4"/>
    <w:rsid w:val="00AE2B8D"/>
    <w:rsid w:val="00AE318F"/>
    <w:rsid w:val="00AE706E"/>
    <w:rsid w:val="00AE775A"/>
    <w:rsid w:val="00AF1C28"/>
    <w:rsid w:val="00AF612A"/>
    <w:rsid w:val="00AF7D93"/>
    <w:rsid w:val="00B016A1"/>
    <w:rsid w:val="00B06AC8"/>
    <w:rsid w:val="00B238C7"/>
    <w:rsid w:val="00B26CBF"/>
    <w:rsid w:val="00B32963"/>
    <w:rsid w:val="00B3624A"/>
    <w:rsid w:val="00B45F76"/>
    <w:rsid w:val="00B46F81"/>
    <w:rsid w:val="00B70044"/>
    <w:rsid w:val="00B72C1C"/>
    <w:rsid w:val="00B7705C"/>
    <w:rsid w:val="00B83A82"/>
    <w:rsid w:val="00B83C86"/>
    <w:rsid w:val="00B96145"/>
    <w:rsid w:val="00BC6897"/>
    <w:rsid w:val="00BF72CB"/>
    <w:rsid w:val="00C054D6"/>
    <w:rsid w:val="00C15FC5"/>
    <w:rsid w:val="00C221E4"/>
    <w:rsid w:val="00C537F0"/>
    <w:rsid w:val="00C562B4"/>
    <w:rsid w:val="00C57DA6"/>
    <w:rsid w:val="00C64365"/>
    <w:rsid w:val="00C6705E"/>
    <w:rsid w:val="00CA4393"/>
    <w:rsid w:val="00CA643E"/>
    <w:rsid w:val="00CB3677"/>
    <w:rsid w:val="00CB4794"/>
    <w:rsid w:val="00CB7CE9"/>
    <w:rsid w:val="00CD7272"/>
    <w:rsid w:val="00CE10D5"/>
    <w:rsid w:val="00CE2C70"/>
    <w:rsid w:val="00CE58FF"/>
    <w:rsid w:val="00CE6355"/>
    <w:rsid w:val="00CF5D57"/>
    <w:rsid w:val="00D0036E"/>
    <w:rsid w:val="00D05B47"/>
    <w:rsid w:val="00D0623B"/>
    <w:rsid w:val="00D23105"/>
    <w:rsid w:val="00D52F3C"/>
    <w:rsid w:val="00D61E24"/>
    <w:rsid w:val="00D73E90"/>
    <w:rsid w:val="00D7468B"/>
    <w:rsid w:val="00D75E91"/>
    <w:rsid w:val="00D76274"/>
    <w:rsid w:val="00D8387C"/>
    <w:rsid w:val="00D86A46"/>
    <w:rsid w:val="00D9181D"/>
    <w:rsid w:val="00D92240"/>
    <w:rsid w:val="00DC1D17"/>
    <w:rsid w:val="00DC2E5F"/>
    <w:rsid w:val="00DC5E6F"/>
    <w:rsid w:val="00DD0342"/>
    <w:rsid w:val="00DE4CBD"/>
    <w:rsid w:val="00DE6CBB"/>
    <w:rsid w:val="00E24AE3"/>
    <w:rsid w:val="00E27E39"/>
    <w:rsid w:val="00E335B0"/>
    <w:rsid w:val="00E33CFF"/>
    <w:rsid w:val="00E35CE9"/>
    <w:rsid w:val="00E373DF"/>
    <w:rsid w:val="00E424D0"/>
    <w:rsid w:val="00E6284A"/>
    <w:rsid w:val="00E64B43"/>
    <w:rsid w:val="00E67A99"/>
    <w:rsid w:val="00E7153A"/>
    <w:rsid w:val="00E77A91"/>
    <w:rsid w:val="00E8049C"/>
    <w:rsid w:val="00E87FCE"/>
    <w:rsid w:val="00E95E3D"/>
    <w:rsid w:val="00E97DC3"/>
    <w:rsid w:val="00EC2765"/>
    <w:rsid w:val="00EC38F8"/>
    <w:rsid w:val="00EC5D02"/>
    <w:rsid w:val="00EE28A8"/>
    <w:rsid w:val="00EF03AD"/>
    <w:rsid w:val="00EF12D2"/>
    <w:rsid w:val="00EF72D6"/>
    <w:rsid w:val="00F10041"/>
    <w:rsid w:val="00F37DB6"/>
    <w:rsid w:val="00F85F01"/>
    <w:rsid w:val="00FA3D22"/>
    <w:rsid w:val="00FB14DC"/>
    <w:rsid w:val="00FC1F16"/>
    <w:rsid w:val="00FC67A5"/>
    <w:rsid w:val="00FC7FF2"/>
    <w:rsid w:val="00FD0C6E"/>
    <w:rsid w:val="00FD3707"/>
    <w:rsid w:val="00FE0C9C"/>
    <w:rsid w:val="0160084E"/>
    <w:rsid w:val="02704AC1"/>
    <w:rsid w:val="02E37041"/>
    <w:rsid w:val="04DE21B6"/>
    <w:rsid w:val="04E90B5B"/>
    <w:rsid w:val="04EB48D3"/>
    <w:rsid w:val="05282D3F"/>
    <w:rsid w:val="0559183C"/>
    <w:rsid w:val="055B3806"/>
    <w:rsid w:val="064E6EC7"/>
    <w:rsid w:val="07AB20F7"/>
    <w:rsid w:val="09DE0562"/>
    <w:rsid w:val="09E71B0D"/>
    <w:rsid w:val="0A0C1573"/>
    <w:rsid w:val="0A1E12A6"/>
    <w:rsid w:val="0A2368BD"/>
    <w:rsid w:val="0A782765"/>
    <w:rsid w:val="0ACB4F8A"/>
    <w:rsid w:val="0B106E41"/>
    <w:rsid w:val="0BF24799"/>
    <w:rsid w:val="0C1B3CF0"/>
    <w:rsid w:val="0CB63A18"/>
    <w:rsid w:val="0D441024"/>
    <w:rsid w:val="0DBF4B4E"/>
    <w:rsid w:val="14180B15"/>
    <w:rsid w:val="144162BD"/>
    <w:rsid w:val="14B44CE1"/>
    <w:rsid w:val="16A448E1"/>
    <w:rsid w:val="173E4D36"/>
    <w:rsid w:val="17BD20FF"/>
    <w:rsid w:val="181A12FF"/>
    <w:rsid w:val="18591CC3"/>
    <w:rsid w:val="18C474BD"/>
    <w:rsid w:val="197B401F"/>
    <w:rsid w:val="1A594EAE"/>
    <w:rsid w:val="1B011B04"/>
    <w:rsid w:val="1B13113A"/>
    <w:rsid w:val="1B1F4E7E"/>
    <w:rsid w:val="1BA7723B"/>
    <w:rsid w:val="1EAC07D7"/>
    <w:rsid w:val="1F542876"/>
    <w:rsid w:val="20000EF3"/>
    <w:rsid w:val="204F1D62"/>
    <w:rsid w:val="21244F9D"/>
    <w:rsid w:val="217C6B87"/>
    <w:rsid w:val="220B1CB9"/>
    <w:rsid w:val="223E5BEA"/>
    <w:rsid w:val="247B1377"/>
    <w:rsid w:val="247E2C16"/>
    <w:rsid w:val="24912949"/>
    <w:rsid w:val="271E248E"/>
    <w:rsid w:val="27206206"/>
    <w:rsid w:val="27C60B5C"/>
    <w:rsid w:val="28BE5CD7"/>
    <w:rsid w:val="28CD5F1A"/>
    <w:rsid w:val="29563368"/>
    <w:rsid w:val="29606D8E"/>
    <w:rsid w:val="29A70519"/>
    <w:rsid w:val="2A68414C"/>
    <w:rsid w:val="2D7D7F0E"/>
    <w:rsid w:val="30201025"/>
    <w:rsid w:val="312F7772"/>
    <w:rsid w:val="316136A3"/>
    <w:rsid w:val="316A69FC"/>
    <w:rsid w:val="33095DA0"/>
    <w:rsid w:val="33727DEA"/>
    <w:rsid w:val="33D036AC"/>
    <w:rsid w:val="33E74334"/>
    <w:rsid w:val="33FC76B3"/>
    <w:rsid w:val="3491604D"/>
    <w:rsid w:val="3599165E"/>
    <w:rsid w:val="35BC359E"/>
    <w:rsid w:val="35C44201"/>
    <w:rsid w:val="36CC51AA"/>
    <w:rsid w:val="375170F8"/>
    <w:rsid w:val="375A306E"/>
    <w:rsid w:val="37F54B45"/>
    <w:rsid w:val="385810DD"/>
    <w:rsid w:val="39736669"/>
    <w:rsid w:val="3B3E4E89"/>
    <w:rsid w:val="3B64626A"/>
    <w:rsid w:val="3DC2196D"/>
    <w:rsid w:val="3DD376D7"/>
    <w:rsid w:val="3ECB6600"/>
    <w:rsid w:val="3F0F0BE2"/>
    <w:rsid w:val="3F6E3B5B"/>
    <w:rsid w:val="40552625"/>
    <w:rsid w:val="406867FC"/>
    <w:rsid w:val="41C4478E"/>
    <w:rsid w:val="420C765B"/>
    <w:rsid w:val="42D73BA8"/>
    <w:rsid w:val="458F0D91"/>
    <w:rsid w:val="45CC15DB"/>
    <w:rsid w:val="46A460B4"/>
    <w:rsid w:val="480418C0"/>
    <w:rsid w:val="49311755"/>
    <w:rsid w:val="495F62C2"/>
    <w:rsid w:val="4A100E1F"/>
    <w:rsid w:val="4C6C1422"/>
    <w:rsid w:val="4CCE3E8B"/>
    <w:rsid w:val="4D8D78A2"/>
    <w:rsid w:val="4DBC3CE3"/>
    <w:rsid w:val="50C555A5"/>
    <w:rsid w:val="516C1F6C"/>
    <w:rsid w:val="52707792"/>
    <w:rsid w:val="52D23FA9"/>
    <w:rsid w:val="530C74BB"/>
    <w:rsid w:val="53422EDD"/>
    <w:rsid w:val="53582700"/>
    <w:rsid w:val="54B27BEE"/>
    <w:rsid w:val="56C97471"/>
    <w:rsid w:val="58150BC0"/>
    <w:rsid w:val="58353010"/>
    <w:rsid w:val="58711B6E"/>
    <w:rsid w:val="58CD149A"/>
    <w:rsid w:val="590D1897"/>
    <w:rsid w:val="59172716"/>
    <w:rsid w:val="59747B68"/>
    <w:rsid w:val="59A57D21"/>
    <w:rsid w:val="5B0F5D9A"/>
    <w:rsid w:val="5B841BB9"/>
    <w:rsid w:val="5C245875"/>
    <w:rsid w:val="5C62639E"/>
    <w:rsid w:val="5C732359"/>
    <w:rsid w:val="5CC11316"/>
    <w:rsid w:val="5CF8460C"/>
    <w:rsid w:val="5D0B07E3"/>
    <w:rsid w:val="5D8B1F3D"/>
    <w:rsid w:val="5DD21301"/>
    <w:rsid w:val="5FB24F46"/>
    <w:rsid w:val="61D03DA9"/>
    <w:rsid w:val="62A24293"/>
    <w:rsid w:val="63155F18"/>
    <w:rsid w:val="63C65464"/>
    <w:rsid w:val="64264155"/>
    <w:rsid w:val="65206DF6"/>
    <w:rsid w:val="69BD4C13"/>
    <w:rsid w:val="6AF24D91"/>
    <w:rsid w:val="6C4909E0"/>
    <w:rsid w:val="6C537A6C"/>
    <w:rsid w:val="6CF941B4"/>
    <w:rsid w:val="6DA5433C"/>
    <w:rsid w:val="6DC72505"/>
    <w:rsid w:val="6E1119D2"/>
    <w:rsid w:val="6E1D0376"/>
    <w:rsid w:val="6F881820"/>
    <w:rsid w:val="6FB62831"/>
    <w:rsid w:val="70666005"/>
    <w:rsid w:val="720553A9"/>
    <w:rsid w:val="734B3290"/>
    <w:rsid w:val="75703482"/>
    <w:rsid w:val="767945B8"/>
    <w:rsid w:val="76C9109B"/>
    <w:rsid w:val="788C2381"/>
    <w:rsid w:val="78AE679B"/>
    <w:rsid w:val="79892D64"/>
    <w:rsid w:val="79EB757B"/>
    <w:rsid w:val="7A7632E8"/>
    <w:rsid w:val="7A9B2D4F"/>
    <w:rsid w:val="7C1C7EBF"/>
    <w:rsid w:val="7D172435"/>
    <w:rsid w:val="7D8B70AB"/>
    <w:rsid w:val="7E0714B7"/>
    <w:rsid w:val="7E1A7242"/>
    <w:rsid w:val="7FC05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40"/>
    <w:qFormat/>
    <w:uiPriority w:val="0"/>
    <w:rPr>
      <w:rFonts w:ascii="宋体" w:hAnsi="Times New Roman" w:eastAsia="宋体" w:cs="Times New Roman"/>
      <w:sz w:val="24"/>
      <w:szCs w:val="20"/>
    </w:rPr>
  </w:style>
  <w:style w:type="paragraph" w:styleId="12">
    <w:name w:val="Body Text Indent"/>
    <w:basedOn w:val="1"/>
    <w:link w:val="41"/>
    <w:qFormat/>
    <w:uiPriority w:val="0"/>
    <w:pPr>
      <w:ind w:firstLine="570"/>
    </w:pPr>
    <w:rPr>
      <w:rFonts w:ascii="Times New Roman" w:hAnsi="Times New Roman" w:eastAsia="楷体_GB2312" w:cs="Times New Roman"/>
      <w:sz w:val="28"/>
      <w:szCs w:val="20"/>
    </w:rPr>
  </w:style>
  <w:style w:type="paragraph" w:styleId="13">
    <w:name w:val="footer"/>
    <w:basedOn w:val="1"/>
    <w:link w:val="39"/>
    <w:unhideWhenUsed/>
    <w:qFormat/>
    <w:uiPriority w:val="99"/>
    <w:pPr>
      <w:tabs>
        <w:tab w:val="center" w:pos="4153"/>
        <w:tab w:val="right" w:pos="8306"/>
      </w:tabs>
      <w:snapToGrid w:val="0"/>
      <w:jc w:val="left"/>
    </w:pPr>
    <w:rPr>
      <w:sz w:val="18"/>
      <w:szCs w:val="18"/>
    </w:rPr>
  </w:style>
  <w:style w:type="paragraph" w:styleId="14">
    <w:name w:val="header"/>
    <w:basedOn w:val="1"/>
    <w:link w:val="38"/>
    <w:unhideWhenUsed/>
    <w:qFormat/>
    <w:uiPriority w:val="99"/>
    <w:pPr>
      <w:tabs>
        <w:tab w:val="center" w:pos="4153"/>
        <w:tab w:val="right" w:pos="8306"/>
      </w:tabs>
      <w:snapToGrid w:val="0"/>
      <w:jc w:val="center"/>
    </w:pPr>
    <w:rPr>
      <w:sz w:val="18"/>
      <w:szCs w:val="18"/>
    </w:rPr>
  </w:style>
  <w:style w:type="paragraph" w:styleId="15">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9"/>
    <w:link w:val="5"/>
    <w:semiHidden/>
    <w:qFormat/>
    <w:uiPriority w:val="9"/>
    <w:rPr>
      <w:rFonts w:cstheme="majorBidi"/>
      <w:color w:val="104862" w:themeColor="accent1" w:themeShade="BF"/>
      <w:sz w:val="28"/>
      <w:szCs w:val="28"/>
    </w:rPr>
  </w:style>
  <w:style w:type="character" w:customStyle="1" w:styleId="24">
    <w:name w:val="标题 5 字符"/>
    <w:basedOn w:val="19"/>
    <w:link w:val="6"/>
    <w:semiHidden/>
    <w:qFormat/>
    <w:uiPriority w:val="9"/>
    <w:rPr>
      <w:rFonts w:cstheme="majorBidi"/>
      <w:color w:val="104862" w:themeColor="accent1" w:themeShade="BF"/>
      <w:sz w:val="24"/>
      <w:szCs w:val="24"/>
    </w:rPr>
  </w:style>
  <w:style w:type="character" w:customStyle="1" w:styleId="25">
    <w:name w:val="标题 6 字符"/>
    <w:basedOn w:val="19"/>
    <w:link w:val="7"/>
    <w:semiHidden/>
    <w:qFormat/>
    <w:uiPriority w:val="9"/>
    <w:rPr>
      <w:rFonts w:cstheme="majorBidi"/>
      <w:b/>
      <w:bCs/>
      <w:color w:val="104862" w:themeColor="accent1" w:themeShade="BF"/>
    </w:rPr>
  </w:style>
  <w:style w:type="character" w:customStyle="1" w:styleId="26">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9"/>
    <w:link w:val="16"/>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9"/>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9"/>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明显强调1"/>
    <w:basedOn w:val="19"/>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9"/>
    <w:link w:val="35"/>
    <w:qFormat/>
    <w:uiPriority w:val="30"/>
    <w:rPr>
      <w:i/>
      <w:iCs/>
      <w:color w:val="104862" w:themeColor="accent1" w:themeShade="BF"/>
    </w:rPr>
  </w:style>
  <w:style w:type="character" w:customStyle="1" w:styleId="37">
    <w:name w:val="明显参考1"/>
    <w:basedOn w:val="19"/>
    <w:qFormat/>
    <w:uiPriority w:val="32"/>
    <w:rPr>
      <w:b/>
      <w:bCs/>
      <w:smallCaps/>
      <w:color w:val="104862" w:themeColor="accent1" w:themeShade="BF"/>
      <w:spacing w:val="5"/>
    </w:rPr>
  </w:style>
  <w:style w:type="character" w:customStyle="1" w:styleId="38">
    <w:name w:val="页眉 字符"/>
    <w:basedOn w:val="19"/>
    <w:link w:val="14"/>
    <w:qFormat/>
    <w:uiPriority w:val="99"/>
    <w:rPr>
      <w:sz w:val="18"/>
      <w:szCs w:val="18"/>
    </w:rPr>
  </w:style>
  <w:style w:type="character" w:customStyle="1" w:styleId="39">
    <w:name w:val="页脚 字符"/>
    <w:basedOn w:val="19"/>
    <w:link w:val="13"/>
    <w:qFormat/>
    <w:uiPriority w:val="99"/>
    <w:rPr>
      <w:sz w:val="18"/>
      <w:szCs w:val="18"/>
    </w:rPr>
  </w:style>
  <w:style w:type="character" w:customStyle="1" w:styleId="40">
    <w:name w:val="正文文本 字符"/>
    <w:basedOn w:val="19"/>
    <w:link w:val="11"/>
    <w:qFormat/>
    <w:uiPriority w:val="0"/>
    <w:rPr>
      <w:rFonts w:ascii="宋体" w:hAnsi="Times New Roman" w:eastAsia="宋体" w:cs="Times New Roman"/>
      <w:sz w:val="24"/>
      <w:szCs w:val="20"/>
    </w:rPr>
  </w:style>
  <w:style w:type="character" w:customStyle="1" w:styleId="41">
    <w:name w:val="正文文本缩进 字符"/>
    <w:basedOn w:val="19"/>
    <w:link w:val="12"/>
    <w:qFormat/>
    <w:uiPriority w:val="0"/>
    <w:rPr>
      <w:rFonts w:ascii="Times New Roman" w:hAnsi="Times New Roman" w:eastAsia="楷体_GB2312" w:cs="Times New Roman"/>
      <w:sz w:val="28"/>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9360</Words>
  <Characters>10088</Characters>
  <Lines>81</Lines>
  <Paragraphs>23</Paragraphs>
  <TotalTime>2</TotalTime>
  <ScaleCrop>false</ScaleCrop>
  <LinksUpToDate>false</LinksUpToDate>
  <CharactersWithSpaces>11497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2025-11-18T02:40:00Z</dcterms:created>
  <dc:creator>Jiapeng Li</dc:creator>
  <cp:lastModifiedBy>子风</cp:lastModifiedBy>
  <dcterms:modified xsi:type="dcterms:W3CDTF">2025-12-08T06:14:26Z</dcterms:modified>
  <cp:revision>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eyJoZGlkIjoiNDJhYjMwZGVlMjNhZTk2MWE3MTc5ZTM4NWEyZDZjYTIiLCJ1c2VySWQiOiIzODQ5ODI4MTMifQ==</vt:lpwstr>
  </property>
  <property fmtid="{D5CDD505-2E9C-101B-9397-08002B2CF9AE}" pid="3" name="KSOProductBuildVer">
    <vt:lpwstr>2052-12.1.0.24034</vt:lpwstr>
  </property>
  <property fmtid="{D5CDD505-2E9C-101B-9397-08002B2CF9AE}" pid="4" name="ICV">
    <vt:lpwstr>FBAFA81A442D404BBEC57AECDB139229_13</vt:lpwstr>
  </property>
</Properties>
</file>