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E793" w14:textId="77777777" w:rsidR="00792F93" w:rsidRPr="00945204" w:rsidRDefault="00792F93" w:rsidP="00792F93">
      <w:pPr>
        <w:pStyle w:val="Head1"/>
      </w:pPr>
      <w:r w:rsidRPr="00945204">
        <w:rPr>
          <w:noProof/>
          <w:sz w:val="20"/>
        </w:rPr>
        <w:drawing>
          <wp:inline distT="0" distB="0" distL="0" distR="0" wp14:anchorId="3E57A5F2" wp14:editId="4385FF78">
            <wp:extent cx="3393152" cy="1009498"/>
            <wp:effectExtent l="0" t="0" r="0" b="635"/>
            <wp:docPr id="3" name="Picture 3" descr="OPC/Commonwealth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431677" cy="1020959"/>
                    </a:xfrm>
                    <a:prstGeom prst="rect">
                      <a:avLst/>
                    </a:prstGeom>
                    <a:noFill/>
                    <a:ln w="9525">
                      <a:noFill/>
                      <a:miter lim="800000"/>
                      <a:headEnd/>
                      <a:tailEnd/>
                    </a:ln>
                  </pic:spPr>
                </pic:pic>
              </a:graphicData>
            </a:graphic>
          </wp:inline>
        </w:drawing>
      </w:r>
    </w:p>
    <w:p w14:paraId="5000D382" w14:textId="77777777" w:rsidR="00792F93" w:rsidRPr="00945204" w:rsidRDefault="00792F93" w:rsidP="00792F93">
      <w:pPr>
        <w:pStyle w:val="Head1"/>
      </w:pPr>
      <w:r w:rsidRPr="00945204">
        <w:t>Instrument Drafting Guidance Note No. 1.3</w:t>
      </w:r>
    </w:p>
    <w:p w14:paraId="4ABF0BA6" w14:textId="77777777" w:rsidR="00792F93" w:rsidRPr="00945204" w:rsidRDefault="00792F93" w:rsidP="00792F93">
      <w:pPr>
        <w:pStyle w:val="Head1"/>
      </w:pPr>
      <w:r w:rsidRPr="00945204">
        <w:t>Judging size and complexity for instrument projects</w:t>
      </w:r>
    </w:p>
    <w:p w14:paraId="1E2ECEF3" w14:textId="6DC25C93" w:rsidR="00792F93" w:rsidRPr="00945204" w:rsidRDefault="00792F93" w:rsidP="00792F93">
      <w:pPr>
        <w:pStyle w:val="Release"/>
      </w:pPr>
      <w:r w:rsidRPr="00945204">
        <w:t xml:space="preserve">Document release </w:t>
      </w:r>
      <w:r w:rsidR="00F575C9">
        <w:t>2</w:t>
      </w:r>
      <w:r w:rsidRPr="00945204">
        <w:t>.0</w:t>
      </w:r>
    </w:p>
    <w:p w14:paraId="04C60C7C" w14:textId="04FF36CB" w:rsidR="00792F93" w:rsidRPr="00945204" w:rsidRDefault="00792F93" w:rsidP="00792F93">
      <w:pPr>
        <w:pStyle w:val="Release"/>
        <w:spacing w:before="0"/>
      </w:pPr>
      <w:r w:rsidRPr="00945204">
        <w:t xml:space="preserve">Issued </w:t>
      </w:r>
      <w:r w:rsidR="00F575C9">
        <w:t>June 2025</w:t>
      </w:r>
    </w:p>
    <w:p w14:paraId="60B26F15" w14:textId="77777777" w:rsidR="00F575C9" w:rsidRPr="00DA60AC" w:rsidRDefault="00F575C9" w:rsidP="00F575C9">
      <w:pPr>
        <w:pStyle w:val="Head2"/>
      </w:pPr>
      <w:bookmarkStart w:id="0" w:name="_Hlk144476863"/>
      <w:bookmarkStart w:id="1" w:name="_Hlk144476394"/>
      <w:r w:rsidRPr="00DA60AC">
        <w:t>Purpose of this document</w:t>
      </w:r>
    </w:p>
    <w:bookmarkEnd w:id="0"/>
    <w:p w14:paraId="385C649A" w14:textId="77777777" w:rsidR="00F575C9" w:rsidRPr="00DA60AC" w:rsidRDefault="00F575C9" w:rsidP="00F575C9">
      <w:pPr>
        <w:pStyle w:val="BodyNum"/>
      </w:pPr>
      <w:r w:rsidRPr="00DA60AC">
        <w:t>The purpose of this document is to assist agencies in judging the anticipated size and complexity of instrument drafting projects:</w:t>
      </w:r>
    </w:p>
    <w:bookmarkEnd w:id="1"/>
    <w:p w14:paraId="4B8C37F8" w14:textId="77777777" w:rsidR="00F575C9" w:rsidRPr="00DA60AC" w:rsidRDefault="00F575C9" w:rsidP="00F575C9">
      <w:pPr>
        <w:pStyle w:val="BodyParaBullet"/>
      </w:pPr>
      <w:r w:rsidRPr="00DA60AC">
        <w:t>when preparing bids for ExCo instruments; and</w:t>
      </w:r>
    </w:p>
    <w:p w14:paraId="5D4BFEA2" w14:textId="77777777" w:rsidR="00F575C9" w:rsidRPr="00DA60AC" w:rsidRDefault="00F575C9" w:rsidP="00F575C9">
      <w:pPr>
        <w:pStyle w:val="BodyParaBullet"/>
      </w:pPr>
      <w:r w:rsidRPr="00DA60AC">
        <w:t>when seeking to engage OPC to draft non</w:t>
      </w:r>
      <w:r>
        <w:noBreakHyphen/>
      </w:r>
      <w:r w:rsidRPr="00DA60AC">
        <w:t>ExCo instruments; and</w:t>
      </w:r>
    </w:p>
    <w:p w14:paraId="47746903" w14:textId="77777777" w:rsidR="00F575C9" w:rsidRPr="00DA60AC" w:rsidRDefault="00F575C9" w:rsidP="00F575C9">
      <w:pPr>
        <w:pStyle w:val="BodyParaBullet"/>
      </w:pPr>
      <w:r w:rsidRPr="00DA60AC">
        <w:t>in working out timeframes for the development of instruments and the provision of initial drafting instructions.</w:t>
      </w:r>
    </w:p>
    <w:p w14:paraId="57ED81F6" w14:textId="77777777" w:rsidR="00F575C9" w:rsidRPr="00DA60AC" w:rsidRDefault="00F575C9" w:rsidP="00F575C9">
      <w:pPr>
        <w:pStyle w:val="Head3"/>
      </w:pPr>
      <w:r w:rsidRPr="00DA60AC">
        <w:t>ExCo instruments</w:t>
      </w:r>
    </w:p>
    <w:p w14:paraId="4D9FAD75" w14:textId="77777777" w:rsidR="00F575C9" w:rsidRPr="00DA60AC" w:rsidRDefault="00F575C9" w:rsidP="00F575C9">
      <w:pPr>
        <w:pStyle w:val="BodyNum"/>
      </w:pPr>
      <w:r w:rsidRPr="00DA60AC">
        <w:rPr>
          <w:lang w:eastAsia="en-US"/>
        </w:rPr>
        <w:t xml:space="preserve">The anticipated </w:t>
      </w:r>
      <w:r w:rsidRPr="00DA60AC">
        <w:t xml:space="preserve">size and complexity of an ExCo instrument must be indicated in the ExCo instrument bid for the instrument (see the </w:t>
      </w:r>
      <w:hyperlink r:id="rId8" w:history="1">
        <w:r w:rsidRPr="00DA60AC">
          <w:rPr>
            <w:rStyle w:val="Hyperlink"/>
          </w:rPr>
          <w:t>ExCo instruments bid templates</w:t>
        </w:r>
      </w:hyperlink>
      <w:r w:rsidRPr="00DA60AC">
        <w:t xml:space="preserve">) and in the drafting instructions for the instrument (see the </w:t>
      </w:r>
      <w:hyperlink r:id="rId9" w:history="1">
        <w:r w:rsidRPr="00DA60AC">
          <w:rPr>
            <w:rStyle w:val="Hyperlink"/>
          </w:rPr>
          <w:t>Drafting instructions template (Instruments)</w:t>
        </w:r>
      </w:hyperlink>
      <w:r w:rsidRPr="00DA60AC">
        <w:t>).</w:t>
      </w:r>
    </w:p>
    <w:p w14:paraId="01CE3B59" w14:textId="77777777" w:rsidR="00F575C9" w:rsidRPr="00DA60AC" w:rsidRDefault="00F575C9" w:rsidP="00F575C9">
      <w:pPr>
        <w:pStyle w:val="Head3"/>
      </w:pPr>
      <w:r w:rsidRPr="00DA60AC">
        <w:t>Non</w:t>
      </w:r>
      <w:r>
        <w:noBreakHyphen/>
      </w:r>
      <w:r w:rsidRPr="00DA60AC">
        <w:t>ExCo instruments</w:t>
      </w:r>
    </w:p>
    <w:p w14:paraId="5FC770A4" w14:textId="77777777" w:rsidR="00F575C9" w:rsidRPr="00DA60AC" w:rsidRDefault="00F575C9" w:rsidP="00F575C9">
      <w:pPr>
        <w:pStyle w:val="BodyNum"/>
      </w:pPr>
      <w:r w:rsidRPr="00DA60AC">
        <w:t>T</w:t>
      </w:r>
      <w:r w:rsidRPr="00DA60AC">
        <w:rPr>
          <w:lang w:eastAsia="en-US"/>
        </w:rPr>
        <w:t xml:space="preserve">he anticipated </w:t>
      </w:r>
      <w:r w:rsidRPr="00DA60AC">
        <w:t>size and complexity of a non</w:t>
      </w:r>
      <w:r>
        <w:noBreakHyphen/>
      </w:r>
      <w:r w:rsidRPr="00DA60AC">
        <w:t xml:space="preserve">ExCo instrument that an agency is  seeking to engage OPC to draft should be indicated in the drafting instructions (see the </w:t>
      </w:r>
      <w:hyperlink r:id="rId10" w:history="1">
        <w:r w:rsidRPr="00DA60AC">
          <w:rPr>
            <w:rStyle w:val="Hyperlink"/>
          </w:rPr>
          <w:t>Drafting instructions template (Instruments)</w:t>
        </w:r>
      </w:hyperlink>
      <w:r w:rsidRPr="00DA60AC">
        <w:t>), or request for quote, for the instrument.</w:t>
      </w:r>
    </w:p>
    <w:p w14:paraId="01391CF9" w14:textId="77777777" w:rsidR="00F575C9" w:rsidRPr="00DA60AC" w:rsidRDefault="00F575C9" w:rsidP="00F575C9">
      <w:pPr>
        <w:pStyle w:val="Head3"/>
      </w:pPr>
      <w:r w:rsidRPr="00DA60AC">
        <w:t>Timeframes</w:t>
      </w:r>
    </w:p>
    <w:p w14:paraId="07193B53" w14:textId="77777777" w:rsidR="00F575C9" w:rsidRPr="00DA60AC" w:rsidRDefault="00F575C9" w:rsidP="00F575C9">
      <w:pPr>
        <w:pStyle w:val="BodyNum"/>
      </w:pPr>
      <w:r w:rsidRPr="00DA60AC">
        <w:t>Agencies must take the anticipated size and complexity of an instrument into account in planning the timeframe for developing the instrument, and must ensure that initial instructions are provided to OPC in sufficient time to enable OPC and the instructors to complete the instrument by the desired deadline for finalisation or consultation.</w:t>
      </w:r>
    </w:p>
    <w:p w14:paraId="6E05A1D6" w14:textId="77777777" w:rsidR="00F575C9" w:rsidRPr="00DA60AC" w:rsidRDefault="00F575C9" w:rsidP="00F575C9">
      <w:pPr>
        <w:pStyle w:val="BodyNum"/>
      </w:pPr>
      <w:r w:rsidRPr="00DA60AC">
        <w:t>The greater the complexity involved in an instrument, and the larger it is, the longer it will take to complete. Even small, simple instruments can take at least 6 weeks to be ready for finalisation or consultation. Moderately complex instruments can take at least 4 months to be ready for finalisation or consultation. If the instrument or policy is complex, or the instrument is large, it is likely to take between 6 and 18 months to complete the draft for finalisation or consultation.</w:t>
      </w:r>
    </w:p>
    <w:p w14:paraId="5423BE59" w14:textId="77777777" w:rsidR="00F575C9" w:rsidRPr="00DA60AC" w:rsidRDefault="00F575C9" w:rsidP="00F575C9">
      <w:pPr>
        <w:pStyle w:val="Head2"/>
        <w:pBdr>
          <w:top w:val="single" w:sz="4" w:space="1" w:color="auto"/>
          <w:bottom w:val="single" w:sz="4" w:space="1" w:color="auto"/>
        </w:pBdr>
        <w:shd w:val="clear" w:color="auto" w:fill="D9D9D9" w:themeFill="background1" w:themeFillShade="D9"/>
        <w:rPr>
          <w:rFonts w:ascii="Times New Roman" w:hAnsi="Times New Roman"/>
          <w:sz w:val="24"/>
          <w:szCs w:val="24"/>
        </w:rPr>
      </w:pPr>
      <w:r w:rsidRPr="00DA60AC">
        <w:rPr>
          <w:rFonts w:ascii="Times New Roman" w:hAnsi="Times New Roman"/>
          <w:sz w:val="24"/>
          <w:szCs w:val="24"/>
        </w:rPr>
        <w:lastRenderedPageBreak/>
        <w:t>Size</w:t>
      </w:r>
    </w:p>
    <w:p w14:paraId="137314D1" w14:textId="77777777" w:rsidR="00F22373" w:rsidRDefault="00F22373" w:rsidP="00F575C9">
      <w:pPr>
        <w:pStyle w:val="BodyNum"/>
        <w:numPr>
          <w:ilvl w:val="0"/>
          <w:numId w:val="0"/>
        </w:numPr>
        <w:spacing w:before="120"/>
        <w:rPr>
          <w:sz w:val="20"/>
        </w:rPr>
        <w:sectPr w:rsidR="00F22373" w:rsidSect="00F22373">
          <w:headerReference w:type="even" r:id="rId11"/>
          <w:headerReference w:type="default" r:id="rId12"/>
          <w:footerReference w:type="even" r:id="rId13"/>
          <w:footerReference w:type="default" r:id="rId14"/>
          <w:headerReference w:type="first" r:id="rId15"/>
          <w:footerReference w:type="first" r:id="rId16"/>
          <w:pgSz w:w="11907" w:h="16839"/>
          <w:pgMar w:top="1134" w:right="1440" w:bottom="1134" w:left="1440" w:header="720" w:footer="720" w:gutter="0"/>
          <w:cols w:space="708"/>
          <w:docGrid w:linePitch="360"/>
        </w:sectPr>
      </w:pPr>
    </w:p>
    <w:p w14:paraId="0EB64902" w14:textId="77777777" w:rsidR="00F575C9" w:rsidRPr="00DA60AC" w:rsidRDefault="00F575C9" w:rsidP="00F575C9">
      <w:pPr>
        <w:pStyle w:val="BodyNum"/>
        <w:numPr>
          <w:ilvl w:val="0"/>
          <w:numId w:val="0"/>
        </w:numPr>
        <w:spacing w:before="120"/>
        <w:rPr>
          <w:sz w:val="20"/>
        </w:rPr>
      </w:pPr>
      <w:r w:rsidRPr="00DA60AC">
        <w:rPr>
          <w:sz w:val="20"/>
        </w:rPr>
        <w:t>The following table sets out what the size categories cover.</w:t>
      </w:r>
    </w:p>
    <w:p w14:paraId="021B9996" w14:textId="77777777" w:rsidR="00F575C9" w:rsidRPr="00DA60AC" w:rsidRDefault="00F575C9" w:rsidP="00F575C9">
      <w:pPr>
        <w:pStyle w:val="BodyNum"/>
        <w:numPr>
          <w:ilvl w:val="0"/>
          <w:numId w:val="0"/>
        </w:numPr>
        <w:spacing w:before="0"/>
        <w:rPr>
          <w:sz w:val="16"/>
          <w:szCs w:val="16"/>
        </w:rPr>
      </w:pPr>
    </w:p>
    <w:tbl>
      <w:tblPr>
        <w:tblW w:w="4815"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1413"/>
        <w:gridCol w:w="3402"/>
      </w:tblGrid>
      <w:tr w:rsidR="00F575C9" w:rsidRPr="00DA60AC" w14:paraId="1BB8C3C6" w14:textId="77777777" w:rsidTr="00B546A6">
        <w:trPr>
          <w:tblHeader/>
        </w:trPr>
        <w:tc>
          <w:tcPr>
            <w:tcW w:w="1413" w:type="dxa"/>
            <w:tcBorders>
              <w:top w:val="single" w:sz="12" w:space="0" w:color="auto"/>
              <w:bottom w:val="single" w:sz="12" w:space="0" w:color="auto"/>
            </w:tcBorders>
            <w:shd w:val="clear" w:color="auto" w:fill="auto"/>
          </w:tcPr>
          <w:p w14:paraId="77DFCA62" w14:textId="77777777" w:rsidR="00F575C9" w:rsidRPr="00DA60AC" w:rsidRDefault="00F575C9" w:rsidP="00B546A6">
            <w:pPr>
              <w:pStyle w:val="TableHeading"/>
              <w:rPr>
                <w:sz w:val="22"/>
                <w:szCs w:val="22"/>
              </w:rPr>
            </w:pPr>
            <w:r w:rsidRPr="00DA60AC">
              <w:rPr>
                <w:sz w:val="22"/>
                <w:szCs w:val="22"/>
              </w:rPr>
              <w:t>Size</w:t>
            </w:r>
          </w:p>
        </w:tc>
        <w:tc>
          <w:tcPr>
            <w:tcW w:w="3402" w:type="dxa"/>
            <w:tcBorders>
              <w:top w:val="single" w:sz="12" w:space="0" w:color="auto"/>
              <w:bottom w:val="single" w:sz="12" w:space="0" w:color="auto"/>
            </w:tcBorders>
            <w:shd w:val="clear" w:color="auto" w:fill="auto"/>
          </w:tcPr>
          <w:p w14:paraId="5F6408F7" w14:textId="77777777" w:rsidR="00F575C9" w:rsidRPr="00DA60AC" w:rsidRDefault="00F575C9" w:rsidP="00B546A6">
            <w:pPr>
              <w:pStyle w:val="TableHeading"/>
              <w:rPr>
                <w:sz w:val="22"/>
                <w:szCs w:val="22"/>
              </w:rPr>
            </w:pPr>
            <w:r w:rsidRPr="00DA60AC">
              <w:rPr>
                <w:sz w:val="22"/>
                <w:szCs w:val="22"/>
              </w:rPr>
              <w:t>Anticipated number of pages</w:t>
            </w:r>
          </w:p>
        </w:tc>
      </w:tr>
      <w:tr w:rsidR="00F575C9" w:rsidRPr="00DA60AC" w14:paraId="1B51A296" w14:textId="77777777" w:rsidTr="00B546A6">
        <w:tc>
          <w:tcPr>
            <w:tcW w:w="1413" w:type="dxa"/>
            <w:tcBorders>
              <w:top w:val="single" w:sz="12" w:space="0" w:color="auto"/>
            </w:tcBorders>
            <w:shd w:val="clear" w:color="auto" w:fill="67AB9A"/>
          </w:tcPr>
          <w:p w14:paraId="1A3B46D1" w14:textId="77777777" w:rsidR="00F575C9" w:rsidRPr="00DA60AC" w:rsidRDefault="00F575C9" w:rsidP="00B546A6">
            <w:pPr>
              <w:pStyle w:val="Tabletext"/>
              <w:rPr>
                <w:sz w:val="22"/>
                <w:szCs w:val="22"/>
              </w:rPr>
            </w:pPr>
            <w:r w:rsidRPr="00DA60AC">
              <w:rPr>
                <w:sz w:val="22"/>
                <w:szCs w:val="22"/>
              </w:rPr>
              <w:t>Small</w:t>
            </w:r>
          </w:p>
        </w:tc>
        <w:tc>
          <w:tcPr>
            <w:tcW w:w="3402" w:type="dxa"/>
            <w:tcBorders>
              <w:top w:val="single" w:sz="12" w:space="0" w:color="auto"/>
            </w:tcBorders>
            <w:shd w:val="clear" w:color="auto" w:fill="67AB9A"/>
          </w:tcPr>
          <w:p w14:paraId="6F188921" w14:textId="77777777" w:rsidR="00F575C9" w:rsidRPr="00DA60AC" w:rsidRDefault="00F575C9" w:rsidP="00B546A6">
            <w:pPr>
              <w:pStyle w:val="Tabletext"/>
              <w:rPr>
                <w:sz w:val="22"/>
                <w:szCs w:val="22"/>
              </w:rPr>
            </w:pPr>
            <w:r w:rsidRPr="00DA60AC">
              <w:rPr>
                <w:sz w:val="22"/>
                <w:szCs w:val="22"/>
              </w:rPr>
              <w:t>up to 5</w:t>
            </w:r>
          </w:p>
        </w:tc>
      </w:tr>
      <w:tr w:rsidR="00F575C9" w:rsidRPr="00DA60AC" w14:paraId="744CEFCB" w14:textId="77777777" w:rsidTr="00B546A6">
        <w:tc>
          <w:tcPr>
            <w:tcW w:w="1413" w:type="dxa"/>
            <w:tcBorders>
              <w:bottom w:val="single" w:sz="2" w:space="0" w:color="auto"/>
            </w:tcBorders>
            <w:shd w:val="clear" w:color="auto" w:fill="A9D9DB"/>
          </w:tcPr>
          <w:p w14:paraId="25D7280A" w14:textId="77777777" w:rsidR="00F575C9" w:rsidRPr="00DA60AC" w:rsidRDefault="00F575C9" w:rsidP="00B546A6">
            <w:pPr>
              <w:pStyle w:val="Tabletext"/>
              <w:rPr>
                <w:sz w:val="22"/>
                <w:szCs w:val="22"/>
              </w:rPr>
            </w:pPr>
            <w:r w:rsidRPr="00DA60AC">
              <w:rPr>
                <w:sz w:val="22"/>
                <w:szCs w:val="22"/>
              </w:rPr>
              <w:t>Medium</w:t>
            </w:r>
          </w:p>
        </w:tc>
        <w:tc>
          <w:tcPr>
            <w:tcW w:w="3402" w:type="dxa"/>
            <w:tcBorders>
              <w:bottom w:val="single" w:sz="2" w:space="0" w:color="auto"/>
            </w:tcBorders>
            <w:shd w:val="clear" w:color="auto" w:fill="A9D9DB"/>
          </w:tcPr>
          <w:p w14:paraId="4A27CF6A" w14:textId="77777777" w:rsidR="00F575C9" w:rsidRPr="00DA60AC" w:rsidRDefault="00F575C9" w:rsidP="00B546A6">
            <w:pPr>
              <w:pStyle w:val="Tabletext"/>
              <w:rPr>
                <w:sz w:val="22"/>
                <w:szCs w:val="22"/>
              </w:rPr>
            </w:pPr>
            <w:r w:rsidRPr="00DA60AC">
              <w:rPr>
                <w:sz w:val="22"/>
                <w:szCs w:val="22"/>
              </w:rPr>
              <w:t>from 6 to 50</w:t>
            </w:r>
          </w:p>
        </w:tc>
      </w:tr>
      <w:tr w:rsidR="00F575C9" w:rsidRPr="00DA60AC" w14:paraId="3CD0518E" w14:textId="77777777" w:rsidTr="00B546A6">
        <w:tc>
          <w:tcPr>
            <w:tcW w:w="1413" w:type="dxa"/>
            <w:tcBorders>
              <w:top w:val="single" w:sz="2" w:space="0" w:color="auto"/>
              <w:bottom w:val="single" w:sz="12" w:space="0" w:color="auto"/>
            </w:tcBorders>
            <w:shd w:val="clear" w:color="auto" w:fill="D1505F"/>
          </w:tcPr>
          <w:p w14:paraId="46983A3A" w14:textId="77777777" w:rsidR="00F575C9" w:rsidRPr="00DA60AC" w:rsidRDefault="00F575C9" w:rsidP="00B546A6">
            <w:pPr>
              <w:pStyle w:val="Tabletext"/>
              <w:rPr>
                <w:sz w:val="22"/>
                <w:szCs w:val="22"/>
              </w:rPr>
            </w:pPr>
            <w:r w:rsidRPr="00DA60AC">
              <w:rPr>
                <w:sz w:val="22"/>
                <w:szCs w:val="22"/>
              </w:rPr>
              <w:t>Large</w:t>
            </w:r>
          </w:p>
        </w:tc>
        <w:tc>
          <w:tcPr>
            <w:tcW w:w="3402" w:type="dxa"/>
            <w:tcBorders>
              <w:top w:val="single" w:sz="2" w:space="0" w:color="auto"/>
              <w:bottom w:val="single" w:sz="12" w:space="0" w:color="auto"/>
            </w:tcBorders>
            <w:shd w:val="clear" w:color="auto" w:fill="D1505F"/>
          </w:tcPr>
          <w:p w14:paraId="58FEAA18" w14:textId="77777777" w:rsidR="00F575C9" w:rsidRPr="00DA60AC" w:rsidRDefault="00F575C9" w:rsidP="00B546A6">
            <w:pPr>
              <w:pStyle w:val="Tabletext"/>
              <w:rPr>
                <w:sz w:val="22"/>
                <w:szCs w:val="22"/>
              </w:rPr>
            </w:pPr>
            <w:r w:rsidRPr="00DA60AC">
              <w:rPr>
                <w:sz w:val="22"/>
                <w:szCs w:val="22"/>
              </w:rPr>
              <w:t>more than 50</w:t>
            </w:r>
          </w:p>
        </w:tc>
      </w:tr>
    </w:tbl>
    <w:p w14:paraId="1ED59193" w14:textId="77777777" w:rsidR="00F575C9" w:rsidRPr="00DA60AC" w:rsidRDefault="00F575C9" w:rsidP="00F575C9">
      <w:pPr>
        <w:pStyle w:val="BodyNum"/>
        <w:numPr>
          <w:ilvl w:val="0"/>
          <w:numId w:val="0"/>
        </w:numPr>
        <w:spacing w:before="120" w:after="120"/>
        <w:rPr>
          <w:sz w:val="20"/>
        </w:rPr>
      </w:pPr>
      <w:r w:rsidRPr="00DA60AC">
        <w:rPr>
          <w:sz w:val="20"/>
        </w:rPr>
        <w:t>Some factors that may affect size are:</w:t>
      </w:r>
    </w:p>
    <w:p w14:paraId="023E77D8" w14:textId="77777777" w:rsidR="00F575C9" w:rsidRPr="00DA60AC" w:rsidRDefault="00F575C9" w:rsidP="00F575C9">
      <w:pPr>
        <w:pStyle w:val="ListBullet"/>
        <w:numPr>
          <w:ilvl w:val="0"/>
          <w:numId w:val="15"/>
        </w:numPr>
        <w:rPr>
          <w:rFonts w:cs="Times New Roman"/>
          <w:sz w:val="20"/>
        </w:rPr>
      </w:pPr>
      <w:r w:rsidRPr="00DA60AC">
        <w:rPr>
          <w:rFonts w:cs="Times New Roman"/>
          <w:sz w:val="20"/>
        </w:rPr>
        <w:t>the number of provisions to be drafted or amended;</w:t>
      </w:r>
    </w:p>
    <w:p w14:paraId="318838DD" w14:textId="77777777" w:rsidR="00F575C9" w:rsidRPr="00DA60AC" w:rsidRDefault="00F575C9" w:rsidP="00F575C9">
      <w:pPr>
        <w:pStyle w:val="ListBullet"/>
        <w:numPr>
          <w:ilvl w:val="0"/>
          <w:numId w:val="15"/>
        </w:numPr>
        <w:rPr>
          <w:rFonts w:cs="Times New Roman"/>
          <w:sz w:val="20"/>
        </w:rPr>
      </w:pPr>
      <w:r w:rsidRPr="00DA60AC">
        <w:rPr>
          <w:rFonts w:cs="Times New Roman"/>
          <w:sz w:val="20"/>
        </w:rPr>
        <w:t>the number of consequential amendments required;</w:t>
      </w:r>
    </w:p>
    <w:p w14:paraId="34953BCC" w14:textId="27CE39CB" w:rsidR="00676C92" w:rsidRPr="00EC7F02" w:rsidRDefault="00F575C9" w:rsidP="00E44FF3">
      <w:pPr>
        <w:pStyle w:val="ListBullet"/>
        <w:numPr>
          <w:ilvl w:val="0"/>
          <w:numId w:val="15"/>
        </w:numPr>
        <w:rPr>
          <w:sz w:val="24"/>
          <w:szCs w:val="24"/>
        </w:rPr>
        <w:sectPr w:rsidR="00676C92" w:rsidRPr="00EC7F02" w:rsidSect="00F22373">
          <w:type w:val="continuous"/>
          <w:pgSz w:w="11907" w:h="16839"/>
          <w:pgMar w:top="1134" w:right="1440" w:bottom="1134" w:left="1440" w:header="720" w:footer="720" w:gutter="0"/>
          <w:cols w:num="2" w:space="708"/>
          <w:docGrid w:linePitch="360"/>
        </w:sectPr>
      </w:pPr>
      <w:r w:rsidRPr="00EC7F02">
        <w:rPr>
          <w:rFonts w:cs="Times New Roman"/>
          <w:sz w:val="20"/>
        </w:rPr>
        <w:t>the number of transitional, application or saving provisions required.</w:t>
      </w:r>
    </w:p>
    <w:p w14:paraId="40F2576A" w14:textId="77777777" w:rsidR="00F22373" w:rsidRDefault="00F22373" w:rsidP="00E83743">
      <w:pPr>
        <w:pStyle w:val="Body"/>
        <w:sectPr w:rsidR="00F22373" w:rsidSect="00676C92">
          <w:type w:val="continuous"/>
          <w:pgSz w:w="11907" w:h="16839"/>
          <w:pgMar w:top="1440" w:right="1440" w:bottom="1440" w:left="1440" w:header="720" w:footer="720" w:gutter="0"/>
          <w:cols w:space="708"/>
          <w:docGrid w:linePitch="360"/>
        </w:sectPr>
      </w:pPr>
    </w:p>
    <w:p w14:paraId="0B7EDD31" w14:textId="77777777" w:rsidR="00F575C9" w:rsidRPr="00DA60AC" w:rsidRDefault="00F575C9" w:rsidP="00F575C9">
      <w:pPr>
        <w:pStyle w:val="Head2"/>
        <w:pBdr>
          <w:top w:val="single" w:sz="4" w:space="1" w:color="auto"/>
          <w:bottom w:val="single" w:sz="4" w:space="1" w:color="auto"/>
        </w:pBdr>
        <w:shd w:val="clear" w:color="auto" w:fill="D9D9D9" w:themeFill="background1" w:themeFillShade="D9"/>
        <w:rPr>
          <w:rFonts w:ascii="Times New Roman" w:hAnsi="Times New Roman"/>
          <w:sz w:val="24"/>
          <w:szCs w:val="24"/>
        </w:rPr>
      </w:pPr>
      <w:r w:rsidRPr="00DA60AC">
        <w:rPr>
          <w:rFonts w:ascii="Times New Roman" w:hAnsi="Times New Roman"/>
          <w:sz w:val="24"/>
          <w:szCs w:val="24"/>
        </w:rPr>
        <w:t>Complexity</w:t>
      </w:r>
    </w:p>
    <w:p w14:paraId="225AEC51" w14:textId="77777777" w:rsidR="00676C92" w:rsidRDefault="00676C92" w:rsidP="00F575C9">
      <w:pPr>
        <w:pStyle w:val="BodyNum"/>
        <w:numPr>
          <w:ilvl w:val="0"/>
          <w:numId w:val="0"/>
        </w:numPr>
        <w:spacing w:before="120"/>
        <w:sectPr w:rsidR="00676C92" w:rsidSect="00676C92">
          <w:type w:val="continuous"/>
          <w:pgSz w:w="11907" w:h="16839"/>
          <w:pgMar w:top="1440" w:right="1440" w:bottom="1440" w:left="1440" w:header="720" w:footer="720" w:gutter="0"/>
          <w:cols w:space="708"/>
          <w:docGrid w:linePitch="360"/>
        </w:sectPr>
      </w:pPr>
    </w:p>
    <w:p w14:paraId="7CE003CF" w14:textId="77777777" w:rsidR="00F575C9" w:rsidRPr="00DA60AC" w:rsidRDefault="00F575C9" w:rsidP="00F575C9">
      <w:pPr>
        <w:pStyle w:val="BodyNum"/>
        <w:numPr>
          <w:ilvl w:val="0"/>
          <w:numId w:val="0"/>
        </w:numPr>
        <w:spacing w:before="120"/>
      </w:pPr>
      <w:r w:rsidRPr="00DA60AC">
        <w:t>The following table sets out the elements that determine which complexity category applies to an instrument (or to a discrete measure to be included in an instrument).</w:t>
      </w:r>
    </w:p>
    <w:p w14:paraId="38FF0C5E" w14:textId="77777777" w:rsidR="00F575C9" w:rsidRPr="00DA60AC" w:rsidRDefault="00F575C9" w:rsidP="00F575C9">
      <w:pPr>
        <w:pStyle w:val="BodyNum"/>
        <w:numPr>
          <w:ilvl w:val="0"/>
          <w:numId w:val="0"/>
        </w:numPr>
        <w:spacing w:before="120"/>
      </w:pPr>
      <w:r w:rsidRPr="00DA60AC">
        <w:t>If the instrument (or the measure to be included in the instrument) has elements from more than one complexity category, the highest of those categories will apply to the instrument (or to the measure).</w:t>
      </w:r>
    </w:p>
    <w:p w14:paraId="66B6A60A" w14:textId="77777777" w:rsidR="00676C92" w:rsidRPr="00DA60AC" w:rsidRDefault="00F575C9" w:rsidP="00676C92">
      <w:pPr>
        <w:pStyle w:val="BodyNum"/>
        <w:numPr>
          <w:ilvl w:val="0"/>
          <w:numId w:val="0"/>
        </w:numPr>
        <w:spacing w:before="120"/>
      </w:pPr>
      <w:r w:rsidRPr="00DA60AC">
        <w:rPr>
          <w:i/>
          <w:iCs/>
        </w:rPr>
        <w:t>Example</w:t>
      </w:r>
      <w:r w:rsidRPr="00DA60AC">
        <w:t>: If an instrument requires a small number of provisions to be drafted (low complexity) but raises significant legal issues (high complexity), the high complexity category will apply to the instrument.</w:t>
      </w:r>
    </w:p>
    <w:p w14:paraId="1528AE67" w14:textId="77777777" w:rsidR="00676C92" w:rsidRDefault="00676C92" w:rsidP="00F575C9">
      <w:pPr>
        <w:pStyle w:val="Tabletext"/>
        <w:rPr>
          <w:sz w:val="16"/>
          <w:szCs w:val="16"/>
        </w:rPr>
        <w:sectPr w:rsidR="00676C92" w:rsidSect="00676C92">
          <w:type w:val="continuous"/>
          <w:pgSz w:w="11907" w:h="16839"/>
          <w:pgMar w:top="1440" w:right="1440" w:bottom="1440" w:left="1440" w:header="720" w:footer="720" w:gutter="0"/>
          <w:cols w:num="3" w:space="708"/>
          <w:docGrid w:linePitch="360"/>
        </w:sectPr>
      </w:pPr>
    </w:p>
    <w:p w14:paraId="2AB9A01D" w14:textId="77777777" w:rsidR="00F575C9" w:rsidRPr="00DA60AC" w:rsidRDefault="00F575C9" w:rsidP="00F575C9">
      <w:pPr>
        <w:pStyle w:val="Tabletext"/>
        <w:rPr>
          <w:sz w:val="16"/>
          <w:szCs w:val="16"/>
        </w:rPr>
      </w:pPr>
    </w:p>
    <w:tbl>
      <w:tblPr>
        <w:tblW w:w="10247" w:type="dxa"/>
        <w:tblInd w:w="-284"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3119"/>
        <w:gridCol w:w="3544"/>
        <w:gridCol w:w="3584"/>
      </w:tblGrid>
      <w:tr w:rsidR="00F575C9" w:rsidRPr="00DA60AC" w14:paraId="3267CDBF" w14:textId="77777777" w:rsidTr="00B546A6">
        <w:trPr>
          <w:tblHeader/>
        </w:trPr>
        <w:tc>
          <w:tcPr>
            <w:tcW w:w="3119" w:type="dxa"/>
            <w:tcBorders>
              <w:top w:val="single" w:sz="12" w:space="0" w:color="auto"/>
              <w:bottom w:val="single" w:sz="12" w:space="0" w:color="auto"/>
            </w:tcBorders>
            <w:shd w:val="clear" w:color="auto" w:fill="67AB9A"/>
          </w:tcPr>
          <w:p w14:paraId="2E40371A" w14:textId="77777777" w:rsidR="00F575C9" w:rsidRPr="00DA60AC" w:rsidRDefault="00F575C9" w:rsidP="00B546A6">
            <w:pPr>
              <w:pStyle w:val="TableHeading"/>
            </w:pPr>
            <w:r w:rsidRPr="00DA60AC">
              <w:t>Low</w:t>
            </w:r>
          </w:p>
        </w:tc>
        <w:tc>
          <w:tcPr>
            <w:tcW w:w="3544" w:type="dxa"/>
            <w:tcBorders>
              <w:top w:val="single" w:sz="12" w:space="0" w:color="auto"/>
              <w:bottom w:val="single" w:sz="12" w:space="0" w:color="auto"/>
            </w:tcBorders>
            <w:shd w:val="clear" w:color="auto" w:fill="A9D9DB"/>
          </w:tcPr>
          <w:p w14:paraId="708EAD9E" w14:textId="77777777" w:rsidR="00F575C9" w:rsidRPr="00DA60AC" w:rsidRDefault="00F575C9" w:rsidP="00B546A6">
            <w:pPr>
              <w:pStyle w:val="TableHeading"/>
            </w:pPr>
            <w:r w:rsidRPr="00DA60AC">
              <w:t>Moderate</w:t>
            </w:r>
          </w:p>
        </w:tc>
        <w:tc>
          <w:tcPr>
            <w:tcW w:w="3584" w:type="dxa"/>
            <w:tcBorders>
              <w:top w:val="single" w:sz="12" w:space="0" w:color="auto"/>
              <w:bottom w:val="single" w:sz="12" w:space="0" w:color="auto"/>
            </w:tcBorders>
            <w:shd w:val="clear" w:color="auto" w:fill="D1505F"/>
          </w:tcPr>
          <w:p w14:paraId="2CA78A0D" w14:textId="77777777" w:rsidR="00F575C9" w:rsidRPr="00DA60AC" w:rsidRDefault="00F575C9" w:rsidP="00B546A6">
            <w:pPr>
              <w:pStyle w:val="TableHeading"/>
            </w:pPr>
            <w:r w:rsidRPr="00DA60AC">
              <w:t>High</w:t>
            </w:r>
          </w:p>
        </w:tc>
      </w:tr>
      <w:tr w:rsidR="00F575C9" w:rsidRPr="00DA60AC" w14:paraId="251D90A8" w14:textId="77777777" w:rsidTr="00B546A6">
        <w:trPr>
          <w:trHeight w:val="2405"/>
        </w:trPr>
        <w:tc>
          <w:tcPr>
            <w:tcW w:w="3119" w:type="dxa"/>
            <w:tcBorders>
              <w:top w:val="single" w:sz="12" w:space="0" w:color="auto"/>
            </w:tcBorders>
            <w:shd w:val="clear" w:color="auto" w:fill="CCE2DC"/>
          </w:tcPr>
          <w:p w14:paraId="534CD4A1" w14:textId="77777777" w:rsidR="00F575C9" w:rsidRPr="00DA60AC" w:rsidRDefault="00F575C9" w:rsidP="00B546A6">
            <w:pPr>
              <w:pStyle w:val="Tabletext"/>
            </w:pPr>
            <w:r w:rsidRPr="00DA60AC">
              <w:t>requires a small number of provisions to be drafted/amended</w:t>
            </w:r>
          </w:p>
        </w:tc>
        <w:tc>
          <w:tcPr>
            <w:tcW w:w="3544" w:type="dxa"/>
            <w:tcBorders>
              <w:top w:val="single" w:sz="12" w:space="0" w:color="auto"/>
            </w:tcBorders>
            <w:shd w:val="clear" w:color="auto" w:fill="E7F4F5"/>
          </w:tcPr>
          <w:p w14:paraId="4585FFD3" w14:textId="77777777" w:rsidR="00F575C9" w:rsidRPr="00DA60AC" w:rsidRDefault="00F575C9" w:rsidP="00B546A6">
            <w:pPr>
              <w:pStyle w:val="Tabletext"/>
            </w:pPr>
            <w:r w:rsidRPr="00DA60AC">
              <w:t>requires a reasonable number of provisions to be drafted/amended or a smaller number of complex provisions to be drafted/amended</w:t>
            </w:r>
          </w:p>
        </w:tc>
        <w:tc>
          <w:tcPr>
            <w:tcW w:w="3584" w:type="dxa"/>
            <w:tcBorders>
              <w:top w:val="single" w:sz="12" w:space="0" w:color="auto"/>
            </w:tcBorders>
            <w:shd w:val="clear" w:color="auto" w:fill="F4D4D8"/>
          </w:tcPr>
          <w:p w14:paraId="40B42B9A" w14:textId="77777777" w:rsidR="00F575C9" w:rsidRPr="00DA60AC" w:rsidRDefault="00F575C9" w:rsidP="00B546A6">
            <w:pPr>
              <w:pStyle w:val="Tabletext"/>
            </w:pPr>
            <w:r w:rsidRPr="00DA60AC">
              <w:t>requires a large number of provisions to be drafted/amended or a smaller number of highly complex provisions to be drafted/amended</w:t>
            </w:r>
          </w:p>
          <w:p w14:paraId="5AF986A4" w14:textId="77777777" w:rsidR="00F575C9" w:rsidRPr="00DA60AC" w:rsidRDefault="00F575C9" w:rsidP="00B546A6">
            <w:pPr>
              <w:pStyle w:val="Tabletext"/>
            </w:pPr>
            <w:r w:rsidRPr="00DA60AC">
              <w:t>or</w:t>
            </w:r>
          </w:p>
          <w:p w14:paraId="31AF174C" w14:textId="77777777" w:rsidR="00F575C9" w:rsidRPr="00DA60AC" w:rsidRDefault="00F575C9" w:rsidP="00B546A6">
            <w:pPr>
              <w:pStyle w:val="Tabletext"/>
            </w:pPr>
            <w:r w:rsidRPr="00DA60AC">
              <w:t>is replacing, or requires amendment of, an instrument that is long, detailed or complex</w:t>
            </w:r>
          </w:p>
        </w:tc>
      </w:tr>
      <w:tr w:rsidR="00F575C9" w:rsidRPr="00DA60AC" w14:paraId="345F6B15" w14:textId="77777777" w:rsidTr="00B546A6">
        <w:tc>
          <w:tcPr>
            <w:tcW w:w="3119" w:type="dxa"/>
            <w:shd w:val="clear" w:color="auto" w:fill="CCE2DC"/>
          </w:tcPr>
          <w:p w14:paraId="7A4352E5" w14:textId="77777777" w:rsidR="00F575C9" w:rsidRPr="00DA60AC" w:rsidRDefault="00F575C9" w:rsidP="00B546A6">
            <w:pPr>
              <w:pStyle w:val="Tabletext"/>
            </w:pPr>
            <w:r w:rsidRPr="00DA60AC">
              <w:t>easy to identify what provisions/amendments are needed (some analysis or research may be required)</w:t>
            </w:r>
          </w:p>
        </w:tc>
        <w:tc>
          <w:tcPr>
            <w:tcW w:w="3544" w:type="dxa"/>
            <w:shd w:val="clear" w:color="auto" w:fill="E7F4F5"/>
          </w:tcPr>
          <w:p w14:paraId="03D0218B" w14:textId="77777777" w:rsidR="00F575C9" w:rsidRPr="00DA60AC" w:rsidRDefault="00F575C9" w:rsidP="00B546A6">
            <w:pPr>
              <w:pStyle w:val="Tabletext"/>
            </w:pPr>
            <w:r w:rsidRPr="00DA60AC">
              <w:t>requires a reasonable amount of analysis or research to identify what provisions/amendments are needed</w:t>
            </w:r>
          </w:p>
        </w:tc>
        <w:tc>
          <w:tcPr>
            <w:tcW w:w="3584" w:type="dxa"/>
            <w:shd w:val="clear" w:color="auto" w:fill="F4D4D8"/>
          </w:tcPr>
          <w:p w14:paraId="62A378D5" w14:textId="77777777" w:rsidR="00F575C9" w:rsidRPr="00DA60AC" w:rsidRDefault="00F575C9" w:rsidP="00B546A6">
            <w:pPr>
              <w:pStyle w:val="Tabletext"/>
            </w:pPr>
            <w:r w:rsidRPr="00DA60AC">
              <w:t>requires a significant amount of analysis or research to identify appropriate legislative solution</w:t>
            </w:r>
          </w:p>
        </w:tc>
      </w:tr>
      <w:tr w:rsidR="00F575C9" w:rsidRPr="00DA60AC" w14:paraId="0DEC94AF" w14:textId="77777777" w:rsidTr="00B546A6">
        <w:tc>
          <w:tcPr>
            <w:tcW w:w="3119" w:type="dxa"/>
            <w:shd w:val="clear" w:color="auto" w:fill="CCE2DC"/>
          </w:tcPr>
          <w:p w14:paraId="4B9BC717" w14:textId="77777777" w:rsidR="00F575C9" w:rsidRPr="00DA60AC" w:rsidRDefault="00F575C9" w:rsidP="00B546A6">
            <w:pPr>
              <w:pStyle w:val="Tabletext"/>
            </w:pPr>
            <w:r w:rsidRPr="00DA60AC">
              <w:t>involves applying well</w:t>
            </w:r>
            <w:r>
              <w:noBreakHyphen/>
            </w:r>
            <w:r w:rsidRPr="00DA60AC">
              <w:t>established or often used drafting precedents or practices</w:t>
            </w:r>
          </w:p>
        </w:tc>
        <w:tc>
          <w:tcPr>
            <w:tcW w:w="3544" w:type="dxa"/>
            <w:shd w:val="clear" w:color="auto" w:fill="E7F4F5"/>
          </w:tcPr>
          <w:p w14:paraId="32319B9E" w14:textId="77777777" w:rsidR="00F575C9" w:rsidRPr="00DA60AC" w:rsidRDefault="00F575C9" w:rsidP="00B546A6">
            <w:pPr>
              <w:pStyle w:val="Tabletext"/>
            </w:pPr>
            <w:r w:rsidRPr="00DA60AC">
              <w:t>involves a degree of original or novel drafting or the careful application of drafting precedents and practices</w:t>
            </w:r>
          </w:p>
        </w:tc>
        <w:tc>
          <w:tcPr>
            <w:tcW w:w="3584" w:type="dxa"/>
            <w:shd w:val="clear" w:color="auto" w:fill="F4D4D8"/>
          </w:tcPr>
          <w:p w14:paraId="342BC335" w14:textId="77777777" w:rsidR="00F575C9" w:rsidRPr="00DA60AC" w:rsidRDefault="00F575C9" w:rsidP="00B546A6">
            <w:pPr>
              <w:pStyle w:val="Tabletext"/>
            </w:pPr>
            <w:r w:rsidRPr="00DA60AC">
              <w:t>involves a high degree of original or novel drafting or the careful application of drafting precedents and practices</w:t>
            </w:r>
          </w:p>
        </w:tc>
      </w:tr>
      <w:tr w:rsidR="00F575C9" w:rsidRPr="00DA60AC" w14:paraId="2045B53E" w14:textId="77777777" w:rsidTr="00B546A6">
        <w:tc>
          <w:tcPr>
            <w:tcW w:w="3119" w:type="dxa"/>
            <w:shd w:val="clear" w:color="auto" w:fill="CCE2DC"/>
          </w:tcPr>
          <w:p w14:paraId="4810BB8A" w14:textId="77777777" w:rsidR="00F575C9" w:rsidRPr="00DA60AC" w:rsidRDefault="00F575C9" w:rsidP="00B546A6">
            <w:pPr>
              <w:pStyle w:val="Tabletext"/>
            </w:pPr>
            <w:r w:rsidRPr="00DA60AC">
              <w:t>raises no constitutional or legal issues and no political or other sensitivities</w:t>
            </w:r>
          </w:p>
        </w:tc>
        <w:tc>
          <w:tcPr>
            <w:tcW w:w="3544" w:type="dxa"/>
            <w:shd w:val="clear" w:color="auto" w:fill="E7F4F5"/>
          </w:tcPr>
          <w:p w14:paraId="44F77F4A" w14:textId="77777777" w:rsidR="00F575C9" w:rsidRPr="00DA60AC" w:rsidRDefault="00F575C9" w:rsidP="00B546A6">
            <w:pPr>
              <w:pStyle w:val="Tabletext"/>
            </w:pPr>
            <w:r w:rsidRPr="00DA60AC">
              <w:t>raises some constitutional or legal issues and/or some political or other sensitivities</w:t>
            </w:r>
          </w:p>
        </w:tc>
        <w:tc>
          <w:tcPr>
            <w:tcW w:w="3584" w:type="dxa"/>
            <w:shd w:val="clear" w:color="auto" w:fill="F4D4D8"/>
          </w:tcPr>
          <w:p w14:paraId="65DB11C6" w14:textId="77777777" w:rsidR="00F575C9" w:rsidRPr="00DA60AC" w:rsidRDefault="00F575C9" w:rsidP="00B546A6">
            <w:pPr>
              <w:pStyle w:val="Tabletext"/>
            </w:pPr>
            <w:r w:rsidRPr="00DA60AC">
              <w:t>raises significant constitutional or legal issues and/or significant political or other sensitivities</w:t>
            </w:r>
          </w:p>
        </w:tc>
      </w:tr>
      <w:tr w:rsidR="00F575C9" w:rsidRPr="00DA60AC" w14:paraId="120447B6" w14:textId="77777777" w:rsidTr="00B546A6">
        <w:tc>
          <w:tcPr>
            <w:tcW w:w="3119" w:type="dxa"/>
            <w:tcBorders>
              <w:bottom w:val="single" w:sz="2" w:space="0" w:color="auto"/>
            </w:tcBorders>
            <w:shd w:val="clear" w:color="auto" w:fill="CCE2DC"/>
          </w:tcPr>
          <w:p w14:paraId="2D46DCF9" w14:textId="77777777" w:rsidR="00F575C9" w:rsidRPr="00DA60AC" w:rsidRDefault="00F575C9" w:rsidP="00B546A6">
            <w:pPr>
              <w:pStyle w:val="Tabletext"/>
            </w:pPr>
            <w:r w:rsidRPr="00DA60AC">
              <w:t>is clearly authorised by the enabling provision/s</w:t>
            </w:r>
          </w:p>
        </w:tc>
        <w:tc>
          <w:tcPr>
            <w:tcW w:w="3544" w:type="dxa"/>
            <w:tcBorders>
              <w:bottom w:val="single" w:sz="2" w:space="0" w:color="auto"/>
            </w:tcBorders>
            <w:shd w:val="clear" w:color="auto" w:fill="E7F4F5"/>
          </w:tcPr>
          <w:p w14:paraId="129800F2" w14:textId="77777777" w:rsidR="00F575C9" w:rsidRPr="00DA60AC" w:rsidRDefault="00F575C9" w:rsidP="00B546A6">
            <w:pPr>
              <w:pStyle w:val="Tabletext"/>
            </w:pPr>
            <w:r w:rsidRPr="00DA60AC">
              <w:t>raises some issues as to whether it is authorised by the enabling provision/s</w:t>
            </w:r>
          </w:p>
        </w:tc>
        <w:tc>
          <w:tcPr>
            <w:tcW w:w="3584" w:type="dxa"/>
            <w:tcBorders>
              <w:bottom w:val="single" w:sz="2" w:space="0" w:color="auto"/>
            </w:tcBorders>
            <w:shd w:val="clear" w:color="auto" w:fill="F4D4D8"/>
          </w:tcPr>
          <w:p w14:paraId="6C68F823" w14:textId="77777777" w:rsidR="00F575C9" w:rsidRPr="00DA60AC" w:rsidRDefault="00F575C9" w:rsidP="00B546A6">
            <w:pPr>
              <w:pStyle w:val="Tabletext"/>
            </w:pPr>
            <w:r w:rsidRPr="00DA60AC">
              <w:t>raises significant issues as to whether it is authorised by the enabling provision/s</w:t>
            </w:r>
          </w:p>
        </w:tc>
      </w:tr>
      <w:tr w:rsidR="00F575C9" w:rsidRPr="00DA60AC" w14:paraId="2E2D09A6" w14:textId="77777777" w:rsidTr="00B546A6">
        <w:tc>
          <w:tcPr>
            <w:tcW w:w="3119" w:type="dxa"/>
            <w:tcBorders>
              <w:bottom w:val="single" w:sz="2" w:space="0" w:color="auto"/>
            </w:tcBorders>
            <w:shd w:val="clear" w:color="auto" w:fill="CCE2DC"/>
          </w:tcPr>
          <w:p w14:paraId="493FC14C" w14:textId="77777777" w:rsidR="00F575C9" w:rsidRPr="00DA60AC" w:rsidRDefault="00F575C9" w:rsidP="00B546A6">
            <w:pPr>
              <w:pStyle w:val="Tabletext"/>
            </w:pPr>
            <w:r w:rsidRPr="00DA60AC">
              <w:t>requires no, or only a small number of simple, consequential amendments</w:t>
            </w:r>
          </w:p>
        </w:tc>
        <w:tc>
          <w:tcPr>
            <w:tcW w:w="3544" w:type="dxa"/>
            <w:tcBorders>
              <w:bottom w:val="single" w:sz="2" w:space="0" w:color="auto"/>
            </w:tcBorders>
            <w:shd w:val="clear" w:color="auto" w:fill="E7F4F5"/>
          </w:tcPr>
          <w:p w14:paraId="2DE75295" w14:textId="77777777" w:rsidR="00F575C9" w:rsidRPr="00DA60AC" w:rsidRDefault="00F575C9" w:rsidP="00B546A6">
            <w:pPr>
              <w:pStyle w:val="Tabletext"/>
            </w:pPr>
            <w:r w:rsidRPr="00DA60AC">
              <w:t xml:space="preserve">requires no, or only a reasonable number of, consequential amendments </w:t>
            </w:r>
          </w:p>
        </w:tc>
        <w:tc>
          <w:tcPr>
            <w:tcW w:w="3584" w:type="dxa"/>
            <w:tcBorders>
              <w:bottom w:val="single" w:sz="2" w:space="0" w:color="auto"/>
            </w:tcBorders>
            <w:shd w:val="clear" w:color="auto" w:fill="F4D4D8"/>
          </w:tcPr>
          <w:p w14:paraId="1E57ED08" w14:textId="77777777" w:rsidR="00F575C9" w:rsidRPr="00DA60AC" w:rsidRDefault="00F575C9" w:rsidP="00B546A6">
            <w:pPr>
              <w:pStyle w:val="Tabletext"/>
            </w:pPr>
            <w:r w:rsidRPr="00DA60AC">
              <w:t>requires a substantial number of consequential amendments</w:t>
            </w:r>
          </w:p>
        </w:tc>
      </w:tr>
      <w:tr w:rsidR="00F575C9" w:rsidRPr="00DA60AC" w14:paraId="47247D42" w14:textId="77777777" w:rsidTr="00B546A6">
        <w:tc>
          <w:tcPr>
            <w:tcW w:w="3119" w:type="dxa"/>
            <w:tcBorders>
              <w:top w:val="single" w:sz="2" w:space="0" w:color="auto"/>
              <w:bottom w:val="single" w:sz="12" w:space="0" w:color="auto"/>
            </w:tcBorders>
            <w:shd w:val="clear" w:color="auto" w:fill="CCE2DC"/>
          </w:tcPr>
          <w:p w14:paraId="10D7F28F" w14:textId="77777777" w:rsidR="00F575C9" w:rsidRPr="00DA60AC" w:rsidRDefault="00F575C9" w:rsidP="00B546A6">
            <w:pPr>
              <w:pStyle w:val="Tabletext"/>
            </w:pPr>
            <w:r w:rsidRPr="00DA60AC">
              <w:t>requires no, or only a small number of simple, transitional, application and saving provisions</w:t>
            </w:r>
          </w:p>
        </w:tc>
        <w:tc>
          <w:tcPr>
            <w:tcW w:w="3544" w:type="dxa"/>
            <w:tcBorders>
              <w:top w:val="single" w:sz="2" w:space="0" w:color="auto"/>
              <w:bottom w:val="single" w:sz="12" w:space="0" w:color="auto"/>
            </w:tcBorders>
            <w:shd w:val="clear" w:color="auto" w:fill="E7F4F5"/>
          </w:tcPr>
          <w:p w14:paraId="478115D7" w14:textId="77777777" w:rsidR="00F575C9" w:rsidRPr="00DA60AC" w:rsidRDefault="00F575C9" w:rsidP="00B546A6">
            <w:pPr>
              <w:pStyle w:val="Tabletext"/>
            </w:pPr>
            <w:r w:rsidRPr="00DA60AC">
              <w:t>requires no, or only a reasonable number of, transitional, application and saving provisions</w:t>
            </w:r>
          </w:p>
        </w:tc>
        <w:tc>
          <w:tcPr>
            <w:tcW w:w="3584" w:type="dxa"/>
            <w:tcBorders>
              <w:top w:val="single" w:sz="2" w:space="0" w:color="auto"/>
              <w:bottom w:val="single" w:sz="12" w:space="0" w:color="auto"/>
            </w:tcBorders>
            <w:shd w:val="clear" w:color="auto" w:fill="F4D4D8"/>
          </w:tcPr>
          <w:p w14:paraId="3E2FB44B" w14:textId="77777777" w:rsidR="00F575C9" w:rsidRPr="00DA60AC" w:rsidRDefault="00F575C9" w:rsidP="00B546A6">
            <w:pPr>
              <w:pStyle w:val="Tabletext"/>
            </w:pPr>
            <w:r w:rsidRPr="00DA60AC">
              <w:t>requires a substantial number of transitional, application and saving provisions</w:t>
            </w:r>
          </w:p>
        </w:tc>
      </w:tr>
    </w:tbl>
    <w:p w14:paraId="5DE628E9" w14:textId="77777777" w:rsidR="00F575C9" w:rsidRPr="00DA60AC" w:rsidRDefault="00F575C9" w:rsidP="00F575C9">
      <w:pPr>
        <w:pStyle w:val="Tabletext"/>
      </w:pPr>
    </w:p>
    <w:p w14:paraId="61BC6DFA" w14:textId="77777777" w:rsidR="00F575C9" w:rsidRPr="00DA60AC" w:rsidRDefault="00F575C9" w:rsidP="00F575C9">
      <w:pPr>
        <w:pStyle w:val="Head2"/>
        <w:pBdr>
          <w:top w:val="single" w:sz="4" w:space="1" w:color="auto"/>
          <w:bottom w:val="single" w:sz="4" w:space="1" w:color="auto"/>
        </w:pBdr>
        <w:shd w:val="clear" w:color="auto" w:fill="D9D9D9" w:themeFill="background1" w:themeFillShade="D9"/>
        <w:rPr>
          <w:rFonts w:ascii="Times New Roman" w:hAnsi="Times New Roman"/>
          <w:sz w:val="24"/>
          <w:szCs w:val="24"/>
        </w:rPr>
      </w:pPr>
      <w:r w:rsidRPr="00DA60AC">
        <w:rPr>
          <w:rFonts w:ascii="Times New Roman" w:hAnsi="Times New Roman"/>
          <w:sz w:val="24"/>
          <w:szCs w:val="24"/>
        </w:rPr>
        <w:lastRenderedPageBreak/>
        <w:t>Examples</w:t>
      </w:r>
    </w:p>
    <w:p w14:paraId="14D3E8EA" w14:textId="77777777" w:rsidR="00F575C9" w:rsidRPr="00DA60AC" w:rsidRDefault="00F575C9" w:rsidP="00F575C9">
      <w:pPr>
        <w:pStyle w:val="BodyText"/>
        <w:spacing w:before="120" w:after="0"/>
        <w:rPr>
          <w:rFonts w:cs="Times New Roman"/>
          <w:sz w:val="20"/>
        </w:rPr>
      </w:pPr>
      <w:r w:rsidRPr="00DA60AC">
        <w:rPr>
          <w:rFonts w:cs="Times New Roman"/>
          <w:sz w:val="20"/>
        </w:rPr>
        <w:t>The following table sets out some examples of instruments that fall within the different size and complexity categories.</w:t>
      </w:r>
    </w:p>
    <w:p w14:paraId="209B0B5D" w14:textId="77777777" w:rsidR="00F575C9" w:rsidRPr="00DA60AC" w:rsidRDefault="00F575C9" w:rsidP="00F575C9">
      <w:pPr>
        <w:pStyle w:val="Tabletext"/>
        <w:spacing w:before="0"/>
        <w:rPr>
          <w:sz w:val="16"/>
          <w:szCs w:val="16"/>
        </w:rPr>
      </w:pPr>
    </w:p>
    <w:tbl>
      <w:tblPr>
        <w:tblW w:w="9498"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6345"/>
        <w:gridCol w:w="1560"/>
        <w:gridCol w:w="1593"/>
      </w:tblGrid>
      <w:tr w:rsidR="00F575C9" w:rsidRPr="00DA60AC" w14:paraId="2B088524" w14:textId="77777777" w:rsidTr="00B546A6">
        <w:trPr>
          <w:tblHeader/>
        </w:trPr>
        <w:tc>
          <w:tcPr>
            <w:tcW w:w="6345" w:type="dxa"/>
            <w:tcBorders>
              <w:top w:val="single" w:sz="12" w:space="0" w:color="auto"/>
              <w:bottom w:val="single" w:sz="12" w:space="0" w:color="auto"/>
            </w:tcBorders>
            <w:shd w:val="clear" w:color="auto" w:fill="auto"/>
          </w:tcPr>
          <w:p w14:paraId="770FA4A8" w14:textId="77777777" w:rsidR="00F575C9" w:rsidRPr="00DA60AC" w:rsidRDefault="00F575C9" w:rsidP="00B546A6">
            <w:pPr>
              <w:pStyle w:val="TableHeading"/>
              <w:rPr>
                <w:sz w:val="22"/>
                <w:szCs w:val="22"/>
              </w:rPr>
            </w:pPr>
            <w:r w:rsidRPr="00DA60AC">
              <w:rPr>
                <w:sz w:val="22"/>
                <w:szCs w:val="22"/>
              </w:rPr>
              <w:t>Instrument</w:t>
            </w:r>
          </w:p>
        </w:tc>
        <w:tc>
          <w:tcPr>
            <w:tcW w:w="1560" w:type="dxa"/>
            <w:tcBorders>
              <w:top w:val="single" w:sz="12" w:space="0" w:color="auto"/>
              <w:bottom w:val="single" w:sz="12" w:space="0" w:color="auto"/>
            </w:tcBorders>
            <w:shd w:val="clear" w:color="auto" w:fill="auto"/>
          </w:tcPr>
          <w:p w14:paraId="2E2CB1E0" w14:textId="77777777" w:rsidR="00F575C9" w:rsidRPr="00DA60AC" w:rsidRDefault="00F575C9" w:rsidP="00B546A6">
            <w:pPr>
              <w:pStyle w:val="TableHeading"/>
              <w:rPr>
                <w:sz w:val="22"/>
                <w:szCs w:val="22"/>
              </w:rPr>
            </w:pPr>
            <w:r w:rsidRPr="00DA60AC">
              <w:rPr>
                <w:sz w:val="22"/>
                <w:szCs w:val="22"/>
              </w:rPr>
              <w:t>Size</w:t>
            </w:r>
          </w:p>
        </w:tc>
        <w:tc>
          <w:tcPr>
            <w:tcW w:w="1593" w:type="dxa"/>
            <w:tcBorders>
              <w:top w:val="single" w:sz="12" w:space="0" w:color="auto"/>
              <w:bottom w:val="single" w:sz="12" w:space="0" w:color="auto"/>
            </w:tcBorders>
            <w:shd w:val="clear" w:color="auto" w:fill="auto"/>
          </w:tcPr>
          <w:p w14:paraId="03B0A722" w14:textId="77777777" w:rsidR="00F575C9" w:rsidRPr="00DA60AC" w:rsidRDefault="00F575C9" w:rsidP="00B546A6">
            <w:pPr>
              <w:pStyle w:val="TableHeading"/>
              <w:rPr>
                <w:sz w:val="22"/>
                <w:szCs w:val="22"/>
              </w:rPr>
            </w:pPr>
            <w:r w:rsidRPr="00DA60AC">
              <w:rPr>
                <w:sz w:val="22"/>
                <w:szCs w:val="22"/>
              </w:rPr>
              <w:t>Complexity</w:t>
            </w:r>
          </w:p>
        </w:tc>
      </w:tr>
      <w:tr w:rsidR="00F575C9" w:rsidRPr="00DA60AC" w14:paraId="408D58DE" w14:textId="77777777" w:rsidTr="00B546A6">
        <w:tc>
          <w:tcPr>
            <w:tcW w:w="6345" w:type="dxa"/>
            <w:tcBorders>
              <w:top w:val="single" w:sz="12" w:space="0" w:color="auto"/>
            </w:tcBorders>
            <w:shd w:val="clear" w:color="auto" w:fill="auto"/>
          </w:tcPr>
          <w:p w14:paraId="00E87BFE" w14:textId="77777777" w:rsidR="00F575C9" w:rsidRPr="00DA60AC" w:rsidRDefault="00F575C9" w:rsidP="00B546A6">
            <w:pPr>
              <w:pStyle w:val="Tabletext"/>
            </w:pPr>
            <w:hyperlink r:id="rId17" w:history="1">
              <w:r w:rsidRPr="00DA60AC">
                <w:rPr>
                  <w:rStyle w:val="Hyperlink"/>
                </w:rPr>
                <w:t>Private Health Insurance (Medical Devices and Human Tissue Products) Rules 2023</w:t>
              </w:r>
            </w:hyperlink>
          </w:p>
        </w:tc>
        <w:tc>
          <w:tcPr>
            <w:tcW w:w="1560" w:type="dxa"/>
            <w:tcBorders>
              <w:top w:val="single" w:sz="12" w:space="0" w:color="auto"/>
            </w:tcBorders>
            <w:shd w:val="clear" w:color="auto" w:fill="D1505F"/>
          </w:tcPr>
          <w:p w14:paraId="71E95E71" w14:textId="77777777" w:rsidR="00F575C9" w:rsidRPr="00DA60AC" w:rsidRDefault="00F575C9" w:rsidP="00B546A6">
            <w:pPr>
              <w:pStyle w:val="Tabletext"/>
            </w:pPr>
            <w:r w:rsidRPr="00DA60AC">
              <w:t>Large</w:t>
            </w:r>
          </w:p>
        </w:tc>
        <w:tc>
          <w:tcPr>
            <w:tcW w:w="1593" w:type="dxa"/>
            <w:tcBorders>
              <w:top w:val="single" w:sz="12" w:space="0" w:color="auto"/>
            </w:tcBorders>
            <w:shd w:val="clear" w:color="auto" w:fill="D1505F"/>
          </w:tcPr>
          <w:p w14:paraId="20D90479" w14:textId="77777777" w:rsidR="00F575C9" w:rsidRPr="00DA60AC" w:rsidRDefault="00F575C9" w:rsidP="00B546A6">
            <w:pPr>
              <w:pStyle w:val="Tabletext"/>
            </w:pPr>
            <w:r w:rsidRPr="00DA60AC">
              <w:t>High</w:t>
            </w:r>
          </w:p>
        </w:tc>
      </w:tr>
      <w:tr w:rsidR="00F575C9" w:rsidRPr="00DA60AC" w14:paraId="4F063955" w14:textId="77777777" w:rsidTr="00B546A6">
        <w:tc>
          <w:tcPr>
            <w:tcW w:w="6345" w:type="dxa"/>
            <w:shd w:val="clear" w:color="auto" w:fill="auto"/>
          </w:tcPr>
          <w:p w14:paraId="09971E5C" w14:textId="77777777" w:rsidR="00F575C9" w:rsidRPr="00DA60AC" w:rsidRDefault="00F575C9" w:rsidP="00B546A6">
            <w:pPr>
              <w:pStyle w:val="Tabletext"/>
            </w:pPr>
            <w:hyperlink r:id="rId18" w:history="1">
              <w:r w:rsidRPr="00DA60AC">
                <w:rPr>
                  <w:rStyle w:val="Hyperlink"/>
                </w:rPr>
                <w:t>Health Insurance Legislation Amendment (2023 Measures No. 1) Regulations 2023</w:t>
              </w:r>
            </w:hyperlink>
          </w:p>
        </w:tc>
        <w:tc>
          <w:tcPr>
            <w:tcW w:w="1560" w:type="dxa"/>
            <w:shd w:val="clear" w:color="auto" w:fill="D1505F"/>
          </w:tcPr>
          <w:p w14:paraId="05745D82" w14:textId="77777777" w:rsidR="00F575C9" w:rsidRPr="00DA60AC" w:rsidRDefault="00F575C9" w:rsidP="00B546A6">
            <w:pPr>
              <w:pStyle w:val="Tabletext"/>
            </w:pPr>
            <w:r w:rsidRPr="00DA60AC">
              <w:t>Large</w:t>
            </w:r>
          </w:p>
        </w:tc>
        <w:tc>
          <w:tcPr>
            <w:tcW w:w="1593" w:type="dxa"/>
            <w:shd w:val="clear" w:color="auto" w:fill="A9D9DB"/>
          </w:tcPr>
          <w:p w14:paraId="5C33EC89" w14:textId="77777777" w:rsidR="00F575C9" w:rsidRPr="00DA60AC" w:rsidRDefault="00F575C9" w:rsidP="00B546A6">
            <w:pPr>
              <w:pStyle w:val="Tabletext"/>
            </w:pPr>
            <w:r w:rsidRPr="00DA60AC">
              <w:t>Moderate</w:t>
            </w:r>
          </w:p>
        </w:tc>
      </w:tr>
      <w:tr w:rsidR="00F575C9" w:rsidRPr="00DA60AC" w14:paraId="50338596" w14:textId="77777777" w:rsidTr="00B546A6">
        <w:tc>
          <w:tcPr>
            <w:tcW w:w="6345" w:type="dxa"/>
            <w:shd w:val="clear" w:color="auto" w:fill="auto"/>
          </w:tcPr>
          <w:p w14:paraId="3CD24B7E" w14:textId="77777777" w:rsidR="00F575C9" w:rsidRPr="00DA60AC" w:rsidRDefault="00F575C9" w:rsidP="00B546A6">
            <w:pPr>
              <w:pStyle w:val="Tabletext"/>
            </w:pPr>
            <w:hyperlink r:id="rId19" w:history="1">
              <w:r w:rsidRPr="00DA60AC">
                <w:rPr>
                  <w:rStyle w:val="Hyperlink"/>
                </w:rPr>
                <w:t>National Health (Supply of Pharmaceutical Benefits—Under Co</w:t>
              </w:r>
              <w:r>
                <w:rPr>
                  <w:rStyle w:val="Hyperlink"/>
                </w:rPr>
                <w:noBreakHyphen/>
              </w:r>
              <w:r w:rsidRPr="00DA60AC">
                <w:rPr>
                  <w:rStyle w:val="Hyperlink"/>
                </w:rPr>
                <w:t>payment Data and Claims for Payment) Amendment (General Co</w:t>
              </w:r>
              <w:r>
                <w:rPr>
                  <w:rStyle w:val="Hyperlink"/>
                </w:rPr>
                <w:noBreakHyphen/>
              </w:r>
              <w:r w:rsidRPr="00DA60AC">
                <w:rPr>
                  <w:rStyle w:val="Hyperlink"/>
                </w:rPr>
                <w:t>payment) Rules 2022</w:t>
              </w:r>
            </w:hyperlink>
          </w:p>
        </w:tc>
        <w:tc>
          <w:tcPr>
            <w:tcW w:w="1560" w:type="dxa"/>
            <w:shd w:val="clear" w:color="auto" w:fill="67AB9A"/>
          </w:tcPr>
          <w:p w14:paraId="6AA703E7" w14:textId="77777777" w:rsidR="00F575C9" w:rsidRPr="00DA60AC" w:rsidRDefault="00F575C9" w:rsidP="00B546A6">
            <w:pPr>
              <w:pStyle w:val="Tabletext"/>
            </w:pPr>
            <w:r w:rsidRPr="00DA60AC">
              <w:t>Small</w:t>
            </w:r>
          </w:p>
        </w:tc>
        <w:tc>
          <w:tcPr>
            <w:tcW w:w="1593" w:type="dxa"/>
            <w:shd w:val="clear" w:color="auto" w:fill="A9D9DB"/>
          </w:tcPr>
          <w:p w14:paraId="244D9AAC" w14:textId="77777777" w:rsidR="00F575C9" w:rsidRPr="00DA60AC" w:rsidRDefault="00F575C9" w:rsidP="00B546A6">
            <w:pPr>
              <w:pStyle w:val="Tabletext"/>
            </w:pPr>
            <w:r w:rsidRPr="00DA60AC">
              <w:t>Moderate</w:t>
            </w:r>
          </w:p>
        </w:tc>
      </w:tr>
      <w:tr w:rsidR="00F575C9" w:rsidRPr="00DA60AC" w14:paraId="2F5F24E2" w14:textId="77777777" w:rsidTr="00B546A6">
        <w:tc>
          <w:tcPr>
            <w:tcW w:w="6345" w:type="dxa"/>
            <w:shd w:val="clear" w:color="auto" w:fill="auto"/>
          </w:tcPr>
          <w:p w14:paraId="6398A1CF" w14:textId="77777777" w:rsidR="00F575C9" w:rsidRPr="00DA60AC" w:rsidRDefault="00F575C9" w:rsidP="00B546A6">
            <w:pPr>
              <w:pStyle w:val="Tabletext"/>
              <w:rPr>
                <w:color w:val="0000FF" w:themeColor="hyperlink"/>
                <w:u w:val="single"/>
              </w:rPr>
            </w:pPr>
            <w:hyperlink r:id="rId20" w:history="1">
              <w:r w:rsidRPr="00DA60AC">
                <w:rPr>
                  <w:rStyle w:val="Hyperlink"/>
                </w:rPr>
                <w:t>National Greenhouse and Energy Reporting Amendment (2023 Measures No. 1) Regulations 2023</w:t>
              </w:r>
            </w:hyperlink>
          </w:p>
        </w:tc>
        <w:tc>
          <w:tcPr>
            <w:tcW w:w="1560" w:type="dxa"/>
            <w:shd w:val="clear" w:color="auto" w:fill="67AB9A"/>
          </w:tcPr>
          <w:p w14:paraId="718465A0" w14:textId="77777777" w:rsidR="00F575C9" w:rsidRPr="00DA60AC" w:rsidRDefault="00F575C9" w:rsidP="00B546A6">
            <w:pPr>
              <w:pStyle w:val="Tabletext"/>
            </w:pPr>
            <w:r w:rsidRPr="00DA60AC">
              <w:t>Small</w:t>
            </w:r>
          </w:p>
        </w:tc>
        <w:tc>
          <w:tcPr>
            <w:tcW w:w="1593" w:type="dxa"/>
            <w:shd w:val="clear" w:color="auto" w:fill="A9D9DB"/>
          </w:tcPr>
          <w:p w14:paraId="7F3BACBF" w14:textId="77777777" w:rsidR="00F575C9" w:rsidRPr="00DA60AC" w:rsidRDefault="00F575C9" w:rsidP="00B546A6">
            <w:pPr>
              <w:pStyle w:val="Tabletext"/>
            </w:pPr>
            <w:r w:rsidRPr="00DA60AC">
              <w:t>Moderate</w:t>
            </w:r>
          </w:p>
        </w:tc>
      </w:tr>
      <w:tr w:rsidR="00F575C9" w:rsidRPr="00DA60AC" w14:paraId="30ADF7AD" w14:textId="77777777" w:rsidTr="00B546A6">
        <w:tc>
          <w:tcPr>
            <w:tcW w:w="6345" w:type="dxa"/>
            <w:shd w:val="clear" w:color="auto" w:fill="auto"/>
          </w:tcPr>
          <w:p w14:paraId="7016B190" w14:textId="77777777" w:rsidR="00F575C9" w:rsidRPr="00DA60AC" w:rsidRDefault="00F575C9" w:rsidP="00B546A6">
            <w:pPr>
              <w:pStyle w:val="Tabletext"/>
              <w:rPr>
                <w:color w:val="0000FF" w:themeColor="hyperlink"/>
                <w:u w:val="single"/>
              </w:rPr>
            </w:pPr>
            <w:hyperlink r:id="rId21" w:history="1">
              <w:r w:rsidRPr="00DA60AC">
                <w:rPr>
                  <w:rStyle w:val="Hyperlink"/>
                </w:rPr>
                <w:t>Energy Legislation Amendment (Information Requirements) Regulations 2023</w:t>
              </w:r>
            </w:hyperlink>
          </w:p>
        </w:tc>
        <w:tc>
          <w:tcPr>
            <w:tcW w:w="1560" w:type="dxa"/>
            <w:shd w:val="clear" w:color="auto" w:fill="A9D9DB"/>
          </w:tcPr>
          <w:p w14:paraId="31A6DBBF" w14:textId="77777777" w:rsidR="00F575C9" w:rsidRPr="00DA60AC" w:rsidRDefault="00F575C9" w:rsidP="00B546A6">
            <w:pPr>
              <w:pStyle w:val="Tabletext"/>
            </w:pPr>
            <w:r w:rsidRPr="00DA60AC">
              <w:t>Medium</w:t>
            </w:r>
          </w:p>
        </w:tc>
        <w:tc>
          <w:tcPr>
            <w:tcW w:w="1593" w:type="dxa"/>
            <w:shd w:val="clear" w:color="auto" w:fill="D1505F"/>
          </w:tcPr>
          <w:p w14:paraId="694900BB" w14:textId="77777777" w:rsidR="00F575C9" w:rsidRPr="00DA60AC" w:rsidRDefault="00F575C9" w:rsidP="00B546A6">
            <w:pPr>
              <w:pStyle w:val="Tabletext"/>
            </w:pPr>
            <w:r w:rsidRPr="00DA60AC">
              <w:t>High</w:t>
            </w:r>
          </w:p>
        </w:tc>
      </w:tr>
      <w:tr w:rsidR="00F575C9" w:rsidRPr="00DA60AC" w14:paraId="017D080F" w14:textId="77777777" w:rsidTr="00B546A6">
        <w:tc>
          <w:tcPr>
            <w:tcW w:w="6345" w:type="dxa"/>
            <w:shd w:val="clear" w:color="auto" w:fill="auto"/>
          </w:tcPr>
          <w:p w14:paraId="1D037759" w14:textId="77777777" w:rsidR="00F575C9" w:rsidRPr="00DA60AC" w:rsidRDefault="00F575C9" w:rsidP="00B546A6">
            <w:pPr>
              <w:pStyle w:val="Tabletext"/>
            </w:pPr>
            <w:hyperlink r:id="rId22" w:history="1">
              <w:r w:rsidRPr="00DA60AC">
                <w:rPr>
                  <w:rStyle w:val="Hyperlink"/>
                </w:rPr>
                <w:t>Product Stewardship (Oil) Amendment Regulations 2023</w:t>
              </w:r>
            </w:hyperlink>
          </w:p>
        </w:tc>
        <w:tc>
          <w:tcPr>
            <w:tcW w:w="1560" w:type="dxa"/>
            <w:shd w:val="clear" w:color="auto" w:fill="67AB9A"/>
          </w:tcPr>
          <w:p w14:paraId="29066075" w14:textId="77777777" w:rsidR="00F575C9" w:rsidRPr="00DA60AC" w:rsidRDefault="00F575C9" w:rsidP="00B546A6">
            <w:pPr>
              <w:pStyle w:val="Tabletext"/>
            </w:pPr>
            <w:r w:rsidRPr="00DA60AC">
              <w:t>Small</w:t>
            </w:r>
          </w:p>
        </w:tc>
        <w:tc>
          <w:tcPr>
            <w:tcW w:w="1593" w:type="dxa"/>
            <w:shd w:val="clear" w:color="auto" w:fill="67AB9A"/>
          </w:tcPr>
          <w:p w14:paraId="74AF3B26" w14:textId="77777777" w:rsidR="00F575C9" w:rsidRPr="00DA60AC" w:rsidRDefault="00F575C9" w:rsidP="00B546A6">
            <w:pPr>
              <w:pStyle w:val="Tabletext"/>
            </w:pPr>
            <w:r w:rsidRPr="00DA60AC">
              <w:t>Low</w:t>
            </w:r>
          </w:p>
        </w:tc>
      </w:tr>
      <w:tr w:rsidR="00F575C9" w:rsidRPr="00DA60AC" w14:paraId="6A1DC602" w14:textId="77777777" w:rsidTr="00B546A6">
        <w:tc>
          <w:tcPr>
            <w:tcW w:w="6345" w:type="dxa"/>
            <w:shd w:val="clear" w:color="auto" w:fill="auto"/>
          </w:tcPr>
          <w:p w14:paraId="34AAE69D" w14:textId="77777777" w:rsidR="00F575C9" w:rsidRPr="00DA60AC" w:rsidRDefault="00F575C9" w:rsidP="00B546A6">
            <w:pPr>
              <w:pStyle w:val="Tabletext"/>
            </w:pPr>
            <w:hyperlink r:id="rId23" w:history="1">
              <w:r w:rsidRPr="00DA60AC">
                <w:rPr>
                  <w:rStyle w:val="Hyperlink"/>
                </w:rPr>
                <w:t>Australian Immunisation Register Amendment (Japanese Encephalitis Virus) Rules 2022</w:t>
              </w:r>
            </w:hyperlink>
          </w:p>
        </w:tc>
        <w:tc>
          <w:tcPr>
            <w:tcW w:w="1560" w:type="dxa"/>
            <w:shd w:val="clear" w:color="auto" w:fill="67AB9A"/>
          </w:tcPr>
          <w:p w14:paraId="1B5DF399" w14:textId="77777777" w:rsidR="00F575C9" w:rsidRPr="00DA60AC" w:rsidRDefault="00F575C9" w:rsidP="00B546A6">
            <w:pPr>
              <w:pStyle w:val="Tabletext"/>
            </w:pPr>
            <w:r w:rsidRPr="00DA60AC">
              <w:t>Small</w:t>
            </w:r>
          </w:p>
        </w:tc>
        <w:tc>
          <w:tcPr>
            <w:tcW w:w="1593" w:type="dxa"/>
            <w:shd w:val="clear" w:color="auto" w:fill="67AB9A"/>
          </w:tcPr>
          <w:p w14:paraId="7E56FC66" w14:textId="77777777" w:rsidR="00F575C9" w:rsidRPr="00DA60AC" w:rsidRDefault="00F575C9" w:rsidP="00B546A6">
            <w:pPr>
              <w:pStyle w:val="Tabletext"/>
            </w:pPr>
            <w:r w:rsidRPr="00DA60AC">
              <w:t>Low</w:t>
            </w:r>
          </w:p>
        </w:tc>
      </w:tr>
      <w:tr w:rsidR="00F575C9" w:rsidRPr="00DA60AC" w14:paraId="3987EC2B" w14:textId="77777777" w:rsidTr="00B546A6">
        <w:tc>
          <w:tcPr>
            <w:tcW w:w="6345" w:type="dxa"/>
            <w:shd w:val="clear" w:color="auto" w:fill="auto"/>
          </w:tcPr>
          <w:p w14:paraId="13422102" w14:textId="77777777" w:rsidR="00F575C9" w:rsidRPr="00DA60AC" w:rsidRDefault="00F575C9" w:rsidP="00B546A6">
            <w:pPr>
              <w:pStyle w:val="Tabletext"/>
              <w:rPr>
                <w:i/>
                <w:iCs/>
              </w:rPr>
            </w:pPr>
            <w:hyperlink r:id="rId24" w:history="1">
              <w:r w:rsidRPr="00DA60AC">
                <w:rPr>
                  <w:rStyle w:val="Hyperlink"/>
                </w:rPr>
                <w:t>Offshore Electricity Infrastructure Regulations 2022</w:t>
              </w:r>
            </w:hyperlink>
          </w:p>
        </w:tc>
        <w:tc>
          <w:tcPr>
            <w:tcW w:w="1560" w:type="dxa"/>
            <w:shd w:val="clear" w:color="auto" w:fill="D1505F"/>
          </w:tcPr>
          <w:p w14:paraId="6AF8FAE1" w14:textId="77777777" w:rsidR="00F575C9" w:rsidRPr="00DA60AC" w:rsidRDefault="00F575C9" w:rsidP="00B546A6">
            <w:pPr>
              <w:pStyle w:val="Tabletext"/>
            </w:pPr>
            <w:r w:rsidRPr="00DA60AC">
              <w:t>Large</w:t>
            </w:r>
          </w:p>
        </w:tc>
        <w:tc>
          <w:tcPr>
            <w:tcW w:w="1593" w:type="dxa"/>
            <w:shd w:val="clear" w:color="auto" w:fill="D1505F"/>
          </w:tcPr>
          <w:p w14:paraId="6CBD6992" w14:textId="77777777" w:rsidR="00F575C9" w:rsidRPr="00DA60AC" w:rsidRDefault="00F575C9" w:rsidP="00B546A6">
            <w:pPr>
              <w:pStyle w:val="Tabletext"/>
            </w:pPr>
            <w:r w:rsidRPr="00DA60AC">
              <w:t>High</w:t>
            </w:r>
          </w:p>
        </w:tc>
      </w:tr>
      <w:tr w:rsidR="00F575C9" w:rsidRPr="00DA60AC" w14:paraId="0A4BE51C" w14:textId="77777777" w:rsidTr="00B546A6">
        <w:tc>
          <w:tcPr>
            <w:tcW w:w="6345" w:type="dxa"/>
            <w:shd w:val="clear" w:color="auto" w:fill="auto"/>
          </w:tcPr>
          <w:p w14:paraId="2E7BF747" w14:textId="77777777" w:rsidR="00F575C9" w:rsidRPr="00DA60AC" w:rsidRDefault="00F575C9" w:rsidP="00B546A6">
            <w:pPr>
              <w:pStyle w:val="Tabletext"/>
            </w:pPr>
            <w:hyperlink r:id="rId25" w:history="1">
              <w:r w:rsidRPr="00DA60AC">
                <w:rPr>
                  <w:rStyle w:val="Hyperlink"/>
                </w:rPr>
                <w:t>Parliamentary Business Resources Amendment (Office and Travel Expenses) Regulations 2025</w:t>
              </w:r>
            </w:hyperlink>
          </w:p>
        </w:tc>
        <w:tc>
          <w:tcPr>
            <w:tcW w:w="1560" w:type="dxa"/>
            <w:shd w:val="clear" w:color="auto" w:fill="67AB9A"/>
          </w:tcPr>
          <w:p w14:paraId="64CA2779" w14:textId="77777777" w:rsidR="00F575C9" w:rsidRPr="00DA60AC" w:rsidRDefault="00F575C9" w:rsidP="00B546A6">
            <w:pPr>
              <w:pStyle w:val="Tabletext"/>
            </w:pPr>
            <w:r w:rsidRPr="00DA60AC">
              <w:t>Small</w:t>
            </w:r>
          </w:p>
        </w:tc>
        <w:tc>
          <w:tcPr>
            <w:tcW w:w="1593" w:type="dxa"/>
            <w:shd w:val="clear" w:color="auto" w:fill="D1505F"/>
          </w:tcPr>
          <w:p w14:paraId="3A592E24" w14:textId="77777777" w:rsidR="00F575C9" w:rsidRPr="00DA60AC" w:rsidRDefault="00F575C9" w:rsidP="00B546A6">
            <w:pPr>
              <w:pStyle w:val="Tabletext"/>
            </w:pPr>
            <w:r w:rsidRPr="00DA60AC">
              <w:t>High</w:t>
            </w:r>
          </w:p>
        </w:tc>
      </w:tr>
      <w:tr w:rsidR="00F575C9" w:rsidRPr="00DA60AC" w14:paraId="3C304CC5" w14:textId="77777777" w:rsidTr="00B546A6">
        <w:tc>
          <w:tcPr>
            <w:tcW w:w="6345" w:type="dxa"/>
            <w:tcBorders>
              <w:top w:val="single" w:sz="2" w:space="0" w:color="auto"/>
              <w:bottom w:val="single" w:sz="12" w:space="0" w:color="auto"/>
            </w:tcBorders>
            <w:shd w:val="clear" w:color="auto" w:fill="auto"/>
          </w:tcPr>
          <w:p w14:paraId="1CA12855" w14:textId="77777777" w:rsidR="00F575C9" w:rsidRPr="00DA60AC" w:rsidRDefault="00F575C9" w:rsidP="00B546A6">
            <w:pPr>
              <w:pStyle w:val="Tabletext"/>
              <w:rPr>
                <w:color w:val="0000FF" w:themeColor="hyperlink"/>
                <w:u w:val="single"/>
              </w:rPr>
            </w:pPr>
            <w:hyperlink r:id="rId26" w:history="1">
              <w:r w:rsidRPr="00DA60AC">
                <w:rPr>
                  <w:rStyle w:val="Hyperlink"/>
                </w:rPr>
                <w:t>Ozone Protection and Synthetic Greenhouse Gas Management Amendment (2023 Measures No. 1) Regulations 2023</w:t>
              </w:r>
            </w:hyperlink>
          </w:p>
        </w:tc>
        <w:tc>
          <w:tcPr>
            <w:tcW w:w="1560" w:type="dxa"/>
            <w:tcBorders>
              <w:top w:val="single" w:sz="2" w:space="0" w:color="auto"/>
              <w:bottom w:val="single" w:sz="12" w:space="0" w:color="auto"/>
            </w:tcBorders>
            <w:shd w:val="clear" w:color="auto" w:fill="A9D9DB"/>
          </w:tcPr>
          <w:p w14:paraId="6D951174" w14:textId="77777777" w:rsidR="00F575C9" w:rsidRPr="00DA60AC" w:rsidRDefault="00F575C9" w:rsidP="00B546A6">
            <w:pPr>
              <w:pStyle w:val="Tabletext"/>
            </w:pPr>
            <w:r w:rsidRPr="00DA60AC">
              <w:t>Medium</w:t>
            </w:r>
          </w:p>
        </w:tc>
        <w:tc>
          <w:tcPr>
            <w:tcW w:w="1593" w:type="dxa"/>
            <w:tcBorders>
              <w:top w:val="single" w:sz="2" w:space="0" w:color="auto"/>
              <w:bottom w:val="single" w:sz="12" w:space="0" w:color="auto"/>
            </w:tcBorders>
            <w:shd w:val="clear" w:color="auto" w:fill="D1505F"/>
          </w:tcPr>
          <w:p w14:paraId="0ACB8169" w14:textId="77777777" w:rsidR="00F575C9" w:rsidRPr="00DA60AC" w:rsidRDefault="00F575C9" w:rsidP="00B546A6">
            <w:pPr>
              <w:pStyle w:val="Tabletext"/>
            </w:pPr>
            <w:r w:rsidRPr="00DA60AC">
              <w:t>High</w:t>
            </w:r>
          </w:p>
        </w:tc>
      </w:tr>
    </w:tbl>
    <w:p w14:paraId="23FE012D" w14:textId="77777777" w:rsidR="00F575C9" w:rsidRPr="00DA60AC" w:rsidRDefault="00F575C9" w:rsidP="00F575C9">
      <w:pPr>
        <w:pStyle w:val="Tabletext"/>
      </w:pPr>
    </w:p>
    <w:sectPr w:rsidR="00F575C9" w:rsidRPr="00DA60AC" w:rsidSect="00676C92">
      <w:type w:val="continuous"/>
      <w:pgSz w:w="11907" w:h="1683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E086" w14:textId="77777777" w:rsidR="00792F93" w:rsidRDefault="00792F93" w:rsidP="008E17F3">
      <w:pPr>
        <w:spacing w:line="240" w:lineRule="auto"/>
      </w:pPr>
      <w:r>
        <w:separator/>
      </w:r>
    </w:p>
  </w:endnote>
  <w:endnote w:type="continuationSeparator" w:id="0">
    <w:p w14:paraId="71FD238C" w14:textId="77777777" w:rsidR="00792F93" w:rsidRDefault="00792F93"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Calibri"/>
    <w:charset w:val="00"/>
    <w:family w:val="auto"/>
    <w:pitch w:val="variable"/>
    <w:sig w:usb0="E00002FF" w:usb1="020004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DB5B" w14:textId="77777777" w:rsidR="008E17F3" w:rsidRDefault="006E2E9F" w:rsidP="008E17F3">
    <w:pPr>
      <w:pStyle w:val="Footer"/>
      <w:framePr w:wrap="around" w:vAnchor="text" w:hAnchor="margin" w:xAlign="right" w:y="1"/>
      <w:rPr>
        <w:rStyle w:val="PageNumber"/>
      </w:rPr>
    </w:pPr>
    <w:r>
      <w:rPr>
        <w:rStyle w:val="PageNumber"/>
      </w:rPr>
      <w:fldChar w:fldCharType="begin"/>
    </w:r>
    <w:r w:rsidR="008E17F3">
      <w:rPr>
        <w:rStyle w:val="PageNumber"/>
      </w:rPr>
      <w:instrText xml:space="preserve">PAGE  </w:instrText>
    </w:r>
    <w:r>
      <w:rPr>
        <w:rStyle w:val="PageNumber"/>
      </w:rPr>
      <w:fldChar w:fldCharType="end"/>
    </w:r>
  </w:p>
  <w:p w14:paraId="5E4DE60F" w14:textId="77777777" w:rsidR="008E17F3" w:rsidRDefault="008E17F3" w:rsidP="008E17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406493"/>
      <w:docPartObj>
        <w:docPartGallery w:val="Page Numbers (Bottom of Page)"/>
        <w:docPartUnique/>
      </w:docPartObj>
    </w:sdtPr>
    <w:sdtEndPr>
      <w:rPr>
        <w:noProof/>
      </w:rPr>
    </w:sdtEndPr>
    <w:sdtContent>
      <w:p w14:paraId="7051E467" w14:textId="761B7CC5" w:rsidR="009A6C71" w:rsidRDefault="009A6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7E6AD" w14:textId="57C9B5D7" w:rsidR="008E17F3" w:rsidRDefault="008E17F3" w:rsidP="008E17F3">
    <w:pPr>
      <w:pStyle w:val="Footer"/>
      <w:tabs>
        <w:tab w:val="clear" w:pos="4153"/>
        <w:tab w:val="clear" w:pos="8306"/>
        <w:tab w:val="left" w:pos="7680"/>
      </w:tabs>
      <w:ind w:right="27"/>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1A98" w14:textId="77777777" w:rsidR="00785503" w:rsidRDefault="00785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E612" w14:textId="77777777" w:rsidR="00792F93" w:rsidRDefault="00792F93" w:rsidP="008E17F3">
      <w:pPr>
        <w:spacing w:line="240" w:lineRule="auto"/>
      </w:pPr>
      <w:r>
        <w:separator/>
      </w:r>
    </w:p>
  </w:footnote>
  <w:footnote w:type="continuationSeparator" w:id="0">
    <w:p w14:paraId="262DBA2D" w14:textId="77777777" w:rsidR="00792F93" w:rsidRDefault="00792F93"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0CEF" w14:textId="77777777" w:rsidR="00785503" w:rsidRDefault="00785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F1A3" w14:textId="07B3072A" w:rsidR="00792F93" w:rsidRDefault="00792F93">
    <w:pPr>
      <w:pStyle w:val="Header"/>
    </w:pPr>
    <w:r w:rsidRPr="009D3F97">
      <w:rPr>
        <w:rFonts w:ascii="EB Garamond" w:hAnsi="EB Garamond" w:cs="EB Garamond"/>
        <w:b/>
        <w:noProof/>
        <w:color w:val="084D5E"/>
        <w:lang w:val="en-US"/>
      </w:rPr>
      <mc:AlternateContent>
        <mc:Choice Requires="wps">
          <w:drawing>
            <wp:anchor distT="0" distB="0" distL="114300" distR="114300" simplePos="0" relativeHeight="251659264" behindDoc="0" locked="1" layoutInCell="1" allowOverlap="1" wp14:anchorId="7A267F78" wp14:editId="1752BB7C">
              <wp:simplePos x="0" y="0"/>
              <wp:positionH relativeFrom="page">
                <wp:align>center</wp:align>
              </wp:positionH>
              <wp:positionV relativeFrom="paragraph">
                <wp:posOffset>-317500</wp:posOffset>
              </wp:positionV>
              <wp:extent cx="5773003" cy="395785"/>
              <wp:effectExtent l="0" t="0" r="0" b="0"/>
              <wp:wrapNone/>
              <wp:docPr id="107" name="Text Box 340" descr="Sec-Head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alpha val="0"/>
                        </a:srgbClr>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011C3A" w14:textId="724A9A86" w:rsidR="00792F93" w:rsidRPr="00324EB0" w:rsidRDefault="00792F93" w:rsidP="00792F93">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267F78" id="_x0000_t202" coordsize="21600,21600" o:spt="202" path="m,l,21600r21600,l21600,xe">
              <v:stroke joinstyle="miter"/>
              <v:path gradientshapeok="t" o:connecttype="rect"/>
            </v:shapetype>
            <v:shape id="Text Box 340" o:spid="_x0000_s1026" type="#_x0000_t202" alt="Sec-Headerprimary" style="position:absolute;margin-left:0;margin-top:-25pt;width:454.55pt;height:31.15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" stroked="f" strokeweight=".5pt">
              <v:fill opacity="0"/>
              <v:textbox>
                <w:txbxContent>
                  <w:p w14:paraId="61011C3A" w14:textId="724A9A86" w:rsidR="00792F93" w:rsidRPr="00324EB0" w:rsidRDefault="00792F93" w:rsidP="00792F93">
                    <w:pPr>
                      <w:jc w:val="center"/>
                      <w:rPr>
                        <w:rFonts w:ascii="Arial" w:hAnsi="Arial" w:cs="Arial"/>
                        <w:b/>
                        <w:sz w:val="40"/>
                      </w:rPr>
                    </w:pPr>
                  </w:p>
                </w:txbxContent>
              </v:textbox>
              <w10:wrap anchorx="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066B" w14:textId="77777777" w:rsidR="00785503" w:rsidRDefault="0078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E463B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0CD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5BABE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12C8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B5ACE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968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6200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8669C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4618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DE81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8034A"/>
    <w:multiLevelType w:val="hybridMultilevel"/>
    <w:tmpl w:val="2F4E5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EEF1BF3"/>
    <w:multiLevelType w:val="hybridMultilevel"/>
    <w:tmpl w:val="42422D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17872434">
    <w:abstractNumId w:val="9"/>
  </w:num>
  <w:num w:numId="2" w16cid:durableId="1937663693">
    <w:abstractNumId w:val="7"/>
  </w:num>
  <w:num w:numId="3" w16cid:durableId="970131736">
    <w:abstractNumId w:val="6"/>
  </w:num>
  <w:num w:numId="4" w16cid:durableId="1437946959">
    <w:abstractNumId w:val="5"/>
  </w:num>
  <w:num w:numId="5" w16cid:durableId="1357655143">
    <w:abstractNumId w:val="4"/>
  </w:num>
  <w:num w:numId="6" w16cid:durableId="1719432539">
    <w:abstractNumId w:val="8"/>
  </w:num>
  <w:num w:numId="7" w16cid:durableId="1955092880">
    <w:abstractNumId w:val="3"/>
  </w:num>
  <w:num w:numId="8" w16cid:durableId="609241425">
    <w:abstractNumId w:val="2"/>
  </w:num>
  <w:num w:numId="9" w16cid:durableId="1143498459">
    <w:abstractNumId w:val="1"/>
  </w:num>
  <w:num w:numId="10" w16cid:durableId="353576698">
    <w:abstractNumId w:val="0"/>
  </w:num>
  <w:num w:numId="11" w16cid:durableId="45573455">
    <w:abstractNumId w:val="12"/>
  </w:num>
  <w:num w:numId="12" w16cid:durableId="591596011">
    <w:abstractNumId w:val="13"/>
  </w:num>
  <w:num w:numId="13" w16cid:durableId="1376004458">
    <w:abstractNumId w:val="11"/>
  </w:num>
  <w:num w:numId="14" w16cid:durableId="1296332804">
    <w:abstractNumId w:val="10"/>
  </w:num>
  <w:num w:numId="15" w16cid:durableId="1923906160">
    <w:abstractNumId w:val="14"/>
  </w:num>
  <w:num w:numId="16" w16cid:durableId="106704933">
    <w:abstractNumId w:val="8"/>
  </w:num>
  <w:num w:numId="17" w16cid:durableId="591011318">
    <w:abstractNumId w:val="3"/>
  </w:num>
  <w:num w:numId="18" w16cid:durableId="1980843574">
    <w:abstractNumId w:val="2"/>
  </w:num>
  <w:num w:numId="19" w16cid:durableId="1683043071">
    <w:abstractNumId w:val="1"/>
  </w:num>
  <w:num w:numId="20" w16cid:durableId="2141259465">
    <w:abstractNumId w:val="0"/>
  </w:num>
  <w:num w:numId="21" w16cid:durableId="1559784536">
    <w:abstractNumId w:val="8"/>
  </w:num>
  <w:num w:numId="22" w16cid:durableId="612442474">
    <w:abstractNumId w:val="3"/>
  </w:num>
  <w:num w:numId="23" w16cid:durableId="1888880003">
    <w:abstractNumId w:val="2"/>
  </w:num>
  <w:num w:numId="24" w16cid:durableId="341124201">
    <w:abstractNumId w:val="1"/>
  </w:num>
  <w:num w:numId="25" w16cid:durableId="135603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comments" w:enforcement="1"/>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93"/>
    <w:rsid w:val="000136AF"/>
    <w:rsid w:val="00022B7E"/>
    <w:rsid w:val="00036B0B"/>
    <w:rsid w:val="00037D13"/>
    <w:rsid w:val="00056743"/>
    <w:rsid w:val="000614BF"/>
    <w:rsid w:val="000C604C"/>
    <w:rsid w:val="000D05EF"/>
    <w:rsid w:val="0010745C"/>
    <w:rsid w:val="00166C2F"/>
    <w:rsid w:val="00174846"/>
    <w:rsid w:val="001939E1"/>
    <w:rsid w:val="00195382"/>
    <w:rsid w:val="001C69C4"/>
    <w:rsid w:val="001E3590"/>
    <w:rsid w:val="001E7407"/>
    <w:rsid w:val="00253D1B"/>
    <w:rsid w:val="00295FBA"/>
    <w:rsid w:val="002970D7"/>
    <w:rsid w:val="00297ECB"/>
    <w:rsid w:val="002D043A"/>
    <w:rsid w:val="002D6A8E"/>
    <w:rsid w:val="00311448"/>
    <w:rsid w:val="0032331E"/>
    <w:rsid w:val="00352B0F"/>
    <w:rsid w:val="00360FB0"/>
    <w:rsid w:val="003A34AF"/>
    <w:rsid w:val="003B5735"/>
    <w:rsid w:val="003D0BFE"/>
    <w:rsid w:val="003D3AC1"/>
    <w:rsid w:val="003D5700"/>
    <w:rsid w:val="003D6F8A"/>
    <w:rsid w:val="003E4160"/>
    <w:rsid w:val="004116CD"/>
    <w:rsid w:val="00424CA9"/>
    <w:rsid w:val="0044291A"/>
    <w:rsid w:val="00450A86"/>
    <w:rsid w:val="004560FB"/>
    <w:rsid w:val="004653F8"/>
    <w:rsid w:val="00496F97"/>
    <w:rsid w:val="00516B8D"/>
    <w:rsid w:val="005327A0"/>
    <w:rsid w:val="00537FBC"/>
    <w:rsid w:val="00584811"/>
    <w:rsid w:val="00594161"/>
    <w:rsid w:val="00594749"/>
    <w:rsid w:val="005F380F"/>
    <w:rsid w:val="00600219"/>
    <w:rsid w:val="006207A3"/>
    <w:rsid w:val="006279B8"/>
    <w:rsid w:val="0067249C"/>
    <w:rsid w:val="00676C92"/>
    <w:rsid w:val="00677CC2"/>
    <w:rsid w:val="00680F77"/>
    <w:rsid w:val="0069207B"/>
    <w:rsid w:val="006C7F8C"/>
    <w:rsid w:val="006D77BA"/>
    <w:rsid w:val="006E2E9F"/>
    <w:rsid w:val="00704A73"/>
    <w:rsid w:val="0072490E"/>
    <w:rsid w:val="007276BC"/>
    <w:rsid w:val="00731E00"/>
    <w:rsid w:val="00733990"/>
    <w:rsid w:val="00764561"/>
    <w:rsid w:val="00766393"/>
    <w:rsid w:val="007715C9"/>
    <w:rsid w:val="00774EDD"/>
    <w:rsid w:val="00775577"/>
    <w:rsid w:val="007757EC"/>
    <w:rsid w:val="00785503"/>
    <w:rsid w:val="00792F93"/>
    <w:rsid w:val="008006B2"/>
    <w:rsid w:val="00856A31"/>
    <w:rsid w:val="008754D0"/>
    <w:rsid w:val="008E17F3"/>
    <w:rsid w:val="008E3B8C"/>
    <w:rsid w:val="0094622F"/>
    <w:rsid w:val="0098638B"/>
    <w:rsid w:val="00992126"/>
    <w:rsid w:val="009A6C71"/>
    <w:rsid w:val="009E279F"/>
    <w:rsid w:val="00A231E2"/>
    <w:rsid w:val="00A526EE"/>
    <w:rsid w:val="00A64912"/>
    <w:rsid w:val="00A70A74"/>
    <w:rsid w:val="00A73133"/>
    <w:rsid w:val="00A91B5C"/>
    <w:rsid w:val="00AC5E28"/>
    <w:rsid w:val="00AD5641"/>
    <w:rsid w:val="00AF2441"/>
    <w:rsid w:val="00B33B3C"/>
    <w:rsid w:val="00BE719A"/>
    <w:rsid w:val="00BE720A"/>
    <w:rsid w:val="00C42BF8"/>
    <w:rsid w:val="00C50043"/>
    <w:rsid w:val="00C61CDD"/>
    <w:rsid w:val="00C72654"/>
    <w:rsid w:val="00C7573B"/>
    <w:rsid w:val="00C83868"/>
    <w:rsid w:val="00CB3D6B"/>
    <w:rsid w:val="00CB48D8"/>
    <w:rsid w:val="00CF0BB2"/>
    <w:rsid w:val="00CF2166"/>
    <w:rsid w:val="00D13441"/>
    <w:rsid w:val="00D70DFB"/>
    <w:rsid w:val="00D766DF"/>
    <w:rsid w:val="00DB3CFE"/>
    <w:rsid w:val="00DE7073"/>
    <w:rsid w:val="00E44FF3"/>
    <w:rsid w:val="00E74DC7"/>
    <w:rsid w:val="00E83743"/>
    <w:rsid w:val="00EA57B8"/>
    <w:rsid w:val="00EC7F02"/>
    <w:rsid w:val="00ED0C49"/>
    <w:rsid w:val="00EF2E3A"/>
    <w:rsid w:val="00F04811"/>
    <w:rsid w:val="00F078DC"/>
    <w:rsid w:val="00F22373"/>
    <w:rsid w:val="00F23E5F"/>
    <w:rsid w:val="00F51269"/>
    <w:rsid w:val="00F575C9"/>
    <w:rsid w:val="00F85701"/>
    <w:rsid w:val="00FD3814"/>
    <w:rsid w:val="00FD456C"/>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C5A1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69C4"/>
    <w:pPr>
      <w:spacing w:line="260" w:lineRule="atLeast"/>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uiPriority w:val="1"/>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
    <w:basedOn w:val="OPCParaBase"/>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uiPriority w:val="99"/>
    <w:semiHidden/>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semiHidden/>
    <w:unhideWhenUsed/>
    <w:rsid w:val="00A91B5C"/>
    <w:pPr>
      <w:spacing w:line="240" w:lineRule="auto"/>
      <w:ind w:left="958"/>
    </w:pPr>
    <w:rPr>
      <w:sz w:val="24"/>
    </w:rPr>
  </w:style>
  <w:style w:type="paragraph" w:styleId="TOC6">
    <w:name w:val="toc 6"/>
    <w:basedOn w:val="OPCParaBase"/>
    <w:next w:val="Normal"/>
    <w:uiPriority w:val="39"/>
    <w:semiHidden/>
    <w:unhideWhenUsed/>
    <w:rsid w:val="00A91B5C"/>
    <w:pPr>
      <w:spacing w:line="240" w:lineRule="auto"/>
      <w:ind w:left="1202"/>
    </w:pPr>
    <w:rPr>
      <w:sz w:val="24"/>
    </w:rPr>
  </w:style>
  <w:style w:type="paragraph" w:styleId="TOC7">
    <w:name w:val="toc 7"/>
    <w:basedOn w:val="OPCParaBase"/>
    <w:next w:val="Normal"/>
    <w:uiPriority w:val="39"/>
    <w:semiHidden/>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spacing w:before="240" w:line="240" w:lineRule="auto"/>
    </w:pPr>
    <w:rPr>
      <w:sz w:val="24"/>
    </w:rPr>
  </w:style>
  <w:style w:type="paragraph" w:customStyle="1" w:styleId="BodyPara">
    <w:name w:val="BodyPara"/>
    <w:aliases w:val="ba"/>
    <w:basedOn w:val="OPCParaBase"/>
    <w:rsid w:val="00680F77"/>
    <w:pPr>
      <w:numPr>
        <w:ilvl w:val="1"/>
        <w:numId w:val="13"/>
      </w:numPr>
      <w:spacing w:before="240" w:line="240" w:lineRule="auto"/>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uiPriority w:val="99"/>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uiPriority w:val="99"/>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paragraph" w:customStyle="1" w:styleId="SubPartCASA">
    <w:name w:val="SubPart(CASA)"/>
    <w:aliases w:val="csp"/>
    <w:basedOn w:val="OPCParaBase"/>
    <w:next w:val="ActHead3"/>
    <w:rsid w:val="00450A86"/>
    <w:pPr>
      <w:keepNext/>
      <w:keepLines/>
      <w:spacing w:before="280"/>
      <w:ind w:left="1134" w:hanging="1134"/>
      <w:outlineLvl w:val="1"/>
    </w:pPr>
    <w:rPr>
      <w:b/>
      <w:kern w:val="28"/>
      <w:sz w:val="32"/>
    </w:rPr>
  </w:style>
  <w:style w:type="paragraph" w:customStyle="1" w:styleId="SundryBoxBullet">
    <w:name w:val="SundryBoxBullet"/>
    <w:aliases w:val="sbb"/>
    <w:basedOn w:val="Normal"/>
    <w:rsid w:val="00FD456C"/>
    <w:pPr>
      <w:pBdr>
        <w:top w:val="single" w:sz="6" w:space="5" w:color="auto"/>
        <w:left w:val="single" w:sz="6" w:space="5" w:color="auto"/>
        <w:bottom w:val="single" w:sz="6" w:space="5" w:color="auto"/>
        <w:right w:val="single" w:sz="6" w:space="5" w:color="auto"/>
      </w:pBdr>
      <w:spacing w:before="240" w:line="240" w:lineRule="auto"/>
      <w:ind w:left="425" w:hanging="425"/>
    </w:pPr>
    <w:rPr>
      <w:sz w:val="24"/>
      <w:szCs w:val="24"/>
    </w:rPr>
  </w:style>
  <w:style w:type="paragraph" w:customStyle="1" w:styleId="SundryBoxHeadBold">
    <w:name w:val="SundryBoxHeadBold"/>
    <w:aliases w:val="sbhb"/>
    <w:basedOn w:val="Normal"/>
    <w:rsid w:val="00FD456C"/>
    <w:pPr>
      <w:pBdr>
        <w:top w:val="single" w:sz="6" w:space="5" w:color="auto"/>
        <w:left w:val="single" w:sz="6" w:space="5" w:color="auto"/>
        <w:bottom w:val="single" w:sz="6" w:space="5" w:color="auto"/>
        <w:right w:val="single" w:sz="6" w:space="5" w:color="auto"/>
      </w:pBdr>
      <w:spacing w:before="240" w:line="240" w:lineRule="auto"/>
    </w:pPr>
    <w:rPr>
      <w:rFonts w:eastAsia="Times New Roman" w:cs="Times New Roman"/>
      <w:b/>
      <w:sz w:val="24"/>
      <w:szCs w:val="24"/>
      <w:lang w:eastAsia="en-AU"/>
    </w:rPr>
  </w:style>
  <w:style w:type="paragraph" w:customStyle="1" w:styleId="Release">
    <w:name w:val="Release"/>
    <w:basedOn w:val="Body"/>
    <w:rsid w:val="00792F93"/>
    <w:rPr>
      <w:b/>
    </w:rPr>
  </w:style>
  <w:style w:type="character" w:styleId="Hyperlink">
    <w:name w:val="Hyperlink"/>
    <w:basedOn w:val="DefaultParagraphFont"/>
    <w:uiPriority w:val="99"/>
    <w:unhideWhenUsed/>
    <w:rsid w:val="00792F93"/>
    <w:rPr>
      <w:color w:val="0000FF" w:themeColor="hyperlink"/>
      <w:u w:val="single"/>
    </w:rPr>
  </w:style>
  <w:style w:type="paragraph" w:styleId="ListBullet">
    <w:name w:val="List Bullet"/>
    <w:basedOn w:val="Normal"/>
    <w:uiPriority w:val="99"/>
    <w:unhideWhenUsed/>
    <w:rsid w:val="00F575C9"/>
    <w:pPr>
      <w:tabs>
        <w:tab w:val="num" w:pos="360"/>
      </w:tabs>
      <w:ind w:left="360" w:hanging="360"/>
      <w:contextualSpacing/>
    </w:pPr>
  </w:style>
  <w:style w:type="paragraph" w:styleId="BodyText">
    <w:name w:val="Body Text"/>
    <w:basedOn w:val="Normal"/>
    <w:link w:val="BodyTextChar"/>
    <w:uiPriority w:val="99"/>
    <w:unhideWhenUsed/>
    <w:rsid w:val="00F575C9"/>
    <w:pPr>
      <w:spacing w:after="120"/>
    </w:pPr>
  </w:style>
  <w:style w:type="character" w:customStyle="1" w:styleId="BodyTextChar">
    <w:name w:val="Body Text Char"/>
    <w:basedOn w:val="DefaultParagraphFont"/>
    <w:link w:val="BodyText"/>
    <w:uiPriority w:val="99"/>
    <w:rsid w:val="00F575C9"/>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opc.gov.au/drafting-resources/instrument-resources" TargetMode="External"/><Relationship Id="rId13" Type="http://schemas.openxmlformats.org/officeDocument/2006/relationships/footer" Target="footer1.xml"/><Relationship Id="rId18" Type="http://schemas.openxmlformats.org/officeDocument/2006/relationships/hyperlink" Target="https://www.legislation.gov.au/Details/F2023L00416" TargetMode="External"/><Relationship Id="rId26" Type="http://schemas.openxmlformats.org/officeDocument/2006/relationships/hyperlink" Target="https://www.legislation.gov.au/Details/F2023L00752" TargetMode="External"/><Relationship Id="rId3" Type="http://schemas.openxmlformats.org/officeDocument/2006/relationships/settings" Target="settings.xml"/><Relationship Id="rId21" Type="http://schemas.openxmlformats.org/officeDocument/2006/relationships/hyperlink" Target="https://www.legislation.gov.au/Details/F2023L00506" TargetMode="Externa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yperlink" Target="https://www.legislation.gov.au/Details/F2023L00796" TargetMode="External"/><Relationship Id="rId25" Type="http://schemas.openxmlformats.org/officeDocument/2006/relationships/hyperlink" Target="https://www.legislation.gov.au/F2025L00469/asmade/tex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s://www.legislation.gov.au/Details/F2023L008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www.legislation.gov.au/Details/F2022L01422"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www.legislation.gov.au/Details/F2022L01712" TargetMode="External"/><Relationship Id="rId28" Type="http://schemas.openxmlformats.org/officeDocument/2006/relationships/theme" Target="theme/theme1.xml"/><Relationship Id="rId10" Type="http://schemas.openxmlformats.org/officeDocument/2006/relationships/hyperlink" Target="https://www.opc.gov.au/drafting-resources/instrument-resources" TargetMode="External"/><Relationship Id="rId19" Type="http://schemas.openxmlformats.org/officeDocument/2006/relationships/hyperlink" Target="https://www.legislation.gov.au/Details/F2022L01662" TargetMode="External"/><Relationship Id="rId4" Type="http://schemas.openxmlformats.org/officeDocument/2006/relationships/webSettings" Target="webSettings.xml"/><Relationship Id="rId9" Type="http://schemas.openxmlformats.org/officeDocument/2006/relationships/hyperlink" Target="https://www.opc.gov.au/drafting-resources/instrument-resources" TargetMode="External"/><Relationship Id="rId14" Type="http://schemas.openxmlformats.org/officeDocument/2006/relationships/footer" Target="footer2.xml"/><Relationship Id="rId22" Type="http://schemas.openxmlformats.org/officeDocument/2006/relationships/hyperlink" Target="https://www.legislation.gov.au/Details/F2023L0081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1017</Words>
  <Characters>5905</Characters>
  <Application>Microsoft Office Word</Application>
  <DocSecurity>12</DocSecurity>
  <PresentationFormat/>
  <Lines>227</Lines>
  <Paragraphs>128</Paragraphs>
  <ScaleCrop>false</ScaleCrop>
  <HeadingPairs>
    <vt:vector size="2" baseType="variant">
      <vt:variant>
        <vt:lpstr>Title</vt:lpstr>
      </vt:variant>
      <vt:variant>
        <vt:i4>1</vt:i4>
      </vt:variant>
    </vt:vector>
  </HeadingPairs>
  <TitlesOfParts>
    <vt:vector size="1" baseType="lpstr">
      <vt:lpstr>/</vt:lpstr>
    </vt:vector>
  </TitlesOfParts>
  <Manager/>
  <Company/>
  <LinksUpToDate>false</LinksUpToDate>
  <CharactersWithSpaces>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Drafting Guidance Note No. 1.3</dc:title>
  <dc:subject/>
  <dc:creator/>
  <cp:keywords/>
  <dc:description/>
  <cp:lastModifiedBy/>
  <cp:revision>1</cp:revision>
  <dcterms:created xsi:type="dcterms:W3CDTF">2025-06-24T23:22:00Z</dcterms:created>
  <dcterms:modified xsi:type="dcterms:W3CDTF">2025-06-24T23:22:00Z</dcterms:modified>
  <cp:category>Other - Version 2.0 final for website</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vt:lpwstr>
  </property>
  <property fmtid="{D5CDD505-2E9C-101B-9397-08002B2CF9AE}" pid="3" name="DLM">
    <vt:lpwstr> </vt:lpwstr>
  </property>
  <property fmtid="{D5CDD505-2E9C-101B-9397-08002B2CF9AE}" pid="4" name="DoNotAsk">
    <vt:lpwstr>0</vt:lpwstr>
  </property>
  <property fmtid="{D5CDD505-2E9C-101B-9397-08002B2CF9AE}" pid="5" name="ChangedTitle">
    <vt:lpwstr/>
  </property>
</Properties>
</file>