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FA24F0">
        <w:t>Order</w:t>
      </w:r>
      <w:r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FA24F0" w:rsidP="0010475F">
      <w:pPr>
        <w:pStyle w:val="a5"/>
        <w:spacing w:line="276" w:lineRule="auto"/>
        <w:ind w:left="360" w:firstLineChars="0" w:firstLine="0"/>
      </w:pPr>
      <w:r>
        <w:t>Order</w:t>
      </w:r>
      <w:r w:rsidR="0010475F">
        <w:t>bl</w:t>
      </w:r>
      <w:r w:rsidR="0010475F">
        <w:rPr>
          <w:rFonts w:hint="eastAsia"/>
        </w:rPr>
        <w:t>模块负责实现</w:t>
      </w:r>
      <w:r w:rsidR="00A14E58">
        <w:rPr>
          <w:rFonts w:hint="eastAsia"/>
        </w:rPr>
        <w:t>订单</w:t>
      </w:r>
      <w:r w:rsidR="0010475F">
        <w:rPr>
          <w:rFonts w:hint="eastAsia"/>
        </w:rPr>
        <w:t>新建、提交工作</w:t>
      </w:r>
      <w:r w:rsidR="0010475F" w:rsidRPr="0011223C">
        <w:t>。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一方面，包本身的逻辑比较简单；同时，它所需要实现的功能与其他新建订单包类似，因此采用了统一的工具实现。因此包内部的组织结构就相对较为简单</w:t>
      </w:r>
    </w:p>
    <w:p w:rsidR="0010475F" w:rsidRDefault="00FA24F0" w:rsidP="0010475F">
      <w:pPr>
        <w:spacing w:line="276" w:lineRule="auto"/>
      </w:pPr>
      <w:r>
        <w:t>Order</w:t>
      </w:r>
      <w:r w:rsidR="0010475F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5270499" cy="3194242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FA24F0" w:rsidP="0010475F">
      <w:pPr>
        <w:spacing w:line="276" w:lineRule="auto"/>
      </w:pPr>
      <w:r>
        <w:rPr>
          <w:rFonts w:hint="eastAsia"/>
        </w:rPr>
        <w:t>Order</w:t>
      </w:r>
      <w:r w:rsidR="0010475F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FA24F0" w:rsidP="009523AD">
            <w:pPr>
              <w:spacing w:line="276" w:lineRule="auto"/>
            </w:pPr>
            <w:r>
              <w:t>Order</w:t>
            </w:r>
            <w:r w:rsidR="0010475F">
              <w:t>bl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负责实现中转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装车单的服务</w:t>
            </w:r>
          </w:p>
        </w:tc>
      </w:tr>
      <w:tr w:rsidR="00FA24F0" w:rsidTr="009523AD">
        <w:trPr>
          <w:jc w:val="center"/>
        </w:trPr>
        <w:tc>
          <w:tcPr>
            <w:tcW w:w="2638" w:type="dxa"/>
            <w:vAlign w:val="center"/>
          </w:tcPr>
          <w:p w:rsidR="00FA24F0" w:rsidRDefault="00FA24F0" w:rsidP="009523AD">
            <w:pPr>
              <w:spacing w:line="276" w:lineRule="auto"/>
            </w:pPr>
            <w:r>
              <w:t>Predicter</w:t>
            </w:r>
          </w:p>
        </w:tc>
        <w:tc>
          <w:tcPr>
            <w:tcW w:w="5834" w:type="dxa"/>
            <w:vAlign w:val="center"/>
          </w:tcPr>
          <w:p w:rsidR="00FA24F0" w:rsidRDefault="00FA24F0" w:rsidP="009523A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负责计算运费和到达时间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FA24F0" w:rsidRPr="00FA24F0" w:rsidRDefault="00FA24F0" w:rsidP="00FA24F0">
      <w:pPr>
        <w:jc w:val="center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Order</w:t>
      </w:r>
      <w:r w:rsidR="0010475F" w:rsidRPr="0010475F">
        <w:rPr>
          <w:rFonts w:ascii="微软雅黑" w:eastAsia="微软雅黑" w:hAnsi="微软雅黑"/>
          <w:b/>
        </w:rPr>
        <w:t>BL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A24F0" w:rsidRPr="00F81CE6" w:rsidTr="00484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A24F0" w:rsidRPr="001C19F5" w:rsidRDefault="00FA24F0" w:rsidP="004846A3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 xml:space="preserve">ublic </w:t>
            </w:r>
            <w:r w:rsidRPr="00800DC5">
              <w:rPr>
                <w:rFonts w:ascii="Calibri" w:eastAsia="宋体" w:hAnsi="Calibri" w:cs="Times New Roman"/>
              </w:rPr>
              <w:t>List &lt;</w:t>
            </w:r>
            <w:r>
              <w:rPr>
                <w:rFonts w:ascii="Calibri" w:eastAsia="宋体" w:hAnsi="Calibri" w:cs="Times New Roman"/>
              </w:rPr>
              <w:t xml:space="preserve"> CheckFormMessage</w:t>
            </w:r>
            <w:r w:rsidRPr="00800DC5">
              <w:rPr>
                <w:rFonts w:ascii="Calibri" w:eastAsia="宋体" w:hAnsi="Calibri" w:cs="Times New Roman"/>
              </w:rPr>
              <w:t xml:space="preserve"> &gt;  checkFormat(String OrderID)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输入的</w:t>
            </w:r>
            <w:r w:rsidRPr="00800DC5">
              <w:rPr>
                <w:rFonts w:ascii="Calibri" w:eastAsia="宋体" w:hAnsi="Calibri" w:cs="Times New Roman" w:hint="eastAsia"/>
              </w:rPr>
              <w:t>OrderID</w:t>
            </w:r>
            <w:r w:rsidRPr="00800DC5">
              <w:rPr>
                <w:rFonts w:ascii="Calibri" w:eastAsia="宋体" w:hAnsi="Calibri" w:cs="Times New Roman"/>
              </w:rPr>
              <w:t>不为空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检查输入信息是否符合系统要求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若符合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返回的</w:t>
            </w:r>
            <w:r w:rsidRPr="00800DC5">
              <w:rPr>
                <w:rFonts w:ascii="Calibri" w:eastAsia="宋体" w:hAnsi="Calibri" w:cs="Times New Roman"/>
              </w:rPr>
              <w:t>list</w:t>
            </w:r>
            <w:r w:rsidRPr="00800DC5">
              <w:rPr>
                <w:rFonts w:ascii="Calibri" w:eastAsia="宋体" w:hAnsi="Calibri" w:cs="Times New Roman"/>
              </w:rPr>
              <w:t>中只有一个显示正确的</w:t>
            </w:r>
            <w:r>
              <w:rPr>
                <w:rFonts w:ascii="Calibri" w:eastAsia="宋体" w:hAnsi="Calibri" w:cs="Times New Roman"/>
              </w:rPr>
              <w:lastRenderedPageBreak/>
              <w:t>CheckFormMessage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否则返回能指出错误的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800DC5">
              <w:rPr>
                <w:rFonts w:ascii="Calibri" w:eastAsia="宋体" w:hAnsi="Calibri" w:cs="Times New Roman"/>
              </w:rPr>
              <w:t>的列表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OrderBL.submit</w:t>
            </w: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800DC5">
              <w:rPr>
                <w:rFonts w:ascii="Calibri" w:eastAsia="宋体" w:hAnsi="Calibri" w:cs="Times New Roman"/>
              </w:rPr>
              <w:t xml:space="preserve"> submit(OrderPO form)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已通过检查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若</w:t>
            </w:r>
            <w:r w:rsidRPr="00800DC5">
              <w:rPr>
                <w:rFonts w:ascii="Calibri" w:eastAsia="宋体" w:hAnsi="Calibri" w:cs="Times New Roman"/>
              </w:rPr>
              <w:t>网络连接正常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800DC5">
              <w:rPr>
                <w:rFonts w:ascii="Calibri" w:eastAsia="宋体" w:hAnsi="Calibri" w:cs="Times New Roman" w:hint="eastAsia"/>
              </w:rPr>
              <w:t>，</w:t>
            </w:r>
            <w:r w:rsidRPr="00800DC5">
              <w:rPr>
                <w:rFonts w:ascii="Calibri" w:eastAsia="宋体" w:hAnsi="Calibri" w:cs="Times New Roman"/>
              </w:rPr>
              <w:t>否则返回相应的提示信息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800DC5">
              <w:rPr>
                <w:rFonts w:ascii="Calibri" w:eastAsia="宋体" w:hAnsi="Calibri" w:cs="Times New Roman"/>
              </w:rPr>
              <w:t xml:space="preserve"> saveDraft(OrderPO draft)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输入的</w:t>
            </w:r>
            <w:r w:rsidRPr="00800DC5">
              <w:rPr>
                <w:rFonts w:ascii="Calibri" w:eastAsia="宋体" w:hAnsi="Calibri" w:cs="Times New Roman"/>
              </w:rPr>
              <w:t>Order</w:t>
            </w:r>
            <w:r w:rsidRPr="00800DC5">
              <w:rPr>
                <w:rFonts w:ascii="Calibri" w:eastAsia="宋体" w:hAnsi="Calibri" w:cs="Times New Roman" w:hint="eastAsia"/>
              </w:rPr>
              <w:t>PO</w:t>
            </w:r>
            <w:r w:rsidRPr="00800DC5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将</w:t>
            </w:r>
            <w:r w:rsidRPr="00800DC5">
              <w:rPr>
                <w:rFonts w:ascii="Calibri" w:eastAsia="宋体" w:hAnsi="Calibri" w:cs="Times New Roman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24F0" w:rsidRPr="00F81CE6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public OrderPO loadDraft()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800DC5">
              <w:rPr>
                <w:rFonts w:ascii="Calibri" w:eastAsia="宋体" w:hAnsi="Calibri" w:cs="Times New Roman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24F0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 w:hint="eastAsia"/>
                <w:sz w:val="18"/>
              </w:rPr>
              <w:t>OrderBL.predict</w:t>
            </w: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PredictPO predict(OrderPO po)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OrderPO</w:t>
            </w:r>
            <w:r w:rsidRPr="00800DC5">
              <w:rPr>
                <w:rFonts w:ascii="Calibri" w:eastAsia="宋体" w:hAnsi="Calibri" w:cs="Times New Roman" w:hint="eastAsia"/>
              </w:rPr>
              <w:t>已通过检查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返回经计算得出的运费和预计到达时间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A24F0" w:rsidRPr="00F81CE6" w:rsidRDefault="00FA24F0" w:rsidP="004846A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24F0" w:rsidRPr="001C19F5" w:rsidRDefault="00FA24F0" w:rsidP="004846A3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A24F0" w:rsidRPr="00F81CE6" w:rsidRDefault="00FA24F0" w:rsidP="004846A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24F0" w:rsidRPr="00BC56A9" w:rsidRDefault="00FA24F0" w:rsidP="004846A3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BC56A9">
              <w:rPr>
                <w:rFonts w:asciiTheme="majorHAnsi" w:eastAsia="宋体" w:hAnsiTheme="majorHAnsi" w:cs="Times New Roman" w:hint="eastAsia"/>
                <w:szCs w:val="21"/>
              </w:rPr>
              <w:t>ExamineService</w:t>
            </w:r>
            <w:r w:rsidRPr="00BC56A9">
              <w:rPr>
                <w:rFonts w:asciiTheme="majorHAnsi" w:eastAsia="宋体" w:hAnsiTheme="majorHAnsi" w:cs="Times New Roman"/>
                <w:szCs w:val="21"/>
              </w:rPr>
              <w:t>.</w:t>
            </w:r>
          </w:p>
          <w:p w:rsidR="00FA24F0" w:rsidRPr="00D51A62" w:rsidRDefault="00FA24F0" w:rsidP="004846A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BC56A9">
              <w:rPr>
                <w:rFonts w:asciiTheme="majorHAnsi" w:eastAsia="宋体" w:hAnsiTheme="majorHAnsi" w:cs="Times New Roman"/>
                <w:szCs w:val="21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FA24F0" w:rsidRPr="00F81CE6" w:rsidRDefault="00FA24F0" w:rsidP="004846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24F0" w:rsidRPr="00BC56A9" w:rsidRDefault="00FA24F0" w:rsidP="004846A3">
            <w:pPr>
              <w:spacing w:line="276" w:lineRule="auto"/>
              <w:rPr>
                <w:rFonts w:asciiTheme="majorHAnsi" w:eastAsia="宋体" w:hAnsiTheme="majorHAnsi" w:cs="Times New Roman" w:hint="eastAsia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Cs w:val="21"/>
              </w:rPr>
              <w:t>Predicter.predict(</w:t>
            </w:r>
            <w:r>
              <w:rPr>
                <w:rFonts w:asciiTheme="majorHAnsi" w:eastAsia="宋体" w:hAnsiTheme="majorHAnsi" w:cs="Times New Roman"/>
                <w:szCs w:val="21"/>
              </w:rPr>
              <w:t>OrderPO</w:t>
            </w:r>
            <w:r>
              <w:rPr>
                <w:rFonts w:asciiTheme="majorHAnsi" w:eastAsia="宋体" w:hAnsiTheme="majorHAnsi" w:cs="Times New Roman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FA24F0" w:rsidRPr="00AE1816" w:rsidRDefault="00FA24F0" w:rsidP="004846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进行预计和计算</w:t>
            </w:r>
          </w:p>
        </w:tc>
      </w:tr>
    </w:tbl>
    <w:p w:rsidR="0010475F" w:rsidRDefault="0010475F" w:rsidP="0010475F">
      <w:pPr>
        <w:spacing w:line="276" w:lineRule="auto"/>
      </w:pPr>
    </w:p>
    <w:p w:rsidR="00FA24F0" w:rsidRPr="00FA24F0" w:rsidRDefault="00FA24F0" w:rsidP="00FA24F0">
      <w:pPr>
        <w:jc w:val="center"/>
        <w:rPr>
          <w:rFonts w:ascii="微软雅黑" w:eastAsia="微软雅黑" w:hAnsi="微软雅黑"/>
          <w:b/>
        </w:rPr>
      </w:pPr>
      <w:r w:rsidRPr="00FA24F0">
        <w:rPr>
          <w:rFonts w:ascii="微软雅黑" w:eastAsia="微软雅黑" w:hAnsi="微软雅黑"/>
          <w:b/>
        </w:rPr>
        <w:t>P</w:t>
      </w:r>
      <w:r w:rsidRPr="00FA24F0">
        <w:rPr>
          <w:rFonts w:ascii="微软雅黑" w:eastAsia="微软雅黑" w:hAnsi="微软雅黑" w:hint="eastAsia"/>
          <w:b/>
        </w:rPr>
        <w:t>redicter</w:t>
      </w:r>
      <w:r w:rsidRPr="00FA24F0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A24F0" w:rsidRPr="00F81CE6" w:rsidTr="00484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A24F0" w:rsidRPr="001C19F5" w:rsidRDefault="00FA24F0" w:rsidP="004846A3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A24F0" w:rsidRPr="00F81CE6" w:rsidRDefault="00FA24F0" w:rsidP="00FA24F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</w:t>
            </w:r>
            <w:r>
              <w:rPr>
                <w:rFonts w:ascii="微软雅黑" w:eastAsia="微软雅黑" w:hAnsi="微软雅黑" w:hint="eastAsia"/>
                <w:sz w:val="18"/>
              </w:rPr>
              <w:t>predict</w:t>
            </w:r>
          </w:p>
        </w:tc>
        <w:tc>
          <w:tcPr>
            <w:tcW w:w="1123" w:type="dxa"/>
            <w:vAlign w:val="center"/>
          </w:tcPr>
          <w:p w:rsidR="00FA24F0" w:rsidRPr="00800DC5" w:rsidRDefault="00FA24F0" w:rsidP="00FA24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FA24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PredictPO predict(OrderPO po)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FA24F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FA24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FA24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输入的</w:t>
            </w:r>
            <w:r w:rsidRPr="00800DC5">
              <w:rPr>
                <w:rFonts w:ascii="Calibri" w:eastAsia="宋体" w:hAnsi="Calibri" w:cs="Times New Roman" w:hint="eastAsia"/>
              </w:rPr>
              <w:t>Order</w:t>
            </w:r>
            <w:r>
              <w:rPr>
                <w:rFonts w:ascii="Calibri" w:eastAsia="宋体" w:hAnsi="Calibri" w:cs="Times New Roman"/>
              </w:rPr>
              <w:t>PO</w:t>
            </w:r>
            <w:r w:rsidRPr="00800DC5">
              <w:rPr>
                <w:rFonts w:ascii="Calibri" w:eastAsia="宋体" w:hAnsi="Calibri" w:cs="Times New Roman"/>
              </w:rPr>
              <w:t>不为空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A24F0" w:rsidRPr="00F81CE6" w:rsidRDefault="00FA24F0" w:rsidP="00FA24F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A24F0" w:rsidRPr="00800DC5" w:rsidRDefault="00FA24F0" w:rsidP="00FA24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A24F0" w:rsidRPr="00800DC5" w:rsidRDefault="00FA24F0" w:rsidP="00FA24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返回运费和预计到达时间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A24F0" w:rsidRPr="00F81CE6" w:rsidRDefault="00FA24F0" w:rsidP="00FA24F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24F0" w:rsidRPr="001C19F5" w:rsidRDefault="00FA24F0" w:rsidP="00FA24F0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A24F0" w:rsidRPr="00F81CE6" w:rsidRDefault="00FA24F0" w:rsidP="00FA24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A24F0" w:rsidRPr="00F81CE6" w:rsidTr="0048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24F0" w:rsidRPr="00D51A62" w:rsidRDefault="00FA24F0" w:rsidP="00FA24F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C</w:t>
            </w:r>
            <w:r>
              <w:rPr>
                <w:rFonts w:asciiTheme="majorHAnsi" w:eastAsia="宋体" w:hAnsiTheme="majorHAnsi" w:cs="Times New Roman" w:hint="eastAsia"/>
                <w:szCs w:val="21"/>
              </w:rPr>
              <w:t>onfiguration</w:t>
            </w:r>
            <w:r>
              <w:rPr>
                <w:rFonts w:asciiTheme="majorHAnsi" w:eastAsia="宋体" w:hAnsiTheme="majorHAnsi" w:cs="Times New Roman"/>
                <w:szCs w:val="21"/>
              </w:rPr>
              <w:t>D</w:t>
            </w:r>
            <w:r>
              <w:rPr>
                <w:rFonts w:asciiTheme="majorHAnsi" w:eastAsia="宋体" w:hAnsiTheme="majorHAnsi" w:cs="Times New Roman" w:hint="eastAsia"/>
                <w:szCs w:val="21"/>
              </w:rPr>
              <w:t>ata</w:t>
            </w:r>
            <w:r>
              <w:rPr>
                <w:rFonts w:asciiTheme="majorHAnsi" w:eastAsia="宋体" w:hAnsiTheme="majorHAnsi" w:cs="Times New Roman"/>
                <w:szCs w:val="21"/>
              </w:rPr>
              <w:t>Service.getPri</w:t>
            </w:r>
            <w:r>
              <w:rPr>
                <w:rFonts w:asciiTheme="majorHAnsi" w:eastAsia="宋体" w:hAnsiTheme="majorHAnsi" w:cs="Times New Roman"/>
                <w:szCs w:val="21"/>
              </w:rPr>
              <w:lastRenderedPageBreak/>
              <w:t>ce</w:t>
            </w:r>
          </w:p>
        </w:tc>
        <w:tc>
          <w:tcPr>
            <w:tcW w:w="5324" w:type="dxa"/>
            <w:gridSpan w:val="2"/>
            <w:vAlign w:val="center"/>
          </w:tcPr>
          <w:p w:rsidR="00FA24F0" w:rsidRPr="00F81CE6" w:rsidRDefault="00FA24F0" w:rsidP="00FA24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lastRenderedPageBreak/>
              <w:t>获得单位运费</w:t>
            </w:r>
          </w:p>
        </w:tc>
      </w:tr>
      <w:tr w:rsidR="00FA24F0" w:rsidRPr="00F81CE6" w:rsidTr="00484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A24F0" w:rsidRDefault="00FA24F0" w:rsidP="00FA24F0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Cs w:val="21"/>
              </w:rPr>
              <w:lastRenderedPageBreak/>
              <w:t>ConfigurationDataService.get</w:t>
            </w:r>
          </w:p>
        </w:tc>
        <w:tc>
          <w:tcPr>
            <w:tcW w:w="5324" w:type="dxa"/>
            <w:gridSpan w:val="2"/>
            <w:vAlign w:val="center"/>
          </w:tcPr>
          <w:p w:rsidR="00FA24F0" w:rsidRDefault="00FA24F0" w:rsidP="00FA24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获得距离</w:t>
            </w:r>
          </w:p>
        </w:tc>
      </w:tr>
    </w:tbl>
    <w:p w:rsidR="00FA24F0" w:rsidRPr="0010475F" w:rsidRDefault="00FA24F0" w:rsidP="0010475F">
      <w:pPr>
        <w:spacing w:line="276" w:lineRule="auto"/>
        <w:rPr>
          <w:rFonts w:hint="eastAsia"/>
        </w:rPr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4273378" cy="2184171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78" cy="21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919133" cy="10540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33" cy="10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>
      <w:bookmarkStart w:id="2" w:name="_GoBack"/>
      <w:bookmarkEnd w:id="2"/>
    </w:p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8E" w:rsidRDefault="00C94D8E" w:rsidP="0010475F">
      <w:r>
        <w:separator/>
      </w:r>
    </w:p>
  </w:endnote>
  <w:endnote w:type="continuationSeparator" w:id="0">
    <w:p w:rsidR="00C94D8E" w:rsidRDefault="00C94D8E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8E" w:rsidRDefault="00C94D8E" w:rsidP="0010475F">
      <w:r>
        <w:separator/>
      </w:r>
    </w:p>
  </w:footnote>
  <w:footnote w:type="continuationSeparator" w:id="0">
    <w:p w:rsidR="00C94D8E" w:rsidRDefault="00C94D8E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2E78FE"/>
    <w:rsid w:val="00586E14"/>
    <w:rsid w:val="007A02D9"/>
    <w:rsid w:val="00997819"/>
    <w:rsid w:val="00A14E58"/>
    <w:rsid w:val="00A20F44"/>
    <w:rsid w:val="00B376E1"/>
    <w:rsid w:val="00C94D8E"/>
    <w:rsid w:val="00CA2481"/>
    <w:rsid w:val="00F9026D"/>
    <w:rsid w:val="00FA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2015-10-31T01:44:00Z</dcterms:created>
  <dcterms:modified xsi:type="dcterms:W3CDTF">2015-10-31T03:43:00Z</dcterms:modified>
</cp:coreProperties>
</file>