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58" w:rsidRDefault="000D3758" w:rsidP="000D3758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查询物流信息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D3758" w:rsidRDefault="000D3758" w:rsidP="000D3758">
      <w:r>
        <w:tab/>
      </w:r>
      <w:r w:rsidR="007710CC">
        <w:rPr>
          <w:rFonts w:hint="eastAsia"/>
        </w:rPr>
        <w:t>当寄件人已经寄出快递时，系统应实时更新快递货物的物流信息，</w:t>
      </w:r>
      <w:r w:rsidR="00074ACE">
        <w:rPr>
          <w:rFonts w:hint="eastAsia"/>
        </w:rPr>
        <w:t>这时寄件人、收件</w:t>
      </w:r>
      <w:r w:rsidR="00C43C78">
        <w:rPr>
          <w:rFonts w:hint="eastAsia"/>
        </w:rPr>
        <w:t>人和快递员都应有权限通过输入快递单号</w:t>
      </w:r>
      <w:r w:rsidR="00074ACE">
        <w:rPr>
          <w:rFonts w:hint="eastAsia"/>
        </w:rPr>
        <w:t>的方式来查看该货物的货运状态和历史轨迹。但是寄件人、收件人和快递员只有查看权限，不能增加、删除或修改货物的物流信息。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>
        <w:t>1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D3758" w:rsidRDefault="000D3758" w:rsidP="000D3758">
      <w:r>
        <w:rPr>
          <w:rFonts w:hint="eastAsia"/>
        </w:rPr>
        <w:t>刺激：</w:t>
      </w:r>
      <w:r w:rsidR="00C43C78">
        <w:t xml:space="preserve"> </w:t>
      </w:r>
      <w:r w:rsidR="00C43C78">
        <w:rPr>
          <w:rFonts w:hint="eastAsia"/>
        </w:rPr>
        <w:t>寄件人、收件人或快递员输入快递单号查询物流信息</w:t>
      </w:r>
    </w:p>
    <w:p w:rsidR="000D3758" w:rsidRDefault="000D3758" w:rsidP="000D3758">
      <w:r>
        <w:rPr>
          <w:rFonts w:hint="eastAsia"/>
        </w:rPr>
        <w:t>响应：系统显示</w:t>
      </w:r>
      <w:r w:rsidR="00C43C78">
        <w:rPr>
          <w:rFonts w:hint="eastAsia"/>
        </w:rPr>
        <w:t>快递单号对应货物的货运状态和历史轨迹</w:t>
      </w:r>
    </w:p>
    <w:p w:rsidR="00E65314" w:rsidRDefault="00E65314" w:rsidP="000D3758"/>
    <w:p w:rsidR="00657ED7" w:rsidRDefault="00657ED7" w:rsidP="000D3758">
      <w:r>
        <w:t>刺激</w:t>
      </w:r>
      <w:r>
        <w:rPr>
          <w:rFonts w:hint="eastAsia"/>
        </w:rPr>
        <w:t>：寄件人、收件人或快递员退出查看物流信息界面</w:t>
      </w:r>
    </w:p>
    <w:p w:rsidR="00657ED7" w:rsidRDefault="00657ED7" w:rsidP="000D3758">
      <w:r>
        <w:t>响应</w:t>
      </w:r>
      <w:r>
        <w:rPr>
          <w:rFonts w:hint="eastAsia"/>
        </w:rPr>
        <w:t>：</w:t>
      </w:r>
      <w:r w:rsidR="0048229F">
        <w:rPr>
          <w:rFonts w:hint="eastAsia"/>
        </w:rPr>
        <w:t>系统</w:t>
      </w:r>
      <w:r w:rsidR="002A64C7">
        <w:rPr>
          <w:rFonts w:hint="eastAsia"/>
        </w:rPr>
        <w:t>退回至上一层界面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 w:rsidR="006E5C12">
        <w:rPr>
          <w:rFonts w:hint="eastAsia"/>
        </w:rPr>
        <w:t>2.</w:t>
      </w:r>
      <w:r w:rsidR="006E5C12">
        <w:t>1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0D3758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631D6" w:rsidRPr="00706E38" w:rsidTr="00B3664C">
        <w:trPr>
          <w:trHeight w:val="390"/>
        </w:trPr>
        <w:tc>
          <w:tcPr>
            <w:tcW w:w="3402" w:type="dxa"/>
            <w:shd w:val="clear" w:color="auto" w:fill="auto"/>
          </w:tcPr>
          <w:p w:rsidR="00B3664C" w:rsidRDefault="007631D6" w:rsidP="00C41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oods.</w:t>
            </w:r>
            <w:r w:rsidR="00513124">
              <w:rPr>
                <w:b/>
                <w:bCs/>
              </w:rPr>
              <w:t>C</w:t>
            </w:r>
            <w:r>
              <w:rPr>
                <w:b/>
                <w:bCs/>
              </w:rPr>
              <w:t>heck</w:t>
            </w:r>
          </w:p>
          <w:p w:rsidR="00C16112" w:rsidRDefault="00C16112" w:rsidP="00C41462">
            <w:pPr>
              <w:jc w:val="center"/>
              <w:rPr>
                <w:b/>
                <w:bCs/>
              </w:rPr>
            </w:pPr>
          </w:p>
          <w:p w:rsidR="00B3664C" w:rsidRPr="00706E38" w:rsidRDefault="00B3664C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Goods.</w:t>
            </w:r>
            <w:r w:rsidR="00513124">
              <w:rPr>
                <w:b/>
                <w:bCs/>
              </w:rPr>
              <w:t>Check.I</w:t>
            </w:r>
            <w:r>
              <w:rPr>
                <w:b/>
                <w:bCs/>
              </w:rPr>
              <w:t>nformation</w:t>
            </w:r>
          </w:p>
        </w:tc>
        <w:tc>
          <w:tcPr>
            <w:tcW w:w="6178" w:type="dxa"/>
            <w:shd w:val="clear" w:color="auto" w:fill="auto"/>
          </w:tcPr>
          <w:p w:rsidR="007631D6" w:rsidRDefault="007631D6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系统允许</w:t>
            </w:r>
            <w:r w:rsidRPr="007631D6">
              <w:rPr>
                <w:rFonts w:hint="eastAsia"/>
                <w:b/>
                <w:bCs/>
              </w:rPr>
              <w:t>寄件人、收件人或快递员</w:t>
            </w:r>
            <w:r w:rsidR="00BA0851">
              <w:rPr>
                <w:rFonts w:hint="eastAsia"/>
                <w:b/>
                <w:bCs/>
              </w:rPr>
              <w:t>在查询物流信息中查询</w:t>
            </w:r>
            <w:r>
              <w:rPr>
                <w:rFonts w:hint="eastAsia"/>
                <w:b/>
                <w:bCs/>
              </w:rPr>
              <w:t>货物的</w:t>
            </w:r>
            <w:r>
              <w:rPr>
                <w:b/>
                <w:bCs/>
              </w:rPr>
              <w:t>货运状态和历史轨迹</w:t>
            </w:r>
          </w:p>
          <w:p w:rsidR="00B3664C" w:rsidRPr="00706E38" w:rsidRDefault="00C41462" w:rsidP="005131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寄件人、收件人或快递员输入快递单号时</w:t>
            </w:r>
            <w:r w:rsidR="00B3664C">
              <w:rPr>
                <w:b/>
                <w:bCs/>
              </w:rPr>
              <w:t>系统</w:t>
            </w:r>
            <w:r w:rsidR="00B3664C">
              <w:rPr>
                <w:rFonts w:hint="eastAsia"/>
                <w:b/>
                <w:bCs/>
              </w:rPr>
              <w:t>显示物流信息，详见</w:t>
            </w:r>
            <w:r w:rsidR="00B3664C">
              <w:rPr>
                <w:rFonts w:hint="eastAsia"/>
                <w:b/>
                <w:bCs/>
              </w:rPr>
              <w:t>Goods.</w:t>
            </w:r>
            <w:r w:rsidR="00513124">
              <w:rPr>
                <w:rFonts w:hint="eastAsia"/>
                <w:b/>
                <w:bCs/>
              </w:rPr>
              <w:t>I</w:t>
            </w:r>
            <w:r w:rsidR="00B3664C">
              <w:rPr>
                <w:rFonts w:hint="eastAsia"/>
                <w:b/>
                <w:bCs/>
              </w:rPr>
              <w:t>nformation</w:t>
            </w:r>
          </w:p>
        </w:tc>
      </w:tr>
      <w:tr w:rsidR="00B3664C" w:rsidRPr="00706E38" w:rsidTr="008E1B59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B3664C" w:rsidRDefault="00FA758C" w:rsidP="005131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oods.</w:t>
            </w:r>
            <w:r w:rsidR="00513124">
              <w:rPr>
                <w:b/>
                <w:bCs/>
              </w:rPr>
              <w:t>I</w:t>
            </w:r>
            <w:r>
              <w:rPr>
                <w:b/>
                <w:bCs/>
              </w:rPr>
              <w:t>nformation</w:t>
            </w:r>
          </w:p>
          <w:p w:rsidR="00EB1B7F" w:rsidRDefault="00EB1B7F" w:rsidP="00EB1B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Goods</w:t>
            </w:r>
            <w:r>
              <w:rPr>
                <w:rFonts w:hint="eastAsia"/>
                <w:b/>
                <w:bCs/>
              </w:rPr>
              <w:t>.</w:t>
            </w:r>
            <w:r w:rsidR="00513124">
              <w:rPr>
                <w:b/>
                <w:bCs/>
              </w:rPr>
              <w:t>I</w:t>
            </w:r>
            <w:r>
              <w:rPr>
                <w:b/>
                <w:bCs/>
              </w:rPr>
              <w:t>nformation.</w:t>
            </w:r>
            <w:r w:rsidR="00513124">
              <w:rPr>
                <w:b/>
                <w:bCs/>
              </w:rPr>
              <w:t>S</w:t>
            </w:r>
            <w:r>
              <w:rPr>
                <w:b/>
                <w:bCs/>
              </w:rPr>
              <w:t>how</w:t>
            </w:r>
          </w:p>
          <w:p w:rsidR="00566A44" w:rsidRDefault="00566A44" w:rsidP="00525B00">
            <w:pPr>
              <w:rPr>
                <w:rFonts w:hint="eastAsia"/>
                <w:b/>
                <w:bCs/>
              </w:rPr>
            </w:pPr>
            <w:bookmarkStart w:id="0" w:name="_GoBack"/>
            <w:bookmarkEnd w:id="0"/>
          </w:p>
          <w:p w:rsidR="00EB1B7F" w:rsidRDefault="00EB1B7F" w:rsidP="00EB1B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</w:t>
            </w:r>
            <w:r w:rsidR="00513124">
              <w:rPr>
                <w:rFonts w:hint="eastAsia"/>
                <w:b/>
                <w:bCs/>
              </w:rPr>
              <w:t>.Information.C</w:t>
            </w:r>
            <w:r>
              <w:rPr>
                <w:rFonts w:hint="eastAsia"/>
                <w:b/>
                <w:bCs/>
              </w:rPr>
              <w:t>olse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B3664C" w:rsidRDefault="00333D80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系统显示</w:t>
            </w:r>
            <w:r w:rsidR="00C41462">
              <w:rPr>
                <w:b/>
                <w:bCs/>
              </w:rPr>
              <w:t>物流信息</w:t>
            </w:r>
          </w:p>
          <w:p w:rsidR="00EB1B7F" w:rsidRDefault="00EB1B7F" w:rsidP="00EB1B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</w:t>
            </w:r>
            <w:r>
              <w:rPr>
                <w:rFonts w:hint="eastAsia"/>
                <w:b/>
                <w:bCs/>
              </w:rPr>
              <w:t>输入快递单号并确认时，系统显示快递单号对应货物的货运状态和历史轨迹</w:t>
            </w:r>
          </w:p>
          <w:p w:rsidR="00EB1B7F" w:rsidRDefault="00EB1B7F" w:rsidP="00EB1B7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</w:t>
            </w:r>
            <w:r>
              <w:rPr>
                <w:rFonts w:hint="eastAsia"/>
                <w:b/>
                <w:bCs/>
              </w:rPr>
              <w:t>确认查看完成时退出到上一层界面</w:t>
            </w:r>
          </w:p>
        </w:tc>
      </w:tr>
    </w:tbl>
    <w:p w:rsidR="00F15764" w:rsidRDefault="006F0A4F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A4F" w:rsidRDefault="006F0A4F" w:rsidP="000D3758">
      <w:r>
        <w:separator/>
      </w:r>
    </w:p>
  </w:endnote>
  <w:endnote w:type="continuationSeparator" w:id="0">
    <w:p w:rsidR="006F0A4F" w:rsidRDefault="006F0A4F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A4F" w:rsidRDefault="006F0A4F" w:rsidP="000D3758">
      <w:r>
        <w:separator/>
      </w:r>
    </w:p>
  </w:footnote>
  <w:footnote w:type="continuationSeparator" w:id="0">
    <w:p w:rsidR="006F0A4F" w:rsidRDefault="006F0A4F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4734E"/>
    <w:rsid w:val="00073DE2"/>
    <w:rsid w:val="00074ACE"/>
    <w:rsid w:val="0007501B"/>
    <w:rsid w:val="000D3758"/>
    <w:rsid w:val="000D4C95"/>
    <w:rsid w:val="000F14A8"/>
    <w:rsid w:val="0010170B"/>
    <w:rsid w:val="0010340A"/>
    <w:rsid w:val="00104691"/>
    <w:rsid w:val="001245EE"/>
    <w:rsid w:val="00163688"/>
    <w:rsid w:val="001D10DB"/>
    <w:rsid w:val="00297B17"/>
    <w:rsid w:val="002A64C7"/>
    <w:rsid w:val="002D05C2"/>
    <w:rsid w:val="002D3CCE"/>
    <w:rsid w:val="00333D80"/>
    <w:rsid w:val="003418B6"/>
    <w:rsid w:val="003B4941"/>
    <w:rsid w:val="00413874"/>
    <w:rsid w:val="004403FE"/>
    <w:rsid w:val="00447607"/>
    <w:rsid w:val="0048204F"/>
    <w:rsid w:val="0048229F"/>
    <w:rsid w:val="00495717"/>
    <w:rsid w:val="004C31A2"/>
    <w:rsid w:val="00500A7D"/>
    <w:rsid w:val="00513124"/>
    <w:rsid w:val="00525B00"/>
    <w:rsid w:val="00552E10"/>
    <w:rsid w:val="005623B8"/>
    <w:rsid w:val="00566A44"/>
    <w:rsid w:val="005D6166"/>
    <w:rsid w:val="005E45F9"/>
    <w:rsid w:val="005F55DA"/>
    <w:rsid w:val="00614384"/>
    <w:rsid w:val="00657ED7"/>
    <w:rsid w:val="006A4058"/>
    <w:rsid w:val="006B0589"/>
    <w:rsid w:val="006C3D53"/>
    <w:rsid w:val="006E2AA0"/>
    <w:rsid w:val="006E5C12"/>
    <w:rsid w:val="006F0A4F"/>
    <w:rsid w:val="007631D6"/>
    <w:rsid w:val="007710CC"/>
    <w:rsid w:val="00835E11"/>
    <w:rsid w:val="00844A41"/>
    <w:rsid w:val="008E6CEC"/>
    <w:rsid w:val="00980F8F"/>
    <w:rsid w:val="00A132BD"/>
    <w:rsid w:val="00A43CE4"/>
    <w:rsid w:val="00A450A1"/>
    <w:rsid w:val="00A81515"/>
    <w:rsid w:val="00AC732E"/>
    <w:rsid w:val="00B3664C"/>
    <w:rsid w:val="00B3797A"/>
    <w:rsid w:val="00B45005"/>
    <w:rsid w:val="00B5769B"/>
    <w:rsid w:val="00BA0851"/>
    <w:rsid w:val="00C16112"/>
    <w:rsid w:val="00C41462"/>
    <w:rsid w:val="00C43C78"/>
    <w:rsid w:val="00C7081E"/>
    <w:rsid w:val="00C84E86"/>
    <w:rsid w:val="00D61970"/>
    <w:rsid w:val="00D64FE6"/>
    <w:rsid w:val="00E138F8"/>
    <w:rsid w:val="00E65314"/>
    <w:rsid w:val="00E86459"/>
    <w:rsid w:val="00EB1B7F"/>
    <w:rsid w:val="00EB2790"/>
    <w:rsid w:val="00EB48FB"/>
    <w:rsid w:val="00F21979"/>
    <w:rsid w:val="00FA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31</cp:revision>
  <dcterms:created xsi:type="dcterms:W3CDTF">2015-10-05T15:06:00Z</dcterms:created>
  <dcterms:modified xsi:type="dcterms:W3CDTF">2015-10-11T04:41:00Z</dcterms:modified>
</cp:coreProperties>
</file>