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5D1E9">
      <w:bookmarkStart w:id="0" w:name="_GoBack"/>
      <w:bookmarkEnd w:id="0"/>
    </w:p>
    <w:p w14:paraId="73CBE17F"/>
    <w:p w14:paraId="78F4F2CA"/>
    <w:p w14:paraId="12B9A49E"/>
    <w:p w14:paraId="21F7DB99"/>
    <w:p w14:paraId="25F31F5E"/>
    <w:p w14:paraId="052803DB">
      <w:pPr>
        <w:jc w:val="center"/>
      </w:pPr>
      <w:r>
        <w:rPr>
          <w:rFonts w:ascii="微软雅黑" w:hAnsi="微软雅黑" w:eastAsia="微软雅黑"/>
          <w:color w:val="595959"/>
          <w:sz w:val="24"/>
        </w:rPr>
        <w:t>南京大学 · 新生「科学之光」青年学者系列课程</w:t>
      </w:r>
    </w:p>
    <w:p w14:paraId="04CD1752">
      <w:pPr>
        <w:spacing w:before="360"/>
        <w:jc w:val="center"/>
      </w:pPr>
      <w:r>
        <w:rPr>
          <w:rFonts w:ascii="微软雅黑" w:hAnsi="微软雅黑" w:eastAsia="微软雅黑"/>
          <w:b/>
          <w:color w:val="1B7A5C"/>
          <w:sz w:val="60"/>
        </w:rPr>
        <w:t>美丽中国：大气污染治理与生态文明</w:t>
      </w:r>
    </w:p>
    <w:p w14:paraId="56234D6B">
      <w:pPr>
        <w:spacing w:before="120"/>
        <w:jc w:val="center"/>
      </w:pPr>
      <w:r>
        <w:rPr>
          <w:rFonts w:ascii="微软雅黑" w:hAnsi="微软雅黑" w:eastAsia="微软雅黑"/>
          <w:color w:val="1F4E79"/>
          <w:sz w:val="30"/>
        </w:rPr>
        <w:t>—— 课程知识体系 · 复习精编 ——</w:t>
      </w:r>
    </w:p>
    <w:p w14:paraId="5B64DC7A">
      <w:pPr>
        <w:pBdr>
          <w:bottom w:val="single" w:color="1B7A5C" w:sz="18" w:space="1"/>
        </w:pBdr>
        <w:spacing w:before="320"/>
        <w:jc w:val="center"/>
      </w:pPr>
    </w:p>
    <w:p w14:paraId="3F55E6B8">
      <w:pPr>
        <w:spacing w:before="280"/>
        <w:jc w:val="center"/>
      </w:pPr>
      <w:r>
        <w:rPr>
          <w:rFonts w:ascii="微软雅黑" w:hAnsi="微软雅黑" w:eastAsia="微软雅黑"/>
          <w:b/>
          <w:color w:val="1B7A5C"/>
          <w:sz w:val="22"/>
        </w:rPr>
        <w:t>大气污染治理</w:t>
      </w:r>
      <w:r>
        <w:rPr>
          <w:rFonts w:ascii="微软雅黑" w:hAnsi="微软雅黑" w:eastAsia="微软雅黑"/>
          <w:b w:val="0"/>
          <w:color w:val="595959"/>
          <w:sz w:val="22"/>
        </w:rPr>
        <w:t xml:space="preserve">   ·   </w:t>
      </w:r>
      <w:r>
        <w:rPr>
          <w:rFonts w:ascii="微软雅黑" w:hAnsi="微软雅黑" w:eastAsia="微软雅黑"/>
          <w:b/>
          <w:color w:val="1F4E79"/>
          <w:sz w:val="22"/>
        </w:rPr>
        <w:t>碳循环与气候变化</w:t>
      </w:r>
      <w:r>
        <w:rPr>
          <w:rFonts w:ascii="微软雅黑" w:hAnsi="微软雅黑" w:eastAsia="微软雅黑"/>
          <w:b w:val="0"/>
          <w:color w:val="595959"/>
          <w:sz w:val="22"/>
        </w:rPr>
        <w:t xml:space="preserve">   ·   </w:t>
      </w:r>
      <w:r>
        <w:rPr>
          <w:rFonts w:ascii="微软雅黑" w:hAnsi="微软雅黑" w:eastAsia="微软雅黑"/>
          <w:b/>
          <w:color w:val="E36C0A"/>
          <w:sz w:val="22"/>
        </w:rPr>
        <w:t>气象能源与AI</w:t>
      </w:r>
    </w:p>
    <w:p w14:paraId="7524E213"/>
    <w:p w14:paraId="38FDE0B0"/>
    <w:p w14:paraId="151B0191"/>
    <w:p w14:paraId="31CFABCE"/>
    <w:p w14:paraId="678F0C1D"/>
    <w:p w14:paraId="3BA5EE94"/>
    <w:p w14:paraId="26759775">
      <w:pPr>
        <w:jc w:val="center"/>
      </w:pPr>
      <w:r>
        <w:rPr>
          <w:rFonts w:ascii="微软雅黑" w:hAnsi="微软雅黑" w:eastAsia="微软雅黑"/>
          <w:color w:val="595959"/>
          <w:sz w:val="19"/>
        </w:rPr>
        <w:t>要点 · 公式 · 方法 · 图表　|　整理于 2026 年</w:t>
      </w:r>
    </w:p>
    <w:p w14:paraId="31CEDD9B">
      <w:r>
        <w:br w:type="page"/>
      </w:r>
    </w:p>
    <w:p w14:paraId="13CB1F41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课程总览与学习导览</w:t>
      </w:r>
    </w:p>
    <w:p w14:paraId="5E1D7548">
      <w:pPr>
        <w:spacing w:after="160" w:line="312" w:lineRule="auto"/>
      </w:pPr>
      <w:r>
        <w:rPr>
          <w:rFonts w:ascii="微软雅黑" w:hAnsi="微软雅黑" w:eastAsia="微软雅黑"/>
          <w:b w:val="0"/>
        </w:rPr>
        <w:t>本课程属南京大学面向新生的「科学之光」青年学者系列，围绕</w:t>
      </w:r>
      <w:r>
        <w:rPr>
          <w:rFonts w:ascii="微软雅黑" w:hAnsi="微软雅黑" w:eastAsia="微软雅黑"/>
          <w:b/>
          <w:color w:val="1B7A5C"/>
        </w:rPr>
        <w:t>“美丽中国”</w:t>
      </w:r>
      <w:r>
        <w:rPr>
          <w:rFonts w:ascii="微软雅黑" w:hAnsi="微软雅黑" w:eastAsia="微软雅黑"/>
          <w:b w:val="0"/>
        </w:rPr>
        <w:t>主题，贯通</w:t>
      </w:r>
      <w:r>
        <w:rPr>
          <w:rFonts w:ascii="微软雅黑" w:hAnsi="微软雅黑" w:eastAsia="微软雅黑"/>
          <w:b/>
          <w:color w:val="1B7A5C"/>
        </w:rPr>
        <w:t>大气污染治理</w:t>
      </w:r>
      <w:r>
        <w:rPr>
          <w:rFonts w:ascii="微软雅黑" w:hAnsi="微软雅黑" w:eastAsia="微软雅黑"/>
          <w:b w:val="0"/>
        </w:rPr>
        <w:t>与</w:t>
      </w:r>
      <w:r>
        <w:rPr>
          <w:rFonts w:ascii="微软雅黑" w:hAnsi="微软雅黑" w:eastAsia="微软雅黑"/>
          <w:b/>
          <w:color w:val="1B7A5C"/>
        </w:rPr>
        <w:t>生态文明建设</w:t>
      </w:r>
      <w:r>
        <w:rPr>
          <w:rFonts w:ascii="微软雅黑" w:hAnsi="微软雅黑" w:eastAsia="微软雅黑"/>
          <w:b w:val="0"/>
        </w:rPr>
        <w:t>两条主线，并由青年学者及学生「前沿初探」延伸至能源气象、人工智能、化学与环境、龙卷风等交叉前沿领域。</w:t>
      </w:r>
    </w:p>
    <w:p w14:paraId="24A912B8">
      <w:pPr>
        <w:spacing w:after="80" w:line="312" w:lineRule="auto"/>
      </w:pPr>
      <w:r>
        <w:rPr>
          <w:rFonts w:ascii="微软雅黑" w:hAnsi="微软雅黑" w:eastAsia="微软雅黑"/>
          <w:b w:val="0"/>
        </w:rPr>
        <w:t>核心知识板块如下：</w:t>
      </w:r>
    </w:p>
    <w:p w14:paraId="5B7B3C0B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第1章　大气污染与雾霾治理</w:t>
      </w:r>
      <w:r>
        <w:rPr>
          <w:rFonts w:ascii="微软雅黑" w:hAnsi="微软雅黑" w:eastAsia="微软雅黑"/>
          <w:b w:val="0"/>
        </w:rPr>
        <w:t>——雾霾成因、污染物输送扩散机制、治理措施与成效</w:t>
      </w:r>
    </w:p>
    <w:p w14:paraId="2518BAB3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第2章　陆地生态系统碳循环与气候变化</w:t>
      </w:r>
      <w:r>
        <w:rPr>
          <w:rFonts w:ascii="微软雅黑" w:hAnsi="微软雅黑" w:eastAsia="微软雅黑"/>
          <w:b w:val="0"/>
        </w:rPr>
        <w:t>——碳库/碳汇、GPP·NPP·NEP 生产力体系、碳汇估算</w:t>
      </w:r>
    </w:p>
    <w:p w14:paraId="35892708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第3章　气象能源与新能源利用</w:t>
      </w:r>
      <w:r>
        <w:rPr>
          <w:rFonts w:ascii="微软雅黑" w:hAnsi="微软雅黑" w:eastAsia="微软雅黑"/>
          <w:b w:val="0"/>
        </w:rPr>
        <w:t>——太阳辐射物理、大气运动与风、风资源评估</w:t>
      </w:r>
    </w:p>
    <w:p w14:paraId="2A0D420B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第4章　人工智能在气象领域的应用</w:t>
      </w:r>
      <w:r>
        <w:rPr>
          <w:rFonts w:ascii="微软雅黑" w:hAnsi="微软雅黑" w:eastAsia="微软雅黑"/>
          <w:b w:val="0"/>
        </w:rPr>
        <w:t>——AI 气象发展史、盘古气象大模型</w:t>
      </w:r>
    </w:p>
    <w:p w14:paraId="7CABFF32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第5章　前沿初探专题</w:t>
      </w:r>
      <w:r>
        <w:rPr>
          <w:rFonts w:ascii="微软雅黑" w:hAnsi="微软雅黑" w:eastAsia="微软雅黑"/>
          <w:b w:val="0"/>
        </w:rPr>
        <w:t>——龙卷风、化学、荧光素、点击化学、计算化学、城市生态修复</w:t>
      </w:r>
    </w:p>
    <w:p w14:paraId="52A82845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第6章　科技论文写作方法</w:t>
      </w:r>
      <w:r>
        <w:rPr>
          <w:rFonts w:ascii="微软雅黑" w:hAnsi="微软雅黑" w:eastAsia="微软雅黑"/>
          <w:b w:val="0"/>
        </w:rPr>
        <w:t>——论文结构与投稿流程</w:t>
      </w:r>
    </w:p>
    <w:p w14:paraId="5E1DA706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附录　核心公式速查表</w:t>
      </w:r>
      <w:r>
        <w:rPr>
          <w:rFonts w:ascii="微软雅黑" w:hAnsi="微软雅黑" w:eastAsia="微软雅黑"/>
          <w:b w:val="0"/>
        </w:rPr>
        <w:t>——全课程关键方程与常数一览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2B55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3F8"/>
          </w:tcPr>
          <w:p w14:paraId="77192676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F4E79"/>
              </w:rPr>
              <w:t xml:space="preserve">【阅读提示】 </w:t>
            </w:r>
            <w:r>
              <w:rPr>
                <w:rFonts w:ascii="微软雅黑" w:hAnsi="微软雅黑" w:eastAsia="微软雅黑"/>
                <w:b w:val="0"/>
              </w:rPr>
              <w:t xml:space="preserve">正文中 </w:t>
            </w:r>
            <w:r>
              <w:rPr>
                <w:rFonts w:ascii="微软雅黑" w:hAnsi="微软雅黑" w:eastAsia="微软雅黑"/>
                <w:b/>
                <w:color w:val="1B7A5C"/>
              </w:rPr>
              <w:t>加粗绿色</w:t>
            </w:r>
            <w:r>
              <w:rPr>
                <w:rFonts w:ascii="微软雅黑" w:hAnsi="微软雅黑" w:eastAsia="微软雅黑"/>
                <w:b w:val="0"/>
              </w:rPr>
              <w:t xml:space="preserve"> 为</w:t>
            </w:r>
            <w:r>
              <w:rPr>
                <w:rFonts w:ascii="微软雅黑" w:hAnsi="微软雅黑" w:eastAsia="微软雅黑"/>
                <w:b/>
                <w:color w:val="1B7A5C"/>
              </w:rPr>
              <w:t>核心概念/术语</w:t>
            </w:r>
            <w:r>
              <w:rPr>
                <w:rFonts w:ascii="微软雅黑" w:hAnsi="微软雅黑" w:eastAsia="微软雅黑"/>
                <w:b w:val="0"/>
              </w:rPr>
              <w:t>，</w:t>
            </w:r>
            <w:r>
              <w:rPr>
                <w:rFonts w:ascii="微软雅黑" w:hAnsi="微软雅黑" w:eastAsia="微软雅黑"/>
                <w:b/>
                <w:color w:val="C00000"/>
              </w:rPr>
              <w:t>加粗红色</w:t>
            </w:r>
            <w:r>
              <w:rPr>
                <w:rFonts w:ascii="微软雅黑" w:hAnsi="微软雅黑" w:eastAsia="微软雅黑"/>
                <w:b w:val="0"/>
              </w:rPr>
              <w:t xml:space="preserve"> 为</w:t>
            </w:r>
            <w:r>
              <w:rPr>
                <w:rFonts w:ascii="微软雅黑" w:hAnsi="微软雅黑" w:eastAsia="微软雅黑"/>
                <w:b/>
                <w:color w:val="1B7A5C"/>
              </w:rPr>
              <w:t>重点与易错点</w:t>
            </w:r>
            <w:r>
              <w:rPr>
                <w:rFonts w:ascii="微软雅黑" w:hAnsi="微软雅黑" w:eastAsia="微软雅黑"/>
                <w:b w:val="0"/>
              </w:rPr>
              <w:t>；关键公式已用标准数学符号渲染；数据均摘自课件与权威资料，可放心复习。</w:t>
            </w:r>
          </w:p>
        </w:tc>
      </w:tr>
    </w:tbl>
    <w:p w14:paraId="78484847">
      <w:pPr>
        <w:spacing w:after="0"/>
      </w:pPr>
    </w:p>
    <w:p w14:paraId="6163937B">
      <w:r>
        <w:br w:type="page"/>
      </w:r>
    </w:p>
    <w:p w14:paraId="10631BCF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第一章　大气污染与雾霾治理</w:t>
      </w:r>
    </w:p>
    <w:p w14:paraId="0BF97ADB">
      <w:pPr>
        <w:pStyle w:val="4"/>
      </w:pPr>
      <w:r>
        <w:rPr>
          <w:rFonts w:ascii="微软雅黑" w:hAnsi="微软雅黑" w:eastAsia="微软雅黑"/>
          <w:color w:val="1F4E79"/>
        </w:rPr>
        <w:t>1.1 雾霾的定义与来源</w:t>
      </w:r>
    </w:p>
    <w:p w14:paraId="78A0E8DF">
      <w:pPr>
        <w:spacing w:after="120" w:line="312" w:lineRule="auto"/>
      </w:pPr>
      <w:r>
        <w:rPr>
          <w:rFonts w:ascii="微软雅黑" w:hAnsi="微软雅黑" w:eastAsia="微软雅黑"/>
          <w:b/>
          <w:color w:val="1B7A5C"/>
        </w:rPr>
        <w:t>雾霾</w:t>
      </w:r>
      <w:r>
        <w:rPr>
          <w:rFonts w:ascii="微软雅黑" w:hAnsi="微软雅黑" w:eastAsia="微软雅黑"/>
          <w:b w:val="0"/>
        </w:rPr>
        <w:t>是雾与霾的组合现象。</w:t>
      </w:r>
      <w:r>
        <w:rPr>
          <w:rFonts w:ascii="微软雅黑" w:hAnsi="微软雅黑" w:eastAsia="微软雅黑"/>
          <w:b/>
          <w:color w:val="1B7A5C"/>
        </w:rPr>
        <w:t>雾</w:t>
      </w:r>
      <w:r>
        <w:rPr>
          <w:rFonts w:ascii="微软雅黑" w:hAnsi="微软雅黑" w:eastAsia="微软雅黑"/>
          <w:b w:val="0"/>
        </w:rPr>
        <w:t>是近地面空气中水汽凝结形成的悬浮液滴；</w:t>
      </w:r>
      <w:r>
        <w:rPr>
          <w:rFonts w:ascii="微软雅黑" w:hAnsi="微软雅黑" w:eastAsia="微软雅黑"/>
          <w:b/>
          <w:color w:val="1B7A5C"/>
        </w:rPr>
        <w:t>霾</w:t>
      </w:r>
      <w:r>
        <w:rPr>
          <w:rFonts w:ascii="微软雅黑" w:hAnsi="微软雅黑" w:eastAsia="微软雅黑"/>
          <w:b w:val="0"/>
        </w:rPr>
        <w:t>则是大量细微的干尘粒、气溶胶等均匀浮游空中使能见度下降的现象。</w:t>
      </w:r>
    </w:p>
    <w:p w14:paraId="260FAEC8">
      <w:pPr>
        <w:spacing w:after="80" w:line="312" w:lineRule="auto"/>
      </w:pPr>
      <w:r>
        <w:rPr>
          <w:rFonts w:ascii="微软雅黑" w:hAnsi="微软雅黑" w:eastAsia="微软雅黑"/>
          <w:b w:val="0"/>
        </w:rPr>
        <w:t>雾霾来源分为两类：</w:t>
      </w:r>
    </w:p>
    <w:p w14:paraId="2F52331C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人为因素</w:t>
      </w:r>
      <w:r>
        <w:rPr>
          <w:rFonts w:ascii="微软雅黑" w:hAnsi="微软雅黑" w:eastAsia="微软雅黑"/>
          <w:b w:val="0"/>
        </w:rPr>
        <w:t>：工业生产、机动车尾气、冬季取暖烧煤等，导致大气中</w:t>
      </w:r>
      <w:r>
        <w:rPr>
          <w:rFonts w:ascii="微软雅黑" w:hAnsi="微软雅黑" w:eastAsia="微软雅黑"/>
          <w:b/>
          <w:color w:val="1B7A5C"/>
        </w:rPr>
        <w:t>颗粒物</w:t>
      </w:r>
      <w:r>
        <w:rPr>
          <w:rFonts w:ascii="微软雅黑" w:hAnsi="微软雅黑" w:eastAsia="微软雅黑"/>
          <w:b w:val="0"/>
        </w:rPr>
        <w:t>（粗颗粒物 PM10、细颗粒物 PM2.5）浓度升高，是雾霾产生的重要原因。</w:t>
      </w:r>
    </w:p>
    <w:p w14:paraId="2E3B4846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气候因素</w:t>
      </w:r>
      <w:r>
        <w:rPr>
          <w:rFonts w:ascii="微软雅黑" w:hAnsi="微软雅黑" w:eastAsia="微软雅黑"/>
          <w:b w:val="0"/>
        </w:rPr>
        <w:t>：静稳天气、逆温等不利于扩散的气象条件，使污染物积聚。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2B43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3E8C2624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 xml:space="preserve">【污染源分类】 </w:t>
            </w:r>
            <w:r>
              <w:rPr>
                <w:rFonts w:ascii="微软雅黑" w:hAnsi="微软雅黑" w:eastAsia="微软雅黑"/>
                <w:b w:val="0"/>
              </w:rPr>
              <w:t>按排放物种类分：</w:t>
            </w:r>
            <w:r>
              <w:rPr>
                <w:rFonts w:ascii="微软雅黑" w:hAnsi="微软雅黑" w:eastAsia="微软雅黑"/>
                <w:b/>
                <w:color w:val="1B7A5C"/>
              </w:rPr>
              <w:t>有机污染源、无机污染源、热污染源、噪声污染源、放射性污染源、病原体污染源与混合污染源</w:t>
            </w:r>
            <w:r>
              <w:rPr>
                <w:rFonts w:ascii="微软雅黑" w:hAnsi="微软雅黑" w:eastAsia="微软雅黑"/>
                <w:b w:val="0"/>
              </w:rPr>
              <w:t>。按来源分：</w:t>
            </w:r>
            <w:r>
              <w:rPr>
                <w:rFonts w:ascii="微软雅黑" w:hAnsi="微软雅黑" w:eastAsia="微软雅黑"/>
                <w:b/>
                <w:color w:val="1B7A5C"/>
              </w:rPr>
              <w:t>天然污染源</w:t>
            </w:r>
            <w:r>
              <w:rPr>
                <w:rFonts w:ascii="微软雅黑" w:hAnsi="微软雅黑" w:eastAsia="微软雅黑"/>
                <w:b w:val="0"/>
              </w:rPr>
              <w:t>（如沙尘暴、山火）与</w:t>
            </w:r>
            <w:r>
              <w:rPr>
                <w:rFonts w:ascii="微软雅黑" w:hAnsi="微软雅黑" w:eastAsia="微软雅黑"/>
                <w:b/>
                <w:color w:val="1B7A5C"/>
              </w:rPr>
              <w:t>人为污染源</w:t>
            </w:r>
            <w:r>
              <w:rPr>
                <w:rFonts w:ascii="微软雅黑" w:hAnsi="微软雅黑" w:eastAsia="微软雅黑"/>
                <w:b w:val="0"/>
              </w:rPr>
              <w:t>（工业、交通、农业、建筑等）。</w:t>
            </w:r>
          </w:p>
        </w:tc>
      </w:tr>
    </w:tbl>
    <w:p w14:paraId="59E6C08A">
      <w:pPr>
        <w:spacing w:after="0"/>
      </w:pPr>
    </w:p>
    <w:p w14:paraId="2D7722AA">
      <w:pPr>
        <w:spacing w:after="120" w:line="312" w:lineRule="auto"/>
      </w:pPr>
      <w:r>
        <w:rPr>
          <w:rFonts w:ascii="微软雅黑" w:hAnsi="微软雅黑" w:eastAsia="微软雅黑"/>
          <w:b/>
          <w:color w:val="1B7A5C"/>
        </w:rPr>
        <w:t>PM2.5</w:t>
      </w:r>
      <w:r>
        <w:rPr>
          <w:rFonts w:ascii="微软雅黑" w:hAnsi="微软雅黑" w:eastAsia="微软雅黑"/>
          <w:b w:val="0"/>
        </w:rPr>
        <w:t>（空气动力学当量直径 ≤ 2.5 μm）因粒径小、比表面积大、可深入肺泡甚至进入血液，是雾霾健康危害的核心；</w:t>
      </w:r>
      <w:r>
        <w:rPr>
          <w:rFonts w:ascii="微软雅黑" w:hAnsi="微软雅黑" w:eastAsia="微软雅黑"/>
          <w:b/>
          <w:color w:val="1B7A5C"/>
        </w:rPr>
        <w:t>PM10</w:t>
      </w:r>
      <w:r>
        <w:rPr>
          <w:rFonts w:ascii="微软雅黑" w:hAnsi="微软雅黑" w:eastAsia="微软雅黑"/>
          <w:b w:val="0"/>
        </w:rPr>
        <w:t xml:space="preserve"> 指直径 ≤ 10 μm 的可吸入颗粒物。</w:t>
      </w:r>
    </w:p>
    <w:p w14:paraId="5E31BA6D">
      <w:pPr>
        <w:pStyle w:val="4"/>
      </w:pPr>
      <w:r>
        <w:rPr>
          <w:rFonts w:ascii="微软雅黑" w:hAnsi="微软雅黑" w:eastAsia="微软雅黑"/>
          <w:color w:val="1F4E79"/>
        </w:rPr>
        <w:t>1.2 大气污染物的输送与扩散机制</w:t>
      </w:r>
    </w:p>
    <w:p w14:paraId="35D173F6">
      <w:pPr>
        <w:spacing w:after="120" w:line="312" w:lineRule="auto"/>
      </w:pPr>
      <w:r>
        <w:rPr>
          <w:rFonts w:ascii="微软雅黑" w:hAnsi="微软雅黑" w:eastAsia="微软雅黑"/>
          <w:b w:val="0"/>
        </w:rPr>
        <w:t>从雾霾</w:t>
      </w:r>
      <w:r>
        <w:rPr>
          <w:rFonts w:ascii="微软雅黑" w:hAnsi="微软雅黑" w:eastAsia="微软雅黑"/>
          <w:b/>
          <w:color w:val="1B7A5C"/>
        </w:rPr>
        <w:t>生命周期</w:t>
      </w:r>
      <w:r>
        <w:rPr>
          <w:rFonts w:ascii="微软雅黑" w:hAnsi="微软雅黑" w:eastAsia="微软雅黑"/>
          <w:b w:val="0"/>
        </w:rPr>
        <w:t>看，污染物由</w:t>
      </w:r>
      <w:r>
        <w:rPr>
          <w:rFonts w:ascii="微软雅黑" w:hAnsi="微软雅黑" w:eastAsia="微软雅黑"/>
          <w:b/>
          <w:color w:val="1B7A5C"/>
        </w:rPr>
        <w:t>来源 → 输送 → 清除</w:t>
      </w:r>
      <w:r>
        <w:rPr>
          <w:rFonts w:ascii="微软雅黑" w:hAnsi="微软雅黑" w:eastAsia="微软雅黑"/>
          <w:b w:val="0"/>
        </w:rPr>
        <w:t>三环节构成。外来污染源（外地污染源）通过</w:t>
      </w:r>
      <w:r>
        <w:rPr>
          <w:rFonts w:ascii="微软雅黑" w:hAnsi="微软雅黑" w:eastAsia="微软雅黑"/>
          <w:b/>
          <w:color w:val="1B7A5C"/>
        </w:rPr>
        <w:t>平流输送</w:t>
      </w:r>
      <w:r>
        <w:rPr>
          <w:rFonts w:ascii="微软雅黑" w:hAnsi="微软雅黑" w:eastAsia="微软雅黑"/>
          <w:b w:val="0"/>
        </w:rPr>
        <w:t>进入本地，与本地污染源混合形成</w:t>
      </w:r>
      <w:r>
        <w:rPr>
          <w:rFonts w:ascii="微软雅黑" w:hAnsi="微软雅黑" w:eastAsia="微软雅黑"/>
          <w:b/>
          <w:color w:val="1B7A5C"/>
        </w:rPr>
        <w:t>复合污染</w:t>
      </w:r>
      <w:r>
        <w:rPr>
          <w:rFonts w:ascii="微软雅黑" w:hAnsi="微软雅黑" w:eastAsia="微软雅黑"/>
          <w:b w:val="0"/>
        </w:rPr>
        <w:t>，是雾霾形成的重要因素。</w:t>
      </w:r>
    </w:p>
    <w:p w14:paraId="077EC1C3">
      <w:pPr>
        <w:pStyle w:val="5"/>
      </w:pPr>
      <w:r>
        <w:rPr>
          <w:rFonts w:ascii="微软雅黑" w:hAnsi="微软雅黑" w:eastAsia="微软雅黑"/>
          <w:color w:val="1B7A5C"/>
        </w:rPr>
        <w:t>（1）动力因子：平流输送与湍流扩散</w:t>
      </w:r>
    </w:p>
    <w:p w14:paraId="10991512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平流输送</w:t>
      </w:r>
      <w:r>
        <w:rPr>
          <w:rFonts w:ascii="微软雅黑" w:hAnsi="微软雅黑" w:eastAsia="微软雅黑"/>
          <w:b w:val="0"/>
        </w:rPr>
        <w:t>：风对污染物起整体输运作用，同时有</w:t>
      </w:r>
      <w:r>
        <w:rPr>
          <w:rFonts w:ascii="微软雅黑" w:hAnsi="微软雅黑" w:eastAsia="微软雅黑"/>
          <w:b/>
          <w:color w:val="1B7A5C"/>
        </w:rPr>
        <w:t>冲淡稀释</w:t>
      </w:r>
      <w:r>
        <w:rPr>
          <w:rFonts w:ascii="微软雅黑" w:hAnsi="微软雅黑" w:eastAsia="微软雅黑"/>
          <w:b w:val="0"/>
        </w:rPr>
        <w:t>作用；在大气边界层内风切变还通过影响湍流强度间接影响扩散。</w:t>
      </w:r>
    </w:p>
    <w:p w14:paraId="69865EE1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湍流扩散</w:t>
      </w:r>
      <w:r>
        <w:rPr>
          <w:rFonts w:ascii="微软雅黑" w:hAnsi="微软雅黑" w:eastAsia="微软雅黑"/>
          <w:b w:val="0"/>
        </w:rPr>
        <w:t>：大气湍流（空气的无规则随机运动）是污染</w:t>
      </w:r>
      <w:r>
        <w:rPr>
          <w:rFonts w:ascii="微软雅黑" w:hAnsi="微软雅黑" w:eastAsia="微软雅黑"/>
          <w:b/>
          <w:color w:val="1B7A5C"/>
        </w:rPr>
        <w:t>局地扩散</w:t>
      </w:r>
      <w:r>
        <w:rPr>
          <w:rFonts w:ascii="微软雅黑" w:hAnsi="微软雅黑" w:eastAsia="微软雅黑"/>
          <w:b w:val="0"/>
        </w:rPr>
        <w:t>的主要过程，也是污染源地污染物浓度降低的主要原因；其效果是</w:t>
      </w:r>
      <w:r>
        <w:rPr>
          <w:rFonts w:ascii="微软雅黑" w:hAnsi="微软雅黑" w:eastAsia="微软雅黑"/>
          <w:b/>
          <w:color w:val="1B7A5C"/>
        </w:rPr>
        <w:t>混合</w:t>
      </w:r>
      <w:r>
        <w:rPr>
          <w:rFonts w:ascii="微软雅黑" w:hAnsi="微软雅黑" w:eastAsia="微软雅黑"/>
          <w:b w:val="0"/>
        </w:rPr>
        <w:t>——将清洁空气卷入烟气、将烟气带向周围空气，使浓度不断降低。</w:t>
      </w:r>
    </w:p>
    <w:p w14:paraId="7825318F">
      <w:pPr>
        <w:pStyle w:val="5"/>
      </w:pPr>
      <w:r>
        <w:rPr>
          <w:rFonts w:ascii="微软雅黑" w:hAnsi="微软雅黑" w:eastAsia="微软雅黑"/>
          <w:color w:val="1B7A5C"/>
        </w:rPr>
        <w:t>（2）热力因子：逆温层结</w:t>
      </w:r>
    </w:p>
    <w:p w14:paraId="2C278E5B">
      <w:pPr>
        <w:spacing w:after="100" w:line="312" w:lineRule="auto"/>
      </w:pPr>
      <w:r>
        <w:rPr>
          <w:rFonts w:ascii="微软雅黑" w:hAnsi="微软雅黑" w:eastAsia="微软雅黑"/>
          <w:b/>
          <w:color w:val="1B7A5C"/>
        </w:rPr>
        <w:t>逆温</w:t>
      </w:r>
      <w:r>
        <w:rPr>
          <w:rFonts w:ascii="微软雅黑" w:hAnsi="微软雅黑" w:eastAsia="微软雅黑"/>
          <w:b w:val="0"/>
        </w:rPr>
        <w:t>指气温随高度升高而</w:t>
      </w:r>
      <w:r>
        <w:rPr>
          <w:rFonts w:ascii="微软雅黑" w:hAnsi="微软雅黑" w:eastAsia="微软雅黑"/>
          <w:b/>
          <w:color w:val="1B7A5C"/>
        </w:rPr>
        <w:t>升高</w:t>
      </w:r>
      <w:r>
        <w:rPr>
          <w:rFonts w:ascii="微软雅黑" w:hAnsi="微软雅黑" w:eastAsia="微软雅黑"/>
          <w:b w:val="0"/>
        </w:rPr>
        <w:t>（正常为降低）的层结。雾霾颗粒物吸收/散射太阳辐射、影响云量与垂直分布，使光学厚度增大、到达地面太阳通量下降，地面降温而高空增温，从而在少云无风的夜间形成逆温。</w:t>
      </w:r>
    </w:p>
    <w:p w14:paraId="5E49831C">
      <w:pPr>
        <w:spacing w:after="120" w:line="312" w:lineRule="auto"/>
      </w:pPr>
      <w:r>
        <w:rPr>
          <w:rFonts w:ascii="微软雅黑" w:hAnsi="微软雅黑" w:eastAsia="微软雅黑"/>
          <w:b/>
          <w:color w:val="C00000"/>
        </w:rPr>
        <w:t>逆温的危害</w:t>
      </w:r>
      <w:r>
        <w:rPr>
          <w:rFonts w:ascii="微软雅黑" w:hAnsi="微软雅黑" w:eastAsia="微软雅黑"/>
          <w:b w:val="0"/>
        </w:rPr>
        <w:t>：烟流难以向上、向下扩散，只能水平扩展，气态污染物与气溶胶（烟、尘、雾）积聚在逆温层之下形成</w:t>
      </w:r>
      <w:r>
        <w:rPr>
          <w:rFonts w:ascii="微软雅黑" w:hAnsi="微软雅黑" w:eastAsia="微软雅黑"/>
          <w:b/>
          <w:color w:val="1B7A5C"/>
        </w:rPr>
        <w:t>扇形污染带</w:t>
      </w:r>
      <w:r>
        <w:rPr>
          <w:rFonts w:ascii="微软雅黑" w:hAnsi="微软雅黑" w:eastAsia="微软雅黑"/>
          <w:b w:val="0"/>
        </w:rPr>
        <w:t>；逆温消退时还会产生短时的</w:t>
      </w:r>
      <w:r>
        <w:rPr>
          <w:rFonts w:ascii="微软雅黑" w:hAnsi="微软雅黑" w:eastAsia="微软雅黑"/>
          <w:b/>
          <w:color w:val="1B7A5C"/>
        </w:rPr>
        <w:t>熏烟污染</w:t>
      </w:r>
      <w:r>
        <w:rPr>
          <w:rFonts w:ascii="微软雅黑" w:hAnsi="微软雅黑" w:eastAsia="微软雅黑"/>
          <w:b w:val="0"/>
        </w:rPr>
        <w:t>。</w:t>
      </w:r>
    </w:p>
    <w:p w14:paraId="3FCAF899">
      <w:pPr>
        <w:pStyle w:val="5"/>
      </w:pPr>
      <w:r>
        <w:rPr>
          <w:rFonts w:ascii="微软雅黑" w:hAnsi="微软雅黑" w:eastAsia="微软雅黑"/>
          <w:color w:val="1B7A5C"/>
        </w:rPr>
        <w:t>（3）大气稳定度与混合层高度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0986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3F8"/>
          </w:tcPr>
          <w:p w14:paraId="5BA12640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F4E79"/>
              </w:rPr>
              <w:t xml:space="preserve">【大气稳定度】 </w:t>
            </w:r>
            <w:r>
              <w:rPr>
                <w:rFonts w:ascii="微软雅黑" w:hAnsi="微软雅黑" w:eastAsia="微软雅黑"/>
                <w:b w:val="0"/>
              </w:rPr>
              <w:t>指整层空气对其中作垂直运动气团的加速、遏制或无关影响的热力学性质。</w:t>
            </w:r>
            <w:r>
              <w:rPr>
                <w:rFonts w:ascii="微软雅黑" w:hAnsi="微软雅黑" w:eastAsia="微软雅黑"/>
                <w:b/>
                <w:color w:val="1B7A5C"/>
              </w:rPr>
              <w:t>不稳定→扰动/对流/湍流易发展→扩散稀释能力强</w:t>
            </w:r>
            <w:r>
              <w:rPr>
                <w:rFonts w:ascii="微软雅黑" w:hAnsi="微软雅黑" w:eastAsia="微软雅黑"/>
                <w:b w:val="0"/>
              </w:rPr>
              <w:t>；稳定→对流受限→不利于扩散；中性→既不抑制也不发展。</w:t>
            </w:r>
          </w:p>
        </w:tc>
      </w:tr>
    </w:tbl>
    <w:p w14:paraId="1EA86C0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5BA1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7FC99382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 xml:space="preserve">【混合层高度】 </w:t>
            </w:r>
            <w:r>
              <w:rPr>
                <w:rFonts w:ascii="微软雅黑" w:hAnsi="微软雅黑" w:eastAsia="微软雅黑"/>
                <w:b w:val="0"/>
              </w:rPr>
              <w:t>混合层是边界层内湍流特征不连续界面以下的大气层，一般层结不稳定、铅直稀释能力强。混合层高度＝从地面到第一层稳定层底的高度，表征污染物在</w:t>
            </w:r>
            <w:r>
              <w:rPr>
                <w:rFonts w:ascii="微软雅黑" w:hAnsi="微软雅黑" w:eastAsia="微软雅黑"/>
                <w:b/>
                <w:color w:val="1B7A5C"/>
              </w:rPr>
              <w:t>垂直方向</w:t>
            </w:r>
            <w:r>
              <w:rPr>
                <w:rFonts w:ascii="微软雅黑" w:hAnsi="微软雅黑" w:eastAsia="微软雅黑"/>
                <w:b w:val="0"/>
              </w:rPr>
              <w:t>被热力湍流稀释的范围。</w:t>
            </w:r>
            <w:r>
              <w:rPr>
                <w:rFonts w:ascii="微软雅黑" w:hAnsi="微软雅黑" w:eastAsia="微软雅黑"/>
                <w:b/>
                <w:color w:val="1B7A5C"/>
              </w:rPr>
              <w:t>混合层越高→铅直稀释范围越大→越利于扩散</w:t>
            </w:r>
            <w:r>
              <w:rPr>
                <w:rFonts w:ascii="微软雅黑" w:hAnsi="微软雅黑" w:eastAsia="微软雅黑"/>
                <w:b w:val="0"/>
              </w:rPr>
              <w:t>。一天中早晨较低、午后最高。</w:t>
            </w:r>
          </w:p>
        </w:tc>
      </w:tr>
    </w:tbl>
    <w:p w14:paraId="310A5F1A">
      <w:pPr>
        <w:spacing w:after="0"/>
      </w:pPr>
    </w:p>
    <w:p w14:paraId="442EDC46">
      <w:pPr>
        <w:pStyle w:val="4"/>
      </w:pPr>
      <w:r>
        <w:rPr>
          <w:rFonts w:ascii="微软雅黑" w:hAnsi="微软雅黑" w:eastAsia="微软雅黑"/>
          <w:color w:val="1F4E79"/>
        </w:rPr>
        <w:t>1.3 典型案例：外地污染源与本地雾霾</w:t>
      </w:r>
    </w:p>
    <w:p w14:paraId="0A45C09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2013 年 1 月 14 日北京严重雾霾</w:t>
      </w:r>
      <w:r>
        <w:rPr>
          <w:rFonts w:ascii="微软雅黑" w:hAnsi="微软雅黑" w:eastAsia="微软雅黑"/>
          <w:b w:val="0"/>
        </w:rPr>
        <w:t>：专家指出污染源除北京外，主要为河北、天津等周边城市排放得不到扩散，属“还历史债”——重污染企业外迁后，污染物仍可经大气输送“回流”北京，说明环境问题无地域边界。</w:t>
      </w:r>
    </w:p>
    <w:p w14:paraId="29D6C316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南昌雾霾</w:t>
      </w:r>
      <w:r>
        <w:rPr>
          <w:rFonts w:ascii="微软雅黑" w:hAnsi="微软雅黑" w:eastAsia="微软雅黑"/>
          <w:b w:val="0"/>
        </w:rPr>
        <w:t>：印证区域性输送对本地空气质量的影响。</w:t>
      </w:r>
    </w:p>
    <w:p w14:paraId="3C3239B5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外地天然污染源</w:t>
      </w:r>
      <w:r>
        <w:rPr>
          <w:rFonts w:ascii="微软雅黑" w:hAnsi="微软雅黑" w:eastAsia="微软雅黑"/>
          <w:b w:val="0"/>
        </w:rPr>
        <w:t xml:space="preserve">：2019 年底澳大利亚新南威尔士州持续性山火 — 首都堪培拉空气质量指数（AQI）2019 年 12 月多次超 1000；2020 年 1 月 1 日 PM2.5 达 </w:t>
      </w:r>
      <w:r>
        <w:rPr>
          <w:rFonts w:ascii="微软雅黑" w:hAnsi="微软雅黑" w:eastAsia="微软雅黑"/>
          <w:b/>
          <w:color w:val="1B7A5C"/>
        </w:rPr>
        <w:t>855.6 μg/m³</w:t>
      </w:r>
      <w:r>
        <w:rPr>
          <w:rFonts w:ascii="微软雅黑" w:hAnsi="微软雅黑" w:eastAsia="微软雅黑"/>
          <w:b w:val="0"/>
        </w:rPr>
        <w:t>，超过北京历史最高纪录。</w:t>
      </w:r>
    </w:p>
    <w:p w14:paraId="67771CD6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外地人为污染源</w:t>
      </w:r>
      <w:r>
        <w:rPr>
          <w:rFonts w:ascii="微软雅黑" w:hAnsi="微软雅黑" w:eastAsia="微软雅黑"/>
          <w:b w:val="0"/>
        </w:rPr>
        <w:t>：工厂废气随风向/风速输运至城区；种植业农药挥发微粒、畜牧业甲烷等随大气运动迁移。</w:t>
      </w:r>
    </w:p>
    <w:p w14:paraId="0D188597">
      <w:pPr>
        <w:pStyle w:val="4"/>
      </w:pPr>
      <w:r>
        <w:rPr>
          <w:rFonts w:ascii="微软雅黑" w:hAnsi="微软雅黑" w:eastAsia="微软雅黑"/>
          <w:color w:val="1F4E79"/>
        </w:rPr>
        <w:t>1.4 大气污染防治</w:t>
      </w:r>
    </w:p>
    <w:p w14:paraId="335A29EC">
      <w:pPr>
        <w:pStyle w:val="5"/>
      </w:pPr>
      <w:r>
        <w:rPr>
          <w:rFonts w:ascii="微软雅黑" w:hAnsi="微软雅黑" w:eastAsia="微软雅黑"/>
          <w:color w:val="1B7A5C"/>
        </w:rPr>
        <w:t>（1）主要治理措施</w:t>
      </w:r>
    </w:p>
    <w:p w14:paraId="70D8977D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控制燃煤污染</w:t>
      </w:r>
      <w:r>
        <w:rPr>
          <w:rFonts w:ascii="微软雅黑" w:hAnsi="微软雅黑" w:eastAsia="微软雅黑"/>
          <w:b w:val="0"/>
        </w:rPr>
        <w:t>：原煤脱硫（可去除约 40%~60% 无机硫）；优先使用低硫煤与天然气；改进燃煤技术、发展流化床燃烧（加石灰石/白云石与 SO₂ 反应生成硫酸钙随灰渣排出）；燃烧后</w:t>
      </w:r>
      <w:r>
        <w:rPr>
          <w:rFonts w:ascii="微软雅黑" w:hAnsi="微软雅黑" w:eastAsia="微软雅黑"/>
          <w:b/>
          <w:color w:val="1B7A5C"/>
        </w:rPr>
        <w:t>烟气脱硫</w:t>
      </w:r>
      <w:r>
        <w:rPr>
          <w:rFonts w:ascii="微软雅黑" w:hAnsi="微软雅黑" w:eastAsia="微软雅黑"/>
          <w:b w:val="0"/>
        </w:rPr>
        <w:t>。</w:t>
      </w:r>
    </w:p>
    <w:p w14:paraId="0451D05A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发展清洁能源</w:t>
      </w:r>
      <w:r>
        <w:rPr>
          <w:rFonts w:ascii="微软雅黑" w:hAnsi="微软雅黑" w:eastAsia="微软雅黑"/>
          <w:b w:val="0"/>
        </w:rPr>
        <w:t>：太阳能、风能、核能、可燃冰等，但部分技术不成熟、成本高、可能产生新污染。</w:t>
      </w:r>
    </w:p>
    <w:p w14:paraId="7B45FE7B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区域集中供暖供热</w:t>
      </w:r>
      <w:r>
        <w:rPr>
          <w:rFonts w:ascii="微软雅黑" w:hAnsi="微软雅黑" w:eastAsia="微软雅黑"/>
          <w:b w:val="0"/>
        </w:rPr>
        <w:t>：在郊外设大型热电厂/供热站，消除北方矮烟囱密集的烟尘。</w:t>
      </w:r>
    </w:p>
    <w:p w14:paraId="15EC81E4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治理交通尾气</w:t>
      </w:r>
      <w:r>
        <w:rPr>
          <w:rFonts w:ascii="微软雅黑" w:hAnsi="微软雅黑" w:eastAsia="微软雅黑"/>
          <w:b w:val="0"/>
        </w:rPr>
        <w:t>：改善发动机燃烧设计、提高油品质量、加装</w:t>
      </w:r>
      <w:r>
        <w:rPr>
          <w:rFonts w:ascii="微软雅黑" w:hAnsi="微软雅黑" w:eastAsia="微软雅黑"/>
          <w:b/>
          <w:color w:val="1B7A5C"/>
        </w:rPr>
        <w:t>催化转化器</w:t>
      </w:r>
      <w:r>
        <w:rPr>
          <w:rFonts w:ascii="微软雅黑" w:hAnsi="微软雅黑" w:eastAsia="微软雅黑"/>
          <w:b w:val="0"/>
        </w:rPr>
        <w:t>、开发甲醇/乙醇等清洁燃料、发展地铁与绿色公交。</w:t>
      </w:r>
    </w:p>
    <w:p w14:paraId="315CBB7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科创环保与局部污染源管理</w:t>
      </w:r>
      <w:r>
        <w:rPr>
          <w:rFonts w:ascii="微软雅黑" w:hAnsi="微软雅黑" w:eastAsia="微软雅黑"/>
          <w:b w:val="0"/>
        </w:rPr>
        <w:t>：低温等离子体+UV 光解等技术组合，以及居住区烟囱、垃圾焚烧等污染源管控。</w:t>
      </w:r>
    </w:p>
    <w:p w14:paraId="0C7C41E5">
      <w:pPr>
        <w:pStyle w:val="5"/>
      </w:pPr>
      <w:r>
        <w:rPr>
          <w:rFonts w:ascii="微软雅黑" w:hAnsi="微软雅黑" w:eastAsia="微软雅黑"/>
          <w:color w:val="1B7A5C"/>
        </w:rPr>
        <w:t>（2）制度与成效</w:t>
      </w:r>
    </w:p>
    <w:p w14:paraId="0B44324B">
      <w:pPr>
        <w:spacing w:after="100" w:line="312" w:lineRule="auto"/>
      </w:pPr>
      <w:r>
        <w:rPr>
          <w:rFonts w:ascii="微软雅黑" w:hAnsi="微软雅黑" w:eastAsia="微软雅黑"/>
          <w:b/>
          <w:color w:val="1B7A5C"/>
        </w:rPr>
        <w:t>《中华人民共和国大气污染防治法》</w:t>
      </w:r>
      <w:r>
        <w:rPr>
          <w:rFonts w:ascii="微软雅黑" w:hAnsi="微软雅黑" w:eastAsia="微软雅黑"/>
          <w:b w:val="0"/>
        </w:rPr>
        <w:t>：1987 年 9 月 5 日通过，1988 年 6 月 1 日起施行；历经 1995、2018 年两次修正与 2000、2015 年两次修订，共</w:t>
      </w:r>
      <w:r>
        <w:rPr>
          <w:rFonts w:ascii="微软雅黑" w:hAnsi="微软雅黑" w:eastAsia="微软雅黑"/>
          <w:b/>
          <w:color w:val="1B7A5C"/>
        </w:rPr>
        <w:t>八章 129 条</w:t>
      </w:r>
      <w:r>
        <w:rPr>
          <w:rFonts w:ascii="微软雅黑" w:hAnsi="微软雅黑" w:eastAsia="微软雅黑"/>
          <w:b w:val="0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1E40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3F8"/>
          </w:tcPr>
          <w:p w14:paraId="1CF3D4A1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F4E79"/>
              </w:rPr>
              <w:t xml:space="preserve">【2021 年全国空气质量】 </w:t>
            </w:r>
            <w:r>
              <w:rPr>
                <w:rFonts w:ascii="微软雅黑" w:hAnsi="微软雅黑" w:eastAsia="微软雅黑"/>
                <w:b w:val="0"/>
              </w:rPr>
              <w:t xml:space="preserve">全国 </w:t>
            </w:r>
            <w:r>
              <w:rPr>
                <w:rFonts w:ascii="微软雅黑" w:hAnsi="微软雅黑" w:eastAsia="微软雅黑"/>
                <w:b/>
                <w:color w:val="1B7A5C"/>
              </w:rPr>
              <w:t>339 个地级以上城市</w:t>
            </w:r>
            <w:r>
              <w:rPr>
                <w:rFonts w:ascii="微软雅黑" w:hAnsi="微软雅黑" w:eastAsia="微软雅黑"/>
                <w:b w:val="0"/>
              </w:rPr>
              <w:t xml:space="preserve">中 218 个环境空气质量达标（占 64.3%）；平均优良天数比例 </w:t>
            </w:r>
            <w:r>
              <w:rPr>
                <w:rFonts w:ascii="微软雅黑" w:hAnsi="微软雅黑" w:eastAsia="微软雅黑"/>
                <w:b/>
                <w:color w:val="1B7A5C"/>
              </w:rPr>
              <w:t>87.5%</w:t>
            </w:r>
            <w:r>
              <w:rPr>
                <w:rFonts w:ascii="微软雅黑" w:hAnsi="微软雅黑" w:eastAsia="微软雅黑"/>
                <w:b w:val="0"/>
              </w:rPr>
              <w:t>（较 2020 年升 0.5 个百分点）。PM2.5、PM10、O₃、SO₂、NO₂ 年均浓度分别为 30、54、137、9、23 μg/m³，CO 为 1.1 mg/m³，</w:t>
            </w:r>
            <w:r>
              <w:rPr>
                <w:rFonts w:ascii="微软雅黑" w:hAnsi="微软雅黑" w:eastAsia="微软雅黑"/>
                <w:b/>
                <w:color w:val="1B7A5C"/>
              </w:rPr>
              <w:t>六项污染物浓度均下降</w:t>
            </w:r>
            <w:r>
              <w:rPr>
                <w:rFonts w:ascii="微软雅黑" w:hAnsi="微软雅黑" w:eastAsia="微软雅黑"/>
                <w:b w:val="0"/>
              </w:rPr>
              <w:t>。</w:t>
            </w:r>
          </w:p>
        </w:tc>
      </w:tr>
    </w:tbl>
    <w:p w14:paraId="4A07F312">
      <w:pPr>
        <w:spacing w:after="0"/>
      </w:pPr>
    </w:p>
    <w:p w14:paraId="48EE4C96">
      <w:pPr>
        <w:spacing w:before="80"/>
        <w:jc w:val="center"/>
      </w:pPr>
      <w:r>
        <w:drawing>
          <wp:inline distT="0" distB="0" distL="114300" distR="114300">
            <wp:extent cx="5120640" cy="2517775"/>
            <wp:effectExtent l="0" t="0" r="3810" b="158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FEBD">
      <w:pPr>
        <w:spacing w:after="160"/>
        <w:jc w:val="center"/>
      </w:pPr>
      <w:r>
        <w:rPr>
          <w:rFonts w:ascii="微软雅黑" w:hAnsi="微软雅黑" w:eastAsia="微软雅黑"/>
          <w:color w:val="595959"/>
          <w:sz w:val="17"/>
        </w:rPr>
        <w:t>图 1-1　2021 年全国 339 个城市六项污染物年均浓度</w:t>
      </w:r>
    </w:p>
    <w:p w14:paraId="62D8B0B3">
      <w:pPr>
        <w:pStyle w:val="5"/>
      </w:pPr>
      <w:r>
        <w:rPr>
          <w:rFonts w:ascii="微软雅黑" w:hAnsi="微软雅黑" w:eastAsia="微软雅黑"/>
          <w:color w:val="1B7A5C"/>
        </w:rPr>
        <w:t>（3）国际经验与未来方向</w:t>
      </w:r>
    </w:p>
    <w:p w14:paraId="77A36BBB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美国《区域灰霾法案》（1999）</w:t>
      </w:r>
      <w:r>
        <w:rPr>
          <w:rFonts w:ascii="微软雅黑" w:hAnsi="微软雅黑" w:eastAsia="微软雅黑"/>
          <w:b w:val="0"/>
        </w:rPr>
        <w:t>：针对细颗粒物 PM2.5 跨州传输导致的能见度问题，要求各州建立</w:t>
      </w:r>
      <w:r>
        <w:rPr>
          <w:rFonts w:ascii="微软雅黑" w:hAnsi="微软雅黑" w:eastAsia="微软雅黑"/>
          <w:b/>
          <w:color w:val="1B7A5C"/>
        </w:rPr>
        <w:t>区域协调机制</w:t>
      </w:r>
      <w:r>
        <w:rPr>
          <w:rFonts w:ascii="微软雅黑" w:hAnsi="微软雅黑" w:eastAsia="微软雅黑"/>
          <w:b w:val="0"/>
        </w:rPr>
        <w:t>、加强州际合作减排。</w:t>
      </w:r>
    </w:p>
    <w:p w14:paraId="13FFC442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未来改进</w:t>
      </w:r>
      <w:r>
        <w:rPr>
          <w:rFonts w:ascii="微软雅黑" w:hAnsi="微软雅黑" w:eastAsia="微软雅黑"/>
          <w:b w:val="0"/>
        </w:rPr>
        <w:t>：①完善区域政府治理法制；②设立“跨区域、针对性、技术服务性”环境治理机构（区域联防联控）；③加强公众参与。</w:t>
      </w:r>
    </w:p>
    <w:p w14:paraId="755DBE15">
      <w:r>
        <w:br w:type="page"/>
      </w:r>
    </w:p>
    <w:p w14:paraId="19C98EE6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第二章　陆地生态系统碳循环与气候变化</w:t>
      </w:r>
    </w:p>
    <w:p w14:paraId="4DF69282">
      <w:pPr>
        <w:pStyle w:val="4"/>
      </w:pPr>
      <w:r>
        <w:rPr>
          <w:rFonts w:ascii="微软雅黑" w:hAnsi="微软雅黑" w:eastAsia="微软雅黑"/>
          <w:color w:val="1F4E79"/>
        </w:rPr>
        <w:t>2.1 研究背景</w:t>
      </w:r>
    </w:p>
    <w:p w14:paraId="58F5EA84">
      <w:pPr>
        <w:spacing w:after="120" w:line="312" w:lineRule="auto"/>
      </w:pPr>
      <w:r>
        <w:rPr>
          <w:rFonts w:ascii="微软雅黑" w:hAnsi="微软雅黑" w:eastAsia="微软雅黑"/>
          <w:b w:val="0"/>
        </w:rPr>
        <w:t xml:space="preserve">大气 CO₂ 浓度由工业化前（1750 年）的 </w:t>
      </w:r>
      <w:r>
        <w:rPr>
          <w:rFonts w:ascii="微软雅黑" w:hAnsi="微软雅黑" w:eastAsia="微软雅黑"/>
          <w:b/>
          <w:color w:val="1B7A5C"/>
        </w:rPr>
        <w:t>278 ppm</w:t>
      </w:r>
      <w:r>
        <w:rPr>
          <w:rFonts w:ascii="微软雅黑" w:hAnsi="微软雅黑" w:eastAsia="微软雅黑"/>
          <w:b w:val="0"/>
        </w:rPr>
        <w:t xml:space="preserve"> 上升至 2021 年 2 月的 </w:t>
      </w:r>
      <w:r>
        <w:rPr>
          <w:rFonts w:ascii="微软雅黑" w:hAnsi="微软雅黑" w:eastAsia="微软雅黑"/>
          <w:b/>
          <w:color w:val="1B7A5C"/>
        </w:rPr>
        <w:t>416.75 ppm</w:t>
      </w:r>
      <w:r>
        <w:rPr>
          <w:rFonts w:ascii="微软雅黑" w:hAnsi="微软雅黑" w:eastAsia="微软雅黑"/>
          <w:b w:val="0"/>
        </w:rPr>
        <w:t xml:space="preserve">，增幅约 </w:t>
      </w:r>
      <w:r>
        <w:rPr>
          <w:rFonts w:ascii="微软雅黑" w:hAnsi="微软雅黑" w:eastAsia="微软雅黑"/>
          <w:b/>
          <w:color w:val="1B7A5C"/>
        </w:rPr>
        <w:t>46%</w:t>
      </w:r>
      <w:r>
        <w:rPr>
          <w:rFonts w:ascii="微软雅黑" w:hAnsi="微软雅黑" w:eastAsia="微软雅黑"/>
          <w:b w:val="0"/>
        </w:rPr>
        <w:t>。若无碳汇，大气 CO₂ 会更高，故陆地生态系统的固碳能力对气候调节意义重大。</w:t>
      </w:r>
    </w:p>
    <w:p w14:paraId="4B08D52E">
      <w:pPr>
        <w:spacing w:before="80"/>
        <w:jc w:val="center"/>
      </w:pPr>
      <w:r>
        <w:drawing>
          <wp:inline distT="0" distB="0" distL="114300" distR="114300">
            <wp:extent cx="4754880" cy="2496185"/>
            <wp:effectExtent l="0" t="0" r="7620" b="184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AAD0">
      <w:pPr>
        <w:spacing w:after="160"/>
        <w:jc w:val="center"/>
      </w:pPr>
      <w:r>
        <w:rPr>
          <w:rFonts w:ascii="微软雅黑" w:hAnsi="微软雅黑" w:eastAsia="微软雅黑"/>
          <w:color w:val="595959"/>
          <w:sz w:val="17"/>
        </w:rPr>
        <w:t>图 2-1　工业化前与 2021 年大气 CO₂ 浓度对比</w:t>
      </w:r>
    </w:p>
    <w:p w14:paraId="71FE194F">
      <w:pPr>
        <w:pStyle w:val="4"/>
      </w:pPr>
      <w:r>
        <w:rPr>
          <w:rFonts w:ascii="微软雅黑" w:hAnsi="微软雅黑" w:eastAsia="微软雅黑"/>
          <w:color w:val="1F4E79"/>
        </w:rPr>
        <w:t>2.2 基本概念</w:t>
      </w:r>
    </w:p>
    <w:p w14:paraId="3ABE1E24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碳库 (Carbon pool)</w:t>
      </w:r>
      <w:r>
        <w:rPr>
          <w:rFonts w:ascii="微软雅黑" w:hAnsi="微软雅黑" w:eastAsia="微软雅黑"/>
          <w:b w:val="0"/>
        </w:rPr>
        <w:t>：地球系统中储碳的部分，分为海洋碳库、植被碳库、土壤碳库等。</w:t>
      </w:r>
    </w:p>
    <w:p w14:paraId="4735F5C3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碳储量 (Carbon stock)</w:t>
      </w:r>
      <w:r>
        <w:rPr>
          <w:rFonts w:ascii="微软雅黑" w:hAnsi="微软雅黑" w:eastAsia="微软雅黑"/>
          <w:b w:val="0"/>
        </w:rPr>
        <w:t>：碳库中储存的碳量。</w:t>
      </w:r>
    </w:p>
    <w:p w14:paraId="5D1BC58E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碳汇 (Carbon sink)</w:t>
      </w:r>
      <w:r>
        <w:rPr>
          <w:rFonts w:ascii="微软雅黑" w:hAnsi="微软雅黑" w:eastAsia="微软雅黑"/>
          <w:b w:val="0"/>
        </w:rPr>
        <w:t>：碳吸收量 &gt; 释放量，碳储量</w:t>
      </w:r>
      <w:r>
        <w:rPr>
          <w:rFonts w:ascii="微软雅黑" w:hAnsi="微软雅黑" w:eastAsia="微软雅黑"/>
          <w:b/>
          <w:color w:val="1B7A5C"/>
        </w:rPr>
        <w:t>增加</w:t>
      </w:r>
      <w:r>
        <w:rPr>
          <w:rFonts w:ascii="微软雅黑" w:hAnsi="微软雅黑" w:eastAsia="微软雅黑"/>
          <w:b w:val="0"/>
        </w:rPr>
        <w:t>；</w:t>
      </w:r>
      <w:r>
        <w:rPr>
          <w:rFonts w:ascii="微软雅黑" w:hAnsi="微软雅黑" w:eastAsia="微软雅黑"/>
          <w:b/>
          <w:color w:val="1B7A5C"/>
        </w:rPr>
        <w:t>碳源 (Carbon source)</w:t>
      </w:r>
      <w:r>
        <w:rPr>
          <w:rFonts w:ascii="微软雅黑" w:hAnsi="微软雅黑" w:eastAsia="微软雅黑"/>
          <w:b w:val="0"/>
        </w:rPr>
        <w:t>：吸收量 &lt; 释放量，碳储量</w:t>
      </w:r>
      <w:r>
        <w:rPr>
          <w:rFonts w:ascii="微软雅黑" w:hAnsi="微软雅黑" w:eastAsia="微软雅黑"/>
          <w:b/>
          <w:color w:val="1B7A5C"/>
        </w:rPr>
        <w:t>减少</w:t>
      </w:r>
      <w:r>
        <w:rPr>
          <w:rFonts w:ascii="微软雅黑" w:hAnsi="微软雅黑" w:eastAsia="微软雅黑"/>
          <w:b w:val="0"/>
        </w:rPr>
        <w:t>。</w:t>
      </w:r>
    </w:p>
    <w:p w14:paraId="772EBC23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碳通量 (Carbon flux)</w:t>
      </w:r>
      <w:r>
        <w:rPr>
          <w:rFonts w:ascii="微软雅黑" w:hAnsi="微软雅黑" w:eastAsia="微软雅黑"/>
          <w:b w:val="0"/>
        </w:rPr>
        <w:t>：通过某一断面的碳元素总量。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65D5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0F1419BA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 xml:space="preserve">【泥炭地：地球的“固碳海绵”】 </w:t>
            </w:r>
            <w:r>
              <w:rPr>
                <w:rFonts w:ascii="微软雅黑" w:hAnsi="微软雅黑" w:eastAsia="微软雅黑"/>
                <w:b w:val="0"/>
              </w:rPr>
              <w:t>泥炭地是单位面积固碳能力极强的湿地生态系统，长期处于水饱和、缺氧状态，有机物分解慢而大量累积，是全球重要的碳库。其保护对碳中和意义突出。</w:t>
            </w:r>
          </w:p>
        </w:tc>
      </w:tr>
    </w:tbl>
    <w:p w14:paraId="50633928">
      <w:pPr>
        <w:spacing w:after="0"/>
      </w:pPr>
    </w:p>
    <w:p w14:paraId="68DBC2F3">
      <w:pPr>
        <w:pStyle w:val="4"/>
      </w:pPr>
      <w:r>
        <w:rPr>
          <w:rFonts w:ascii="微软雅黑" w:hAnsi="微软雅黑" w:eastAsia="微软雅黑"/>
          <w:color w:val="1F4E79"/>
        </w:rPr>
        <w:t>2.3 生产力体系（GPP → NPP → NEP）</w:t>
      </w:r>
    </w:p>
    <w:p w14:paraId="27A984BB">
      <w:pPr>
        <w:spacing w:after="100" w:line="312" w:lineRule="auto"/>
      </w:pPr>
      <w:r>
        <w:rPr>
          <w:rFonts w:ascii="微软雅黑" w:hAnsi="微软雅黑" w:eastAsia="微软雅黑"/>
          <w:b/>
          <w:color w:val="1B7A5C"/>
        </w:rPr>
        <w:t>光合作用</w:t>
      </w:r>
      <w:r>
        <w:rPr>
          <w:rFonts w:ascii="微软雅黑" w:hAnsi="微软雅黑" w:eastAsia="微软雅黑"/>
          <w:b w:val="0"/>
        </w:rPr>
        <w:t>是植物吸收光能、将 CO₂ 与水合成有机物并释放 O₂ 的过程，是陆地生态系统能量与碳输入的起点。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0FC1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00596431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>【总初级生产力 GPP】 GPP (Gross Primary Productivity)</w:t>
            </w:r>
            <w:r>
              <w:rPr>
                <w:rFonts w:ascii="微软雅黑" w:hAnsi="微软雅黑" w:eastAsia="微软雅黑"/>
                <w:b w:val="0"/>
              </w:rPr>
              <w:t>：单位时间、单位面积植物通过光合作用固定的有机碳总量（总第一性生产力），决定进入生态系统的初始物质与能量。</w:t>
            </w:r>
          </w:p>
        </w:tc>
      </w:tr>
    </w:tbl>
    <w:p w14:paraId="09A87896">
      <w:pPr>
        <w:spacing w:after="0"/>
      </w:pPr>
    </w:p>
    <w:p w14:paraId="5269D165">
      <w:pPr>
        <w:spacing w:before="80" w:after="0"/>
        <w:jc w:val="center"/>
      </w:pPr>
      <w:r>
        <w:drawing>
          <wp:inline distT="0" distB="0" distL="114300" distR="114300">
            <wp:extent cx="1944370" cy="291465"/>
            <wp:effectExtent l="0" t="0" r="17780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840" cy="29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52A3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净初级生产力＝总初级生产力 − 自养呼吸；其中 R_a 为植物自身呼吸 (Autotrophic Respiration)</w:t>
      </w:r>
    </w:p>
    <w:p w14:paraId="4CF7E4CF">
      <w:pPr>
        <w:spacing w:after="120" w:line="312" w:lineRule="auto"/>
      </w:pPr>
      <w:r>
        <w:rPr>
          <w:rFonts w:ascii="微软雅黑" w:hAnsi="微软雅黑" w:eastAsia="微软雅黑"/>
          <w:b/>
          <w:color w:val="1B7A5C"/>
        </w:rPr>
        <w:t>NPP (Net Primary Productivity)</w:t>
      </w:r>
      <w:r>
        <w:rPr>
          <w:rFonts w:ascii="微软雅黑" w:hAnsi="微软雅黑" w:eastAsia="微软雅黑"/>
          <w:b w:val="0"/>
        </w:rPr>
        <w:t>：GPP 扣除植物自养呼吸 (R_a) 后净积累的有机碳，反映植物固定与转化光合产物的效率，也决定可供动物与人利用的物质和能量。</w:t>
      </w:r>
    </w:p>
    <w:p w14:paraId="49431746">
      <w:pPr>
        <w:spacing w:before="80" w:after="0"/>
        <w:jc w:val="center"/>
      </w:pPr>
      <w:r>
        <w:drawing>
          <wp:inline distT="0" distB="0" distL="114300" distR="114300">
            <wp:extent cx="4029710" cy="309880"/>
            <wp:effectExtent l="0" t="0" r="0" b="146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0182" cy="3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6E23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净生态系统生产力＝净初级生产力 − 异养呼吸（土壤微生物呼吸 R_h）</w:t>
      </w:r>
    </w:p>
    <w:p w14:paraId="5026FFFF">
      <w:pPr>
        <w:spacing w:after="120" w:line="312" w:lineRule="auto"/>
      </w:pPr>
      <w:r>
        <w:rPr>
          <w:rFonts w:ascii="微软雅黑" w:hAnsi="微软雅黑" w:eastAsia="微软雅黑"/>
          <w:b/>
          <w:color w:val="1B7A5C"/>
        </w:rPr>
        <w:t>NEP (Net Ecosystem Productivity)</w:t>
      </w:r>
      <w:r>
        <w:rPr>
          <w:rFonts w:ascii="微软雅黑" w:hAnsi="微软雅黑" w:eastAsia="微软雅黑"/>
          <w:b w:val="0"/>
        </w:rPr>
        <w:t>：NPP 扣除异养生物（主要是土壤微生物）呼吸 R_h 后生态系统净积累的碳量。</w:t>
      </w:r>
      <w:r>
        <w:rPr>
          <w:rFonts w:ascii="微软雅黑" w:hAnsi="微软雅黑" w:eastAsia="微软雅黑"/>
          <w:b/>
          <w:color w:val="C00000"/>
        </w:rPr>
        <w:t>判据：NEP &gt; 0 为碳汇，NEP &lt; 0 为碳源</w:t>
      </w:r>
      <w:r>
        <w:rPr>
          <w:rFonts w:ascii="微软雅黑" w:hAnsi="微软雅黑" w:eastAsia="微软雅黑"/>
          <w:b w:val="0"/>
        </w:rPr>
        <w:t>。生态系统总呼吸 = R_a + R_h。</w:t>
      </w:r>
    </w:p>
    <w:p w14:paraId="78BDB27D">
      <w:pPr>
        <w:pStyle w:val="4"/>
      </w:pPr>
      <w:r>
        <w:rPr>
          <w:rFonts w:ascii="微软雅黑" w:hAnsi="微软雅黑" w:eastAsia="微软雅黑"/>
          <w:color w:val="1F4E79"/>
        </w:rPr>
        <w:t>2.4 碳汇估算方法</w:t>
      </w:r>
    </w:p>
    <w:p w14:paraId="08EE0465">
      <w:pPr>
        <w:spacing w:after="40"/>
        <w:jc w:val="center"/>
      </w:pPr>
      <w:r>
        <w:rPr>
          <w:rFonts w:ascii="微软雅黑" w:hAnsi="微软雅黑" w:eastAsia="微软雅黑"/>
          <w:b/>
          <w:color w:val="1F4E79"/>
          <w:sz w:val="19"/>
        </w:rPr>
        <w:t>表 2-1　碳汇估算方法对比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592"/>
        <w:gridCol w:w="2448"/>
        <w:gridCol w:w="2880"/>
      </w:tblGrid>
      <w:tr w14:paraId="6C3B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1B7A5C"/>
          </w:tcPr>
          <w:p w14:paraId="1F8111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w="2592" w:type="dxa"/>
            <w:shd w:val="clear" w:color="auto" w:fill="1B7A5C"/>
          </w:tcPr>
          <w:p w14:paraId="42B53F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核心途径</w:t>
            </w:r>
          </w:p>
        </w:tc>
        <w:tc>
          <w:tcPr>
            <w:tcW w:w="2448" w:type="dxa"/>
            <w:shd w:val="clear" w:color="auto" w:fill="1B7A5C"/>
          </w:tcPr>
          <w:p w14:paraId="1287D0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主要优点</w:t>
            </w:r>
          </w:p>
        </w:tc>
        <w:tc>
          <w:tcPr>
            <w:tcW w:w="2880" w:type="dxa"/>
            <w:shd w:val="clear" w:color="auto" w:fill="1B7A5C"/>
          </w:tcPr>
          <w:p w14:paraId="73AEA0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主要局限</w:t>
            </w:r>
          </w:p>
        </w:tc>
      </w:tr>
      <w:tr w14:paraId="5210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046F49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森林/生物量清查</w:t>
            </w:r>
          </w:p>
        </w:tc>
        <w:tc>
          <w:tcPr>
            <w:tcW w:w="2592" w:type="dxa"/>
          </w:tcPr>
          <w:p w14:paraId="617E5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固定与临时样方、生物量及土壤碳储量普查</w:t>
            </w:r>
          </w:p>
        </w:tc>
        <w:tc>
          <w:tcPr>
            <w:tcW w:w="2448" w:type="dxa"/>
          </w:tcPr>
          <w:p w14:paraId="713D96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直接观测碳储量变化</w:t>
            </w:r>
          </w:p>
        </w:tc>
        <w:tc>
          <w:tcPr>
            <w:tcW w:w="2880" w:type="dxa"/>
          </w:tcPr>
          <w:p w14:paraId="15EF0A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连续观测有限、难捕捉年际动态；需尺度转换；未含湿地等</w:t>
            </w:r>
          </w:p>
        </w:tc>
      </w:tr>
      <w:tr w14:paraId="5E25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65282C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涡度相关法</w:t>
            </w:r>
          </w:p>
        </w:tc>
        <w:tc>
          <w:tcPr>
            <w:tcW w:w="2592" w:type="dxa"/>
          </w:tcPr>
          <w:p w14:paraId="4CF4EA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涡度相关观测站实时测陆地-大气碳交换</w:t>
            </w:r>
          </w:p>
        </w:tc>
        <w:tc>
          <w:tcPr>
            <w:tcW w:w="2448" w:type="dxa"/>
          </w:tcPr>
          <w:p w14:paraId="38F66C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实时监测生态系统尺度碳交换；反映短期气候波动</w:t>
            </w:r>
          </w:p>
        </w:tc>
        <w:tc>
          <w:tcPr>
            <w:tcW w:w="2880" w:type="dxa"/>
          </w:tcPr>
          <w:p w14:paraId="7268BB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忽略碳横向转移往往高估；站点空间分布有限（多集中温带）</w:t>
            </w:r>
          </w:p>
        </w:tc>
      </w:tr>
      <w:tr w14:paraId="7BA4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1E0FF1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植被指数/遥感</w:t>
            </w:r>
          </w:p>
        </w:tc>
        <w:tc>
          <w:tcPr>
            <w:tcW w:w="2592" w:type="dxa"/>
          </w:tcPr>
          <w:p w14:paraId="7C1E57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NDVI、EVI、NIRv 等卫星指数反演</w:t>
            </w:r>
          </w:p>
        </w:tc>
        <w:tc>
          <w:tcPr>
            <w:tcW w:w="2448" w:type="dxa"/>
          </w:tcPr>
          <w:p w14:paraId="508723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区域尺度、空间连续</w:t>
            </w:r>
          </w:p>
        </w:tc>
        <w:tc>
          <w:tcPr>
            <w:tcW w:w="2880" w:type="dxa"/>
          </w:tcPr>
          <w:p w14:paraId="616011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饱和效应；受大气校正影响</w:t>
            </w:r>
          </w:p>
        </w:tc>
      </w:tr>
      <w:tr w14:paraId="192F0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3B8DD0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陆面过程模式</w:t>
            </w:r>
          </w:p>
        </w:tc>
        <w:tc>
          <w:tcPr>
            <w:tcW w:w="2592" w:type="dxa"/>
          </w:tcPr>
          <w:p w14:paraId="188B6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过程模拟（GPP/NPP），逐代改进</w:t>
            </w:r>
          </w:p>
        </w:tc>
        <w:tc>
          <w:tcPr>
            <w:tcW w:w="2448" w:type="dxa"/>
          </w:tcPr>
          <w:p w14:paraId="09802A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可探讨机制、分离驱动因子、预测未来</w:t>
            </w:r>
          </w:p>
        </w:tc>
        <w:tc>
          <w:tcPr>
            <w:tcW w:w="2880" w:type="dxa"/>
          </w:tcPr>
          <w:p w14:paraId="13D7D0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过程简化、参数与驱动数据不确定性</w:t>
            </w:r>
          </w:p>
        </w:tc>
      </w:tr>
      <w:tr w14:paraId="5D5E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25A302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大气反演法</w:t>
            </w:r>
          </w:p>
        </w:tc>
        <w:tc>
          <w:tcPr>
            <w:tcW w:w="2592" w:type="dxa"/>
          </w:tcPr>
          <w:p w14:paraId="22FDAB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以大气 CO₂ 观测反推源汇</w:t>
            </w:r>
          </w:p>
        </w:tc>
        <w:tc>
          <w:tcPr>
            <w:tcW w:w="2448" w:type="dxa"/>
          </w:tcPr>
          <w:p w14:paraId="6298BB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估算区域尺度分布</w:t>
            </w:r>
          </w:p>
        </w:tc>
        <w:tc>
          <w:tcPr>
            <w:tcW w:w="2880" w:type="dxa"/>
          </w:tcPr>
          <w:p w14:paraId="26B796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观测站稀疏（发展中国家尤甚）；受人为排放与环流模式误差影响</w:t>
            </w:r>
          </w:p>
        </w:tc>
      </w:tr>
    </w:tbl>
    <w:p w14:paraId="14BEE04A">
      <w:pPr>
        <w:spacing w:after="40"/>
      </w:pPr>
    </w:p>
    <w:p w14:paraId="17ADB475">
      <w:pPr>
        <w:pStyle w:val="4"/>
      </w:pPr>
      <w:r>
        <w:rPr>
          <w:rFonts w:ascii="微软雅黑" w:hAnsi="微软雅黑" w:eastAsia="微软雅黑"/>
          <w:color w:val="1F4E79"/>
        </w:rPr>
        <w:t>2.5 植被指数（Vegetation Index）</w:t>
      </w:r>
    </w:p>
    <w:p w14:paraId="67311856">
      <w:pPr>
        <w:spacing w:after="100" w:line="312" w:lineRule="auto"/>
      </w:pPr>
      <w:r>
        <w:rPr>
          <w:rFonts w:ascii="微软雅黑" w:hAnsi="微软雅黑" w:eastAsia="微软雅黑"/>
          <w:b/>
          <w:color w:val="1B7A5C"/>
        </w:rPr>
        <w:t>NDVI (归一化植被指数)</w:t>
      </w:r>
      <w:r>
        <w:rPr>
          <w:rFonts w:ascii="微软雅黑" w:hAnsi="微软雅黑" w:eastAsia="微软雅黑"/>
          <w:b w:val="0"/>
        </w:rPr>
        <w:t xml:space="preserve"> 取值 </w:t>
      </w:r>
      <w:r>
        <w:rPr>
          <w:rFonts w:ascii="微软雅黑" w:hAnsi="微软雅黑" w:eastAsia="微软雅黑"/>
          <w:b/>
          <w:color w:val="1B7A5C"/>
        </w:rPr>
        <w:t>−1 ~ 1</w:t>
      </w:r>
      <w:r>
        <w:rPr>
          <w:rFonts w:ascii="微软雅黑" w:hAnsi="微软雅黑" w:eastAsia="微软雅黑"/>
          <w:b w:val="0"/>
        </w:rPr>
        <w:t>：有植被区域 &gt; 0，数值越大覆盖度与健康度越高；0.2~0.3 为草地/稀树草原，0.6~0.8 为热带/亚热带森林，裸土约 0.1，水体与积雪为</w:t>
      </w:r>
      <w:r>
        <w:rPr>
          <w:rFonts w:ascii="微软雅黑" w:hAnsi="微软雅黑" w:eastAsia="微软雅黑"/>
          <w:b/>
          <w:color w:val="1B7A5C"/>
        </w:rPr>
        <w:t>负值</w:t>
      </w:r>
      <w:r>
        <w:rPr>
          <w:rFonts w:ascii="微软雅黑" w:hAnsi="微软雅黑" w:eastAsia="微软雅黑"/>
          <w:b w:val="0"/>
        </w:rPr>
        <w:t>。</w:t>
      </w:r>
    </w:p>
    <w:p w14:paraId="75C2D775">
      <w:pPr>
        <w:spacing w:before="80"/>
        <w:jc w:val="center"/>
      </w:pPr>
      <w:r>
        <w:drawing>
          <wp:inline distT="0" distB="0" distL="114300" distR="114300">
            <wp:extent cx="5303520" cy="1978660"/>
            <wp:effectExtent l="0" t="0" r="11430" b="25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FF54">
      <w:pPr>
        <w:spacing w:after="160"/>
        <w:jc w:val="center"/>
      </w:pPr>
      <w:r>
        <w:rPr>
          <w:rFonts w:ascii="微软雅黑" w:hAnsi="微软雅黑" w:eastAsia="微软雅黑"/>
          <w:color w:val="595959"/>
          <w:sz w:val="17"/>
        </w:rPr>
        <w:t>图 2-2　NDVI 典型值域含义</w:t>
      </w:r>
    </w:p>
    <w:p w14:paraId="19EF118A">
      <w:pPr>
        <w:spacing w:before="80" w:after="0"/>
        <w:jc w:val="center"/>
      </w:pPr>
      <w:r>
        <w:drawing>
          <wp:inline distT="0" distB="0" distL="114300" distR="114300">
            <wp:extent cx="1634490" cy="316865"/>
            <wp:effectExtent l="0" t="0" r="381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4917" cy="3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BC3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归一化植被指数 NDVI</w:t>
      </w:r>
    </w:p>
    <w:p w14:paraId="436773EF">
      <w:pPr>
        <w:spacing w:before="80" w:after="0"/>
        <w:jc w:val="center"/>
      </w:pPr>
      <w:r>
        <w:drawing>
          <wp:inline distT="0" distB="0" distL="114300" distR="114300">
            <wp:extent cx="2964815" cy="335280"/>
            <wp:effectExtent l="0" t="0" r="6985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5138" cy="3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141A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增强型植被指数 EVI（对植被结构更敏感，削弱土壤与大气的干扰）</w:t>
      </w:r>
    </w:p>
    <w:p w14:paraId="77D57E46">
      <w:pPr>
        <w:spacing w:before="80" w:after="0"/>
        <w:jc w:val="center"/>
      </w:pPr>
      <w:r>
        <w:drawing>
          <wp:inline distT="0" distB="0" distL="114300" distR="114300">
            <wp:extent cx="2149475" cy="289560"/>
            <wp:effectExtent l="0" t="0" r="3175" b="158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9540" cy="28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9DD6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近红外植被反射率 NIRv（与 GPP 相关性强）</w:t>
      </w:r>
    </w:p>
    <w:p w14:paraId="73E00A25">
      <w:pPr>
        <w:spacing w:before="80" w:after="0"/>
        <w:jc w:val="center"/>
      </w:pPr>
      <w:r>
        <w:drawing>
          <wp:inline distT="0" distB="0" distL="114300" distR="114300">
            <wp:extent cx="2694940" cy="337820"/>
            <wp:effectExtent l="0" t="0" r="0" b="50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346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439F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核归一化植被指数 kNDVI（基于核方法的非线性推广）</w:t>
      </w:r>
    </w:p>
    <w:p w14:paraId="1E0B31BA">
      <w:pPr>
        <w:spacing w:after="120" w:line="312" w:lineRule="auto"/>
      </w:pPr>
      <w:r>
        <w:rPr>
          <w:rFonts w:ascii="微软雅黑" w:hAnsi="微软雅黑" w:eastAsia="微软雅黑"/>
          <w:b w:val="0"/>
        </w:rPr>
        <w:t>研究（FLUXNET + MODIS，参考文献①）表明：</w:t>
      </w:r>
      <w:r>
        <w:rPr>
          <w:rFonts w:ascii="微软雅黑" w:hAnsi="微软雅黑" w:eastAsia="微软雅黑"/>
          <w:b/>
          <w:color w:val="1B7A5C"/>
        </w:rPr>
        <w:t>EVI 与 NIRv 在刻画气溶胶对 GPP 的影响上优于 NDVI 与 kNDVI</w:t>
      </w:r>
      <w:r>
        <w:rPr>
          <w:rFonts w:ascii="微软雅黑" w:hAnsi="微软雅黑" w:eastAsia="微软雅黑"/>
          <w:b w:val="0"/>
        </w:rPr>
        <w:t>；气溶胶通过改变</w:t>
      </w:r>
      <w:r>
        <w:rPr>
          <w:rFonts w:ascii="微软雅黑" w:hAnsi="微软雅黑" w:eastAsia="微软雅黑"/>
          <w:b/>
          <w:color w:val="1B7A5C"/>
        </w:rPr>
        <w:t>散射辐射（diffuse radiation）、温度与饱和水汽压差 (VPD)</w:t>
      </w:r>
      <w:r>
        <w:rPr>
          <w:rFonts w:ascii="微软雅黑" w:hAnsi="微软雅黑" w:eastAsia="微软雅黑"/>
          <w:b w:val="0"/>
        </w:rPr>
        <w:t xml:space="preserve"> 影响植被碳吸收——中等气溶胶负荷常因“散射施肥效应 (diffuse fertilization)”增强冠层光合。</w:t>
      </w:r>
    </w:p>
    <w:p w14:paraId="5F3DECFC">
      <w:pPr>
        <w:pStyle w:val="4"/>
      </w:pPr>
      <w:r>
        <w:rPr>
          <w:rFonts w:ascii="微软雅黑" w:hAnsi="微软雅黑" w:eastAsia="微软雅黑"/>
          <w:color w:val="1F4E79"/>
        </w:rPr>
        <w:t>2.6 空气污染（臭氧/气溶胶）对植被的影响</w:t>
      </w:r>
    </w:p>
    <w:p w14:paraId="3CAAC13D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臭氧 (O₃)</w:t>
      </w:r>
      <w:r>
        <w:rPr>
          <w:rFonts w:ascii="微软雅黑" w:hAnsi="微软雅黑" w:eastAsia="微软雅黑"/>
          <w:b w:val="0"/>
        </w:rPr>
        <w:t xml:space="preserve"> 是最广泛分布、危害最大的空气污染物之一，影响植被光合与气孔活动，高浓度危害粮食质量与产量，被认为是影响森林健康最重要的污染物。</w:t>
      </w:r>
    </w:p>
    <w:p w14:paraId="5918BD1B">
      <w:pPr>
        <w:pStyle w:val="16"/>
        <w:spacing w:after="40" w:line="300" w:lineRule="auto"/>
      </w:pPr>
      <w:r>
        <w:rPr>
          <w:rFonts w:ascii="微软雅黑" w:hAnsi="微软雅黑" w:eastAsia="微软雅黑"/>
          <w:b w:val="0"/>
        </w:rPr>
        <w:t>2013—2019 年我国 O₃ 浓度逐步上升：</w:t>
      </w:r>
      <w:r>
        <w:rPr>
          <w:rFonts w:ascii="微软雅黑" w:hAnsi="微软雅黑" w:eastAsia="微软雅黑"/>
          <w:b/>
          <w:color w:val="1B7A5C"/>
        </w:rPr>
        <w:t>MDA8 O₃ 超过 60 ppb 的站点占比从 2013 年 11.1% → 2017 年 35.7% → 2019 年 49.2%</w:t>
      </w:r>
      <w:r>
        <w:rPr>
          <w:rFonts w:ascii="微软雅黑" w:hAnsi="微软雅黑" w:eastAsia="微软雅黑"/>
          <w:b w:val="0"/>
        </w:rPr>
        <w:t>，臭氧污染对生态的威胁上升。</w:t>
      </w:r>
    </w:p>
    <w:p w14:paraId="2CD40954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火山喷发</w:t>
      </w:r>
      <w:r>
        <w:rPr>
          <w:rFonts w:ascii="微软雅黑" w:hAnsi="微软雅黑" w:eastAsia="微软雅黑"/>
          <w:b w:val="0"/>
        </w:rPr>
        <w:t>（如 1991 年菲律宾皮纳图博火山）等大扰动可短期改变辐射与散射条件，显著影响植被碳吸收。</w:t>
      </w:r>
    </w:p>
    <w:p w14:paraId="2FBBDD33">
      <w:r>
        <w:br w:type="page"/>
      </w:r>
    </w:p>
    <w:p w14:paraId="7A5DEB8B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第三章　气象能源与新能源利用</w:t>
      </w:r>
    </w:p>
    <w:p w14:paraId="57C29233">
      <w:pPr>
        <w:pStyle w:val="4"/>
      </w:pPr>
      <w:r>
        <w:rPr>
          <w:rFonts w:ascii="微软雅黑" w:hAnsi="微软雅黑" w:eastAsia="微软雅黑"/>
          <w:color w:val="1F4E79"/>
        </w:rPr>
        <w:t>3.1 太阳辐射的物理基础</w:t>
      </w:r>
    </w:p>
    <w:p w14:paraId="7F85B9DE">
      <w:pPr>
        <w:spacing w:after="100" w:line="312" w:lineRule="auto"/>
      </w:pPr>
      <w:r>
        <w:rPr>
          <w:rFonts w:ascii="微软雅黑" w:hAnsi="微软雅黑" w:eastAsia="微软雅黑"/>
          <w:b w:val="0"/>
        </w:rPr>
        <w:t>太阳辐射是地球</w:t>
      </w:r>
      <w:r>
        <w:rPr>
          <w:rFonts w:ascii="微软雅黑" w:hAnsi="微软雅黑" w:eastAsia="微软雅黑"/>
          <w:b/>
          <w:color w:val="1B7A5C"/>
        </w:rPr>
        <w:t>最主要</w:t>
      </w:r>
      <w:r>
        <w:rPr>
          <w:rFonts w:ascii="微软雅黑" w:hAnsi="微软雅黑" w:eastAsia="微软雅黑"/>
          <w:b w:val="0"/>
        </w:rPr>
        <w:t xml:space="preserve">的天然能源（地热、放射性等可忽略）。太阳表面有效温度约 </w:t>
      </w:r>
      <w:r>
        <w:rPr>
          <w:rFonts w:ascii="微软雅黑" w:hAnsi="微软雅黑" w:eastAsia="微软雅黑"/>
          <w:b/>
          <w:color w:val="1B7A5C"/>
        </w:rPr>
        <w:t>5780 K</w:t>
      </w:r>
      <w:r>
        <w:rPr>
          <w:rFonts w:ascii="微软雅黑" w:hAnsi="微软雅黑" w:eastAsia="微软雅黑"/>
          <w:b w:val="0"/>
        </w:rPr>
        <w:t>，可视作黑体辐射源。核心辐射定律：</w:t>
      </w:r>
    </w:p>
    <w:p w14:paraId="081FB271">
      <w:pPr>
        <w:spacing w:before="80" w:after="0"/>
        <w:jc w:val="center"/>
      </w:pPr>
      <w:r>
        <w:drawing>
          <wp:inline distT="0" distB="0" distL="114300" distR="114300">
            <wp:extent cx="2172335" cy="383540"/>
            <wp:effectExtent l="0" t="0" r="18415" b="1651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B5ED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普朗克定律（黑体辐射谱能量密度，h=6.626×10⁻³⁴ J·s，k=1.381×10⁻²³ J/K）</w:t>
      </w:r>
    </w:p>
    <w:p w14:paraId="5F20A440">
      <w:pPr>
        <w:spacing w:before="80" w:after="0"/>
        <w:jc w:val="center"/>
      </w:pPr>
      <w:r>
        <w:drawing>
          <wp:inline distT="0" distB="0" distL="114300" distR="114300">
            <wp:extent cx="1031240" cy="291465"/>
            <wp:effectExtent l="0" t="0" r="0" b="139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1610" cy="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20A4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斯特藩–玻尔兹曼定律（σ = 5.67×10⁻⁸ W·m⁻²·K⁻⁴），黑体总辐射出射度 ∝ T⁴</w:t>
      </w:r>
    </w:p>
    <w:p w14:paraId="139B83A8">
      <w:pPr>
        <w:spacing w:before="80" w:after="0"/>
        <w:jc w:val="center"/>
      </w:pPr>
      <w:r>
        <w:drawing>
          <wp:inline distT="0" distB="0" distL="114300" distR="114300">
            <wp:extent cx="1677670" cy="347345"/>
            <wp:effectExtent l="0" t="0" r="17780" b="1460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8216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0D5D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维恩位移定律：峰值波长反比于温度</w:t>
      </w:r>
    </w:p>
    <w:p w14:paraId="1A1501DC">
      <w:pPr>
        <w:pStyle w:val="16"/>
        <w:spacing w:after="40" w:line="300" w:lineRule="auto"/>
      </w:pPr>
      <w:r>
        <w:rPr>
          <w:rFonts w:ascii="微软雅黑" w:hAnsi="微软雅黑" w:eastAsia="微软雅黑"/>
          <w:b w:val="0"/>
        </w:rPr>
        <w:t xml:space="preserve">太阳表面辐射出射度 </w:t>
      </w:r>
      <w:r>
        <w:rPr>
          <w:rFonts w:ascii="微软雅黑" w:hAnsi="微软雅黑" w:eastAsia="微软雅黑"/>
          <w:b/>
          <w:color w:val="1B7A5C"/>
        </w:rPr>
        <w:t>M_sun ≈ 6.33×10⁷ W/m²</w:t>
      </w:r>
      <w:r>
        <w:rPr>
          <w:rFonts w:ascii="微软雅黑" w:hAnsi="微软雅黑" w:eastAsia="微软雅黑"/>
          <w:b w:val="0"/>
        </w:rPr>
        <w:t xml:space="preserve">，太阳总辐射通量 </w:t>
      </w:r>
      <w:r>
        <w:rPr>
          <w:rFonts w:ascii="微软雅黑" w:hAnsi="微软雅黑" w:eastAsia="微软雅黑"/>
          <w:b/>
          <w:color w:val="1B7A5C"/>
        </w:rPr>
        <w:t>Φ_sun ≈ 3.85×10²⁶ W</w:t>
      </w:r>
      <w:r>
        <w:rPr>
          <w:rFonts w:ascii="微软雅黑" w:hAnsi="微软雅黑" w:eastAsia="微软雅黑"/>
          <w:b w:val="0"/>
        </w:rPr>
        <w:t>。</w:t>
      </w:r>
    </w:p>
    <w:p w14:paraId="458966BE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太阳常数 (solar constant)</w:t>
      </w:r>
      <w:r>
        <w:rPr>
          <w:rFonts w:ascii="微软雅黑" w:hAnsi="微软雅黑" w:eastAsia="微软雅黑"/>
          <w:b w:val="0"/>
        </w:rPr>
        <w:t>：由能量守恒，地球大气上界垂直于太阳光单位面积接收的辐射通量（约 1367 W/m²），是太阳能资源评估的基准。</w:t>
      </w:r>
    </w:p>
    <w:p w14:paraId="0D4DCB3D">
      <w:pPr>
        <w:pStyle w:val="4"/>
      </w:pPr>
      <w:r>
        <w:rPr>
          <w:rFonts w:ascii="微软雅黑" w:hAnsi="微软雅黑" w:eastAsia="微软雅黑"/>
          <w:color w:val="1F4E79"/>
        </w:rPr>
        <w:t>3.2 大气运动与风</w:t>
      </w:r>
    </w:p>
    <w:p w14:paraId="104CD1AD">
      <w:pPr>
        <w:spacing w:after="100" w:line="312" w:lineRule="auto"/>
      </w:pPr>
      <w:r>
        <w:rPr>
          <w:rFonts w:ascii="微软雅黑" w:hAnsi="微软雅黑" w:eastAsia="微软雅黑"/>
          <w:b w:val="0"/>
        </w:rPr>
        <w:t>大气运动的动力来自太阳辐射加热不均形成的</w:t>
      </w:r>
      <w:r>
        <w:rPr>
          <w:rFonts w:ascii="微软雅黑" w:hAnsi="微软雅黑" w:eastAsia="微软雅黑"/>
          <w:b/>
          <w:color w:val="1B7A5C"/>
        </w:rPr>
        <w:t>有效位能</w:t>
      </w:r>
      <w:r>
        <w:rPr>
          <w:rFonts w:ascii="微软雅黑" w:hAnsi="微软雅黑" w:eastAsia="微软雅黑"/>
          <w:b w:val="0"/>
        </w:rPr>
        <w:t>转化。作用于气块的力包括气压梯度力、科里奥利力与摩擦力。</w:t>
      </w:r>
    </w:p>
    <w:p w14:paraId="70AEF5F1">
      <w:pPr>
        <w:spacing w:before="80" w:after="0"/>
        <w:jc w:val="center"/>
      </w:pPr>
      <w:r>
        <w:drawing>
          <wp:inline distT="0" distB="0" distL="114300" distR="114300">
            <wp:extent cx="1894205" cy="309880"/>
            <wp:effectExtent l="0" t="0" r="0" b="1460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4530" cy="3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556A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科里奥利力（Ω 为地球自转角速度矢量，大小 7.29×10⁻⁵ rad/s）</w:t>
      </w:r>
    </w:p>
    <w:p w14:paraId="78C1CA2C">
      <w:pPr>
        <w:spacing w:before="80" w:after="0"/>
        <w:jc w:val="center"/>
      </w:pPr>
      <w:r>
        <w:drawing>
          <wp:inline distT="0" distB="0" distL="114300" distR="114300">
            <wp:extent cx="1194435" cy="289560"/>
            <wp:effectExtent l="0" t="0" r="5715" b="1587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4619" cy="28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F70F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科里奥利参数 f（中纬度约 10⁻⁴ s⁻¹；赤道 φ=0 处力为零）</w:t>
      </w:r>
    </w:p>
    <w:p w14:paraId="2C3F81EC">
      <w:pPr>
        <w:spacing w:before="80" w:after="0"/>
        <w:jc w:val="center"/>
      </w:pPr>
      <w:r>
        <w:drawing>
          <wp:inline distT="0" distB="0" distL="114300" distR="114300">
            <wp:extent cx="3506470" cy="356235"/>
            <wp:effectExtent l="0" t="0" r="0" b="571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6724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A47C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水平运动方程：加速度＝气压梯度力 + 科里奥利力 + 摩擦力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2481A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3F8"/>
          </w:tcPr>
          <w:p w14:paraId="2E373019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F4E79"/>
              </w:rPr>
              <w:t xml:space="preserve">【地转风 (Geostrophic Wind)】 </w:t>
            </w:r>
            <w:r>
              <w:rPr>
                <w:rFonts w:ascii="微软雅黑" w:hAnsi="微软雅黑" w:eastAsia="微软雅黑"/>
                <w:b w:val="0"/>
              </w:rPr>
              <w:t>自由大气中摩擦力可忽略、加速度近似为零时，</w:t>
            </w:r>
            <w:r>
              <w:rPr>
                <w:rFonts w:ascii="微软雅黑" w:hAnsi="微软雅黑" w:eastAsia="微软雅黑"/>
                <w:b/>
                <w:color w:val="1B7A5C"/>
              </w:rPr>
              <w:t>气压梯度力与科里奥利力平衡</w:t>
            </w:r>
            <w:r>
              <w:rPr>
                <w:rFonts w:ascii="微软雅黑" w:hAnsi="微软雅黑" w:eastAsia="微软雅黑"/>
                <w:b w:val="0"/>
              </w:rPr>
              <w:t>，风沿等压线吹、与气压梯度垂直：</w:t>
            </w:r>
          </w:p>
        </w:tc>
      </w:tr>
    </w:tbl>
    <w:p w14:paraId="6DAC8D47">
      <w:pPr>
        <w:spacing w:after="0"/>
      </w:pPr>
    </w:p>
    <w:p w14:paraId="15746985">
      <w:pPr>
        <w:spacing w:before="80" w:after="0"/>
        <w:jc w:val="center"/>
      </w:pPr>
      <w:r>
        <w:drawing>
          <wp:inline distT="0" distB="0" distL="114300" distR="114300">
            <wp:extent cx="1297940" cy="335280"/>
            <wp:effectExtent l="0" t="0" r="16510" b="698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8439" cy="3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BDE4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地转风速度（与等压线平行，风速正比于等压线间距/梯度）</w:t>
      </w:r>
    </w:p>
    <w:p w14:paraId="3CB5D3C4">
      <w:pPr>
        <w:spacing w:after="120" w:line="312" w:lineRule="auto"/>
      </w:pPr>
      <w:r>
        <w:rPr>
          <w:rFonts w:ascii="微软雅黑" w:hAnsi="微软雅黑" w:eastAsia="微软雅黑"/>
          <w:b/>
          <w:color w:val="1B7A5C"/>
        </w:rPr>
        <w:t>大气边界层 (ABL)</w:t>
      </w:r>
      <w:r>
        <w:rPr>
          <w:rFonts w:ascii="微软雅黑" w:hAnsi="微软雅黑" w:eastAsia="微软雅黑"/>
          <w:b w:val="0"/>
        </w:rPr>
        <w:t xml:space="preserve"> 内还需计入摩擦力（与风速、地面粗糙度、热力稳定度有关），风向向低压一侧偏转，形成摩擦风。</w:t>
      </w:r>
    </w:p>
    <w:p w14:paraId="43E55903">
      <w:pPr>
        <w:pStyle w:val="4"/>
      </w:pPr>
      <w:r>
        <w:rPr>
          <w:rFonts w:ascii="微软雅黑" w:hAnsi="微软雅黑" w:eastAsia="微软雅黑"/>
          <w:color w:val="1F4E79"/>
        </w:rPr>
        <w:t>3.3 风资源与风电功率评估</w:t>
      </w:r>
    </w:p>
    <w:p w14:paraId="7E1239C8">
      <w:pPr>
        <w:spacing w:after="100" w:line="312" w:lineRule="auto"/>
      </w:pPr>
      <w:r>
        <w:rPr>
          <w:rFonts w:ascii="微软雅黑" w:hAnsi="微软雅黑" w:eastAsia="微软雅黑"/>
          <w:b w:val="0"/>
        </w:rPr>
        <w:t xml:space="preserve">风速数据常用 </w:t>
      </w:r>
      <w:r>
        <w:rPr>
          <w:rFonts w:ascii="微软雅黑" w:hAnsi="微软雅黑" w:eastAsia="微软雅黑"/>
          <w:b/>
          <w:color w:val="1B7A5C"/>
        </w:rPr>
        <w:t>Weibull 分布</w:t>
      </w:r>
      <w:r>
        <w:rPr>
          <w:rFonts w:ascii="微软雅黑" w:hAnsi="微软雅黑" w:eastAsia="微软雅黑"/>
          <w:b w:val="0"/>
        </w:rPr>
        <w:t>拟合（形状参数 k≈2，此时为 Rayleigh 分布）：</w:t>
      </w:r>
    </w:p>
    <w:p w14:paraId="1F393531">
      <w:pPr>
        <w:spacing w:before="80" w:after="0"/>
        <w:jc w:val="center"/>
      </w:pPr>
      <w:r>
        <w:drawing>
          <wp:inline distT="0" distB="0" distL="114300" distR="114300">
            <wp:extent cx="2380615" cy="365760"/>
            <wp:effectExtent l="0" t="0" r="0" b="1524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09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4F7C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Weibull 概率密度函数（A 为尺度参数，接近平均风速；k 为形状参数）</w:t>
      </w:r>
    </w:p>
    <w:p w14:paraId="5E0B3842">
      <w:pPr>
        <w:spacing w:before="80" w:after="0"/>
        <w:jc w:val="center"/>
      </w:pPr>
      <w:r>
        <w:drawing>
          <wp:inline distT="0" distB="0" distL="114300" distR="114300">
            <wp:extent cx="3209290" cy="356235"/>
            <wp:effectExtent l="0" t="0" r="10160" b="571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BBF7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Weibull 均值与三次方均值（Γ 为 Gamma 函数；⋮x³ 直接影响风能资源量）</w:t>
      </w:r>
    </w:p>
    <w:p w14:paraId="52737EFF">
      <w:pPr>
        <w:spacing w:before="80"/>
        <w:jc w:val="center"/>
      </w:pPr>
      <w:r>
        <w:drawing>
          <wp:inline distT="0" distB="0" distL="114300" distR="114300">
            <wp:extent cx="4754880" cy="730250"/>
            <wp:effectExtent l="0" t="0" r="0" b="1333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3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E5BF">
      <w:pPr>
        <w:spacing w:after="160"/>
        <w:jc w:val="center"/>
      </w:pPr>
      <w:r>
        <w:rPr>
          <w:rFonts w:ascii="微软雅黑" w:hAnsi="微软雅黑" w:eastAsia="微软雅黑"/>
          <w:color w:val="595959"/>
          <w:sz w:val="17"/>
        </w:rPr>
        <w:t>图 3-1　不同形状参数 k 的 Weibull 风频分布</w:t>
      </w:r>
    </w:p>
    <w:p w14:paraId="0E9A5A0A">
      <w:pPr>
        <w:spacing w:before="80"/>
        <w:jc w:val="center"/>
      </w:pPr>
      <w:r>
        <w:drawing>
          <wp:inline distT="0" distB="0" distL="114300" distR="114300">
            <wp:extent cx="4754880" cy="2498090"/>
            <wp:effectExtent l="0" t="0" r="7620" b="1651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38C3">
      <w:pPr>
        <w:spacing w:after="160"/>
        <w:jc w:val="center"/>
      </w:pPr>
      <w:r>
        <w:rPr>
          <w:rFonts w:ascii="微软雅黑" w:hAnsi="微软雅黑" w:eastAsia="微软雅黑"/>
          <w:color w:val="595959"/>
          <w:sz w:val="17"/>
        </w:rPr>
        <w:t>图 3-2　风力发电机功率曲线（切入 → 额定 → 切出风速）</w:t>
      </w:r>
    </w:p>
    <w:p w14:paraId="63F86F9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C00000"/>
        </w:rPr>
        <w:t>风电功率与风速三次方成正比（P ∝ v³）</w:t>
      </w:r>
      <w:r>
        <w:rPr>
          <w:rFonts w:ascii="微软雅黑" w:hAnsi="微软雅黑" w:eastAsia="微软雅黑"/>
          <w:b w:val="0"/>
        </w:rPr>
        <w:t>，故风速微小误差会被显著放大——</w:t>
      </w:r>
      <w:r>
        <w:rPr>
          <w:rFonts w:ascii="微软雅黑" w:hAnsi="微软雅黑" w:eastAsia="微软雅黑"/>
          <w:b/>
          <w:color w:val="1B7A5C"/>
        </w:rPr>
        <w:t>每相差一级风速差 2 m/s，风电出力对 0.1 m/s 变化都很敏感</w:t>
      </w:r>
      <w:r>
        <w:rPr>
          <w:rFonts w:ascii="微软雅黑" w:hAnsi="微软雅黑" w:eastAsia="微软雅黑"/>
          <w:b w:val="0"/>
        </w:rPr>
        <w:t>。</w:t>
      </w:r>
    </w:p>
    <w:p w14:paraId="06C5A9C1">
      <w:pPr>
        <w:pStyle w:val="4"/>
      </w:pPr>
      <w:r>
        <w:rPr>
          <w:rFonts w:ascii="微软雅黑" w:hAnsi="微软雅黑" w:eastAsia="微软雅黑"/>
          <w:color w:val="1F4E79"/>
        </w:rPr>
        <w:t>3.4 中国新能源气象服务</w:t>
      </w:r>
    </w:p>
    <w:p w14:paraId="1FD09214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资源普查</w:t>
      </w:r>
      <w:r>
        <w:rPr>
          <w:rFonts w:ascii="微软雅黑" w:hAnsi="微软雅黑" w:eastAsia="微软雅黑"/>
          <w:b w:val="0"/>
        </w:rPr>
        <w:t xml:space="preserve">：全国形成 </w:t>
      </w:r>
      <w:r>
        <w:rPr>
          <w:rFonts w:ascii="微软雅黑" w:hAnsi="微软雅黑" w:eastAsia="微软雅黑"/>
          <w:b/>
          <w:color w:val="1B7A5C"/>
        </w:rPr>
        <w:t>1 km×1 km</w:t>
      </w:r>
      <w:r>
        <w:rPr>
          <w:rFonts w:ascii="微软雅黑" w:hAnsi="微软雅黑" w:eastAsia="微软雅黑"/>
          <w:b w:val="0"/>
        </w:rPr>
        <w:t xml:space="preserve"> 风资源图谱与 </w:t>
      </w:r>
      <w:r>
        <w:rPr>
          <w:rFonts w:ascii="微软雅黑" w:hAnsi="微软雅黑" w:eastAsia="微软雅黑"/>
          <w:b/>
          <w:color w:val="1B7A5C"/>
        </w:rPr>
        <w:t>3 km×3 km</w:t>
      </w:r>
      <w:r>
        <w:rPr>
          <w:rFonts w:ascii="微软雅黑" w:hAnsi="微软雅黑" w:eastAsia="微软雅黑"/>
          <w:b w:val="0"/>
        </w:rPr>
        <w:t xml:space="preserve"> 辐照资源图谱，重点地区风资源细化至 </w:t>
      </w:r>
      <w:r>
        <w:rPr>
          <w:rFonts w:ascii="微软雅黑" w:hAnsi="微软雅黑" w:eastAsia="微软雅黑"/>
          <w:b/>
          <w:color w:val="1B7A5C"/>
        </w:rPr>
        <w:t>200 m×200 m</w:t>
      </w:r>
      <w:r>
        <w:rPr>
          <w:rFonts w:ascii="微软雅黑" w:hAnsi="微软雅黑" w:eastAsia="微软雅黑"/>
          <w:b w:val="0"/>
        </w:rPr>
        <w:t>；可探测全国 1 km、重点区 100 m 分辨率任意高度层风能资源。</w:t>
      </w:r>
    </w:p>
    <w:p w14:paraId="3107B9E2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预报精度瓶颈</w:t>
      </w:r>
      <w:r>
        <w:rPr>
          <w:rFonts w:ascii="微软雅黑" w:hAnsi="微软雅黑" w:eastAsia="微软雅黑"/>
          <w:b w:val="0"/>
        </w:rPr>
        <w:t xml:space="preserve">：全球主流机构风速预报误差普遍约 </w:t>
      </w:r>
      <w:r>
        <w:rPr>
          <w:rFonts w:ascii="微软雅黑" w:hAnsi="微软雅黑" w:eastAsia="微软雅黑"/>
          <w:b/>
          <w:color w:val="1B7A5C"/>
        </w:rPr>
        <w:t>2 m/s</w:t>
      </w:r>
      <w:r>
        <w:rPr>
          <w:rFonts w:ascii="微软雅黑" w:hAnsi="微软雅黑" w:eastAsia="微软雅黑"/>
          <w:b w:val="0"/>
        </w:rPr>
        <w:t xml:space="preserve">，导致风机功率预报绝对误差约 </w:t>
      </w:r>
      <w:r>
        <w:rPr>
          <w:rFonts w:ascii="微软雅黑" w:hAnsi="微软雅黑" w:eastAsia="微软雅黑"/>
          <w:b/>
          <w:color w:val="1B7A5C"/>
        </w:rPr>
        <w:t>40%</w:t>
      </w:r>
      <w:r>
        <w:rPr>
          <w:rFonts w:ascii="微软雅黑" w:hAnsi="微软雅黑" w:eastAsia="微软雅黑"/>
          <w:b w:val="0"/>
        </w:rPr>
        <w:t>，难以满足电力调度与现货交易需求。</w:t>
      </w:r>
    </w:p>
    <w:p w14:paraId="10C75440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光伏扶贫</w:t>
      </w:r>
      <w:r>
        <w:rPr>
          <w:rFonts w:ascii="微软雅黑" w:hAnsi="微软雅黑" w:eastAsia="微软雅黑"/>
          <w:b w:val="0"/>
        </w:rPr>
        <w:t>：对全国 832 个国家级贫困县太阳能数据分析，得出“</w:t>
      </w:r>
      <w:r>
        <w:rPr>
          <w:rFonts w:ascii="微软雅黑" w:hAnsi="微软雅黑" w:eastAsia="微软雅黑"/>
          <w:b/>
          <w:color w:val="1B7A5C"/>
        </w:rPr>
        <w:t>75% 的贫困县太阳能较丰富、适合光伏发电</w:t>
      </w:r>
      <w:r>
        <w:rPr>
          <w:rFonts w:ascii="微软雅黑" w:hAnsi="微软雅黑" w:eastAsia="微软雅黑"/>
          <w:b w:val="0"/>
        </w:rPr>
        <w:t xml:space="preserve">”，据此确定 </w:t>
      </w:r>
      <w:r>
        <w:rPr>
          <w:rFonts w:ascii="微软雅黑" w:hAnsi="微软雅黑" w:eastAsia="微软雅黑"/>
          <w:b/>
          <w:color w:val="1B7A5C"/>
        </w:rPr>
        <w:t>471 个光伏扶贫重点县</w:t>
      </w:r>
      <w:r>
        <w:rPr>
          <w:rFonts w:ascii="微软雅黑" w:hAnsi="微软雅黑" w:eastAsia="微软雅黑"/>
          <w:b w:val="0"/>
        </w:rPr>
        <w:t>。</w:t>
      </w:r>
    </w:p>
    <w:p w14:paraId="028A2500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业务产品</w:t>
      </w:r>
      <w:r>
        <w:rPr>
          <w:rFonts w:ascii="微软雅黑" w:hAnsi="微软雅黑" w:eastAsia="微软雅黑"/>
          <w:b w:val="0"/>
        </w:rPr>
        <w:t>：2022 年中国气象局下发风能太阳能短期预报产品（时间分辨率 15 min、空间 9 km、预报时效 126 h）；连续发布《中国风能太阳能资源年景公报》《光伏扶贫太阳能资源年景评估报告》。</w:t>
      </w:r>
    </w:p>
    <w:p w14:paraId="7DFBC9B6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“气象+能源”赋能</w:t>
      </w:r>
      <w:r>
        <w:rPr>
          <w:rFonts w:ascii="微软雅黑" w:hAnsi="微软雅黑" w:eastAsia="微软雅黑"/>
          <w:b w:val="0"/>
        </w:rPr>
        <w:t>：与国网、南网、三峡集团等央企合作，提供风/光资源评估、微观选址、发功率预报及台风/雷电/覆冰等</w:t>
      </w:r>
      <w:r>
        <w:rPr>
          <w:rFonts w:ascii="微软雅黑" w:hAnsi="微软雅黑" w:eastAsia="微软雅黑"/>
          <w:b/>
          <w:color w:val="1B7A5C"/>
        </w:rPr>
        <w:t>高影响天气预警</w:t>
      </w:r>
      <w:r>
        <w:rPr>
          <w:rFonts w:ascii="微软雅黑" w:hAnsi="微软雅黑" w:eastAsia="微软雅黑"/>
          <w:b w:val="0"/>
        </w:rPr>
        <w:t>，保障能源保供与电网安全。</w:t>
      </w:r>
    </w:p>
    <w:p w14:paraId="1B165328">
      <w:r>
        <w:br w:type="page"/>
      </w:r>
    </w:p>
    <w:p w14:paraId="33322819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第四章　人工智能在气象领域的应用</w:t>
      </w:r>
    </w:p>
    <w:p w14:paraId="3E38347C">
      <w:pPr>
        <w:pStyle w:val="4"/>
      </w:pPr>
      <w:r>
        <w:rPr>
          <w:rFonts w:ascii="微软雅黑" w:hAnsi="微软雅黑" w:eastAsia="微软雅黑"/>
          <w:color w:val="1F4E79"/>
        </w:rPr>
        <w:t>4.1 AI 气象发展脉络</w:t>
      </w:r>
    </w:p>
    <w:p w14:paraId="5B7213DB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1984 年</w:t>
      </w:r>
      <w:r>
        <w:rPr>
          <w:rFonts w:ascii="微软雅黑" w:hAnsi="微软雅黑" w:eastAsia="微软雅黑"/>
          <w:b w:val="0"/>
        </w:rPr>
        <w:t>：AI 首次用于天气预报（灾害性雷暴预报）。</w:t>
      </w:r>
    </w:p>
    <w:p w14:paraId="783AD737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1990 年代</w:t>
      </w:r>
      <w:r>
        <w:rPr>
          <w:rFonts w:ascii="微软雅黑" w:hAnsi="微软雅黑" w:eastAsia="微软雅黑"/>
          <w:b w:val="0"/>
        </w:rPr>
        <w:t>：人工神经网络 (ANN) 成为主流，扩展到温度、湿度、降水、云图与大气成分预测。</w:t>
      </w:r>
    </w:p>
    <w:p w14:paraId="2560A690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深度学习时代</w:t>
      </w:r>
      <w:r>
        <w:rPr>
          <w:rFonts w:ascii="微软雅黑" w:hAnsi="微软雅黑" w:eastAsia="微软雅黑"/>
          <w:b w:val="0"/>
        </w:rPr>
        <w:t>：卷积神经网络 (CNN)、循环神经网络 (RNN)、Transformer 用于气象预测，可自动提取特征、处理多元时间序列并预测具时空依赖的复杂现象。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68841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3F8"/>
          </w:tcPr>
          <w:p w14:paraId="491E1F2F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F4E79"/>
              </w:rPr>
              <w:t xml:space="preserve">【AI 之于气象的优势】 </w:t>
            </w:r>
            <w:r>
              <w:rPr>
                <w:rFonts w:ascii="微软雅黑" w:hAnsi="微软雅黑" w:eastAsia="微软雅黑"/>
                <w:b w:val="0"/>
              </w:rPr>
              <w:t>传统科学计算（如气象）以海量偏微分方程（N–S 方程等）求解，并行度低、耗时长。</w:t>
            </w:r>
            <w:r>
              <w:rPr>
                <w:rFonts w:ascii="微软雅黑" w:hAnsi="微软雅黑" w:eastAsia="微软雅黑"/>
                <w:b/>
                <w:color w:val="1B7A5C"/>
              </w:rPr>
              <w:t>AI 擅长拟合高噪声、强非线性、高仿真误差的复杂数据关系</w:t>
            </w:r>
            <w:r>
              <w:rPr>
                <w:rFonts w:ascii="微软雅黑" w:hAnsi="微软雅黑" w:eastAsia="微软雅黑"/>
                <w:b w:val="0"/>
              </w:rPr>
              <w:t>，恰好契合气象预报场景。</w:t>
            </w:r>
          </w:p>
        </w:tc>
      </w:tr>
    </w:tbl>
    <w:p w14:paraId="56D58102">
      <w:pPr>
        <w:spacing w:after="0"/>
      </w:pPr>
    </w:p>
    <w:p w14:paraId="5155FA58">
      <w:pPr>
        <w:pStyle w:val="4"/>
      </w:pPr>
      <w:r>
        <w:rPr>
          <w:rFonts w:ascii="微软雅黑" w:hAnsi="微软雅黑" w:eastAsia="微软雅黑"/>
          <w:color w:val="1F4E79"/>
        </w:rPr>
        <w:t>4.2 盘古气象大模型（Pangu-Weather）</w:t>
      </w:r>
    </w:p>
    <w:p w14:paraId="15C224F2">
      <w:pPr>
        <w:spacing w:after="120" w:line="312" w:lineRule="auto"/>
      </w:pPr>
      <w:r>
        <w:rPr>
          <w:rFonts w:ascii="微软雅黑" w:hAnsi="微软雅黑" w:eastAsia="微软雅黑"/>
          <w:b w:val="0"/>
        </w:rPr>
        <w:t>华为云</w:t>
      </w:r>
      <w:r>
        <w:rPr>
          <w:rFonts w:ascii="微软雅黑" w:hAnsi="微软雅黑" w:eastAsia="微软雅黑"/>
          <w:b/>
          <w:color w:val="1B7A5C"/>
        </w:rPr>
        <w:t>盘古大模型</w:t>
      </w:r>
      <w:r>
        <w:rPr>
          <w:rFonts w:ascii="微软雅黑" w:hAnsi="微软雅黑" w:eastAsia="微软雅黑"/>
          <w:b w:val="0"/>
        </w:rPr>
        <w:t xml:space="preserve">分 </w:t>
      </w:r>
      <w:r>
        <w:rPr>
          <w:rFonts w:ascii="微软雅黑" w:hAnsi="微软雅黑" w:eastAsia="微软雅黑"/>
          <w:b/>
          <w:color w:val="1B7A5C"/>
        </w:rPr>
        <w:t>L0（基础通用大模型）→ L1（行业大模型）→ L2（细分场景部署模型）</w:t>
      </w:r>
      <w:r>
        <w:rPr>
          <w:rFonts w:ascii="微软雅黑" w:hAnsi="微软雅黑" w:eastAsia="微软雅黑"/>
          <w:b w:val="0"/>
        </w:rPr>
        <w:t xml:space="preserve"> 三层，采用“预训练 + 微调 + 迭代”范式，解决 AI 应用碎片化问题。</w:t>
      </w:r>
      <w:r>
        <w:rPr>
          <w:rFonts w:ascii="微软雅黑" w:hAnsi="微软雅黑" w:eastAsia="微软雅黑"/>
          <w:b/>
          <w:color w:val="1B7A5C"/>
        </w:rPr>
        <w:t>盘古气象大模型</w:t>
      </w:r>
      <w:r>
        <w:rPr>
          <w:rFonts w:ascii="微软雅黑" w:hAnsi="微软雅黑" w:eastAsia="微软雅黑"/>
          <w:b w:val="0"/>
        </w:rPr>
        <w:t>是 L1 行业大模型的代表。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1509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679CAEF6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 xml:space="preserve">【盘古气象大模型核心指标】 </w:t>
            </w:r>
            <w:r>
              <w:rPr>
                <w:rFonts w:ascii="微软雅黑" w:hAnsi="微软雅黑" w:eastAsia="微软雅黑"/>
                <w:b w:val="0"/>
              </w:rPr>
              <w:t>全球首个精度超过传统数值预报的 AI 模型：</w:t>
            </w:r>
            <w:r>
              <w:rPr>
                <w:rFonts w:ascii="微软雅黑" w:hAnsi="微软雅黑" w:eastAsia="微软雅黑"/>
                <w:b/>
                <w:color w:val="1B7A5C"/>
              </w:rPr>
              <w:t>1 小时—7 天预报精度均高于传统数值方法</w:t>
            </w:r>
            <w:r>
              <w:rPr>
                <w:rFonts w:ascii="微软雅黑" w:hAnsi="微软雅黑" w:eastAsia="微软雅黑"/>
                <w:b w:val="0"/>
              </w:rPr>
              <w:t xml:space="preserve">，预报速度提升约 </w:t>
            </w:r>
            <w:r>
              <w:rPr>
                <w:rFonts w:ascii="微软雅黑" w:hAnsi="微软雅黑" w:eastAsia="微软雅黑"/>
                <w:b/>
                <w:color w:val="1B7A5C"/>
              </w:rPr>
              <w:t>1 万倍</w:t>
            </w:r>
            <w:r>
              <w:rPr>
                <w:rFonts w:ascii="微软雅黑" w:hAnsi="微软雅黑" w:eastAsia="微软雅黑"/>
                <w:b w:val="0"/>
              </w:rPr>
              <w:t xml:space="preserve">（秒级全球预报）；水平分辨率 </w:t>
            </w:r>
            <w:r>
              <w:rPr>
                <w:rFonts w:ascii="微软雅黑" w:hAnsi="微软雅黑" w:eastAsia="微软雅黑"/>
                <w:b/>
                <w:color w:val="1B7A5C"/>
              </w:rPr>
              <w:t>0.25°×0.25°</w:t>
            </w:r>
            <w:r>
              <w:rPr>
                <w:rFonts w:ascii="微软雅黑" w:hAnsi="微软雅黑" w:eastAsia="微软雅黑"/>
                <w:b w:val="0"/>
              </w:rPr>
              <w:t xml:space="preserve">、时间分辨率 </w:t>
            </w:r>
            <w:r>
              <w:rPr>
                <w:rFonts w:ascii="微软雅黑" w:hAnsi="微软雅黑" w:eastAsia="微软雅黑"/>
                <w:b/>
                <w:color w:val="1B7A5C"/>
              </w:rPr>
              <w:t>1 小时</w:t>
            </w:r>
            <w:r>
              <w:rPr>
                <w:rFonts w:ascii="微软雅黑" w:hAnsi="微软雅黑" w:eastAsia="微软雅黑"/>
                <w:b w:val="0"/>
              </w:rPr>
              <w:t xml:space="preserve">、覆盖 </w:t>
            </w:r>
            <w:r>
              <w:rPr>
                <w:rFonts w:ascii="微软雅黑" w:hAnsi="微软雅黑" w:eastAsia="微软雅黑"/>
                <w:b/>
                <w:color w:val="1B7A5C"/>
              </w:rPr>
              <w:t>13 层</w:t>
            </w:r>
            <w:r>
              <w:rPr>
                <w:rFonts w:ascii="微软雅黑" w:hAnsi="微软雅黑" w:eastAsia="微软雅黑"/>
                <w:b w:val="0"/>
              </w:rPr>
              <w:t xml:space="preserve">垂直高度；在热带气旋（台风）路径预测上精度较欧洲中期天气预报中心 (ECMWF) 提升 </w:t>
            </w:r>
            <w:r>
              <w:rPr>
                <w:rFonts w:ascii="微软雅黑" w:hAnsi="微软雅黑" w:eastAsia="微软雅黑"/>
                <w:b/>
                <w:color w:val="1B7A5C"/>
              </w:rPr>
              <w:t>20% 以上</w:t>
            </w:r>
            <w:r>
              <w:rPr>
                <w:rFonts w:ascii="微软雅黑" w:hAnsi="微软雅黑" w:eastAsia="微软雅黑"/>
                <w:b w:val="0"/>
              </w:rPr>
              <w:t xml:space="preserve">，成果发表于 </w:t>
            </w:r>
            <w:r>
              <w:rPr>
                <w:rFonts w:ascii="微软雅黑" w:hAnsi="微软雅黑" w:eastAsia="微软雅黑"/>
                <w:b/>
                <w:color w:val="1B7A5C"/>
              </w:rPr>
              <w:t>Nature</w:t>
            </w:r>
            <w:r>
              <w:rPr>
                <w:rFonts w:ascii="微软雅黑" w:hAnsi="微软雅黑" w:eastAsia="微软雅黑"/>
                <w:b w:val="0"/>
              </w:rPr>
              <w:t xml:space="preserve"> 正刊。</w:t>
            </w:r>
          </w:p>
        </w:tc>
      </w:tr>
    </w:tbl>
    <w:p w14:paraId="68A378A9">
      <w:pPr>
        <w:spacing w:after="0"/>
      </w:pPr>
    </w:p>
    <w:p w14:paraId="0C5B3DB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三维架构</w:t>
      </w:r>
      <w:r>
        <w:rPr>
          <w:rFonts w:ascii="微软雅黑" w:hAnsi="微软雅黑" w:eastAsia="微软雅黑"/>
          <w:b w:val="0"/>
        </w:rPr>
        <w:t>：将气象要素按高度分层输入 3D 深度网络，兼顾海平面气压、高空位势、温湿风等多要素。</w:t>
      </w:r>
    </w:p>
    <w:p w14:paraId="1E2DEFAA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层次化时域聚合策略</w:t>
      </w:r>
      <w:r>
        <w:rPr>
          <w:rFonts w:ascii="微软雅黑" w:hAnsi="微软雅黑" w:eastAsia="微软雅黑"/>
          <w:b w:val="0"/>
        </w:rPr>
        <w:t>：用于减少模型迭代误差（这是延长预报时效、稳定长程预测的关键难点）。</w:t>
      </w:r>
    </w:p>
    <w:p w14:paraId="6FD67633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与传统数值预报对比</w:t>
      </w:r>
      <w:r>
        <w:rPr>
          <w:rFonts w:ascii="微软雅黑" w:hAnsi="微软雅黑" w:eastAsia="微软雅黑"/>
          <w:b w:val="0"/>
        </w:rPr>
        <w:t>：传统数值预报以物理方程+资料同化为核心、计算昂贵；AI 方法以数据驱动、推理快，二者融合（AI for Science）是趋势。</w:t>
      </w:r>
    </w:p>
    <w:p w14:paraId="144CBC61">
      <w:pPr>
        <w:spacing w:after="120" w:line="312" w:lineRule="auto"/>
      </w:pPr>
      <w:r>
        <w:rPr>
          <w:rFonts w:ascii="微软雅黑" w:hAnsi="微软雅黑" w:eastAsia="微软雅黑"/>
          <w:b w:val="0"/>
        </w:rPr>
        <w:t xml:space="preserve">未来方向：引入更多气象要素训练、加入时间维度训练 </w:t>
      </w:r>
      <w:r>
        <w:rPr>
          <w:rFonts w:ascii="微软雅黑" w:hAnsi="微软雅黑" w:eastAsia="微软雅黑"/>
          <w:b/>
          <w:color w:val="1B7A5C"/>
        </w:rPr>
        <w:t>4D 深度网络</w:t>
      </w:r>
      <w:r>
        <w:rPr>
          <w:rFonts w:ascii="微软雅黑" w:hAnsi="微软雅黑" w:eastAsia="微软雅黑"/>
          <w:b w:val="0"/>
        </w:rPr>
        <w:t>、增大网络规模等，均依赖</w:t>
      </w:r>
      <w:r>
        <w:rPr>
          <w:rFonts w:ascii="微软雅黑" w:hAnsi="微软雅黑" w:eastAsia="微软雅黑"/>
          <w:b/>
          <w:color w:val="1B7A5C"/>
        </w:rPr>
        <w:t>更强算力（GPU、内存、浮点能力）</w:t>
      </w:r>
      <w:r>
        <w:rPr>
          <w:rFonts w:ascii="微软雅黑" w:hAnsi="微软雅黑" w:eastAsia="微软雅黑"/>
          <w:b w:val="0"/>
        </w:rPr>
        <w:t>。</w:t>
      </w:r>
    </w:p>
    <w:p w14:paraId="0F2BD2C1">
      <w:pPr>
        <w:pStyle w:val="4"/>
      </w:pPr>
      <w:r>
        <w:rPr>
          <w:rFonts w:ascii="微软雅黑" w:hAnsi="微软雅黑" w:eastAsia="微软雅黑"/>
          <w:color w:val="1F4E79"/>
        </w:rPr>
        <w:t>4.3 “气象+”与 AI 的行业应用</w:t>
      </w:r>
    </w:p>
    <w:p w14:paraId="2B490A1B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盘古矿山大模型</w:t>
      </w:r>
      <w:r>
        <w:rPr>
          <w:rFonts w:ascii="微软雅黑" w:hAnsi="微软雅黑" w:eastAsia="微软雅黑"/>
          <w:b w:val="0"/>
        </w:rPr>
        <w:t>：5G+AI 全景拼图、运输皮带异物识别（98% 精度）、井下作业规范预警。</w:t>
      </w:r>
    </w:p>
    <w:p w14:paraId="2D913BC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盘古视觉/电力大模型</w:t>
      </w:r>
      <w:r>
        <w:rPr>
          <w:rFonts w:ascii="微软雅黑" w:hAnsi="微软雅黑" w:eastAsia="微软雅黑"/>
          <w:b w:val="0"/>
        </w:rPr>
        <w:t>：铁路缺陷检测（郑州段准确率 99%+）、无人机电力巡检。</w:t>
      </w:r>
    </w:p>
    <w:p w14:paraId="1609BADF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AI 预警</w:t>
      </w:r>
      <w:r>
        <w:rPr>
          <w:rFonts w:ascii="微软雅黑" w:hAnsi="微软雅黑" w:eastAsia="微软雅黑"/>
          <w:b w:val="0"/>
        </w:rPr>
        <w:t>：台风、暴雨、高温、覆冰等高影响天气的分钟级—小时级临近预警，服务交通、能源、应急。</w:t>
      </w:r>
    </w:p>
    <w:p w14:paraId="58558BE0">
      <w:r>
        <w:br w:type="page"/>
      </w:r>
    </w:p>
    <w:p w14:paraId="21FA12B7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第五章　前沿初探主题集萃</w:t>
      </w:r>
    </w:p>
    <w:p w14:paraId="6A32572D">
      <w:pPr>
        <w:pStyle w:val="4"/>
      </w:pPr>
      <w:r>
        <w:rPr>
          <w:rFonts w:ascii="微软雅黑" w:hAnsi="微软雅黑" w:eastAsia="微软雅黑"/>
          <w:color w:val="1F4E79"/>
        </w:rPr>
        <w:t>5.1 龙卷风及其可预报性</w:t>
      </w:r>
    </w:p>
    <w:p w14:paraId="2B48F993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形成机制</w:t>
      </w:r>
      <w:r>
        <w:rPr>
          <w:rFonts w:ascii="微软雅黑" w:hAnsi="微软雅黑" w:eastAsia="微软雅黑"/>
          <w:b w:val="0"/>
        </w:rPr>
        <w:t>：强上升气流对低层小尺度涡旋的</w:t>
      </w:r>
      <w:r>
        <w:rPr>
          <w:rFonts w:ascii="微软雅黑" w:hAnsi="微软雅黑" w:eastAsia="微软雅黑"/>
          <w:b/>
          <w:color w:val="1B7A5C"/>
        </w:rPr>
        <w:t>拉伸作用</w:t>
      </w:r>
      <w:r>
        <w:rPr>
          <w:rFonts w:ascii="微软雅黑" w:hAnsi="微软雅黑" w:eastAsia="微软雅黑"/>
          <w:b w:val="0"/>
        </w:rPr>
        <w:t>造成强烈扰动；发生于大气层结极不稳定、抬升力强、水汽充沛、</w:t>
      </w:r>
      <w:r>
        <w:rPr>
          <w:rFonts w:ascii="微软雅黑" w:hAnsi="微软雅黑" w:eastAsia="微软雅黑"/>
          <w:b/>
          <w:color w:val="1B7A5C"/>
        </w:rPr>
        <w:t>垂直风切变极强</w:t>
      </w:r>
      <w:r>
        <w:rPr>
          <w:rFonts w:ascii="微软雅黑" w:hAnsi="微软雅黑" w:eastAsia="微软雅黑"/>
          <w:b w:val="0"/>
        </w:rPr>
        <w:t>的极端条件下。</w:t>
      </w:r>
    </w:p>
    <w:p w14:paraId="71374FC4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强度分级</w:t>
      </w:r>
      <w:r>
        <w:rPr>
          <w:rFonts w:ascii="微软雅黑" w:hAnsi="微软雅黑" w:eastAsia="微软雅黑"/>
          <w:b w:val="0"/>
        </w:rPr>
        <w:t>：1971 年藤田哲提出</w:t>
      </w:r>
      <w:r>
        <w:rPr>
          <w:rFonts w:ascii="微软雅黑" w:hAnsi="微软雅黑" w:eastAsia="微软雅黑"/>
          <w:b/>
          <w:color w:val="1B7A5C"/>
        </w:rPr>
        <w:t>藤田级数 (F-scale)</w:t>
      </w:r>
      <w:r>
        <w:rPr>
          <w:rFonts w:ascii="微软雅黑" w:hAnsi="微软雅黑" w:eastAsia="微软雅黑"/>
          <w:b w:val="0"/>
        </w:rPr>
        <w:t>，2007 年启用</w:t>
      </w:r>
      <w:r>
        <w:rPr>
          <w:rFonts w:ascii="微软雅黑" w:hAnsi="微软雅黑" w:eastAsia="微软雅黑"/>
          <w:b/>
          <w:color w:val="1B7A5C"/>
        </w:rPr>
        <w:t>增强藤田级数 (EF-scale)</w:t>
      </w:r>
      <w:r>
        <w:rPr>
          <w:rFonts w:ascii="微软雅黑" w:hAnsi="微软雅黑" w:eastAsia="微软雅黑"/>
          <w:b w:val="0"/>
        </w:rPr>
        <w:t xml:space="preserve">，分 </w:t>
      </w:r>
      <w:r>
        <w:rPr>
          <w:rFonts w:ascii="微软雅黑" w:hAnsi="微软雅黑" w:eastAsia="微软雅黑"/>
          <w:b/>
          <w:color w:val="1B7A5C"/>
        </w:rPr>
        <w:t>EF0~EF5</w:t>
      </w:r>
      <w:r>
        <w:rPr>
          <w:rFonts w:ascii="微软雅黑" w:hAnsi="微软雅黑" w:eastAsia="微软雅黑"/>
          <w:b w:val="0"/>
        </w:rPr>
        <w:t xml:space="preserve"> 六个等级。</w:t>
      </w:r>
    </w:p>
    <w:p w14:paraId="08F4FC48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分布特征</w:t>
      </w:r>
      <w:r>
        <w:rPr>
          <w:rFonts w:ascii="微软雅黑" w:hAnsi="微软雅黑" w:eastAsia="微软雅黑"/>
          <w:b w:val="0"/>
        </w:rPr>
        <w:t>：中国龙卷集中</w:t>
      </w:r>
      <w:r>
        <w:rPr>
          <w:rFonts w:ascii="微软雅黑" w:hAnsi="微软雅黑" w:eastAsia="微软雅黑"/>
          <w:b/>
          <w:color w:val="1B7A5C"/>
        </w:rPr>
        <w:t>东部、江浙一带</w:t>
      </w:r>
      <w:r>
        <w:rPr>
          <w:rFonts w:ascii="微软雅黑" w:hAnsi="微软雅黑" w:eastAsia="微软雅黑"/>
          <w:b w:val="0"/>
        </w:rPr>
        <w:t>；强龙卷 (≥EF3) 多在东北、华东、华南；理论拟合显示强龙卷集中在 25°~30°N、117°~120°E 区域。</w:t>
      </w:r>
    </w:p>
    <w:p w14:paraId="1434C8FA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灾情</w:t>
      </w:r>
      <w:r>
        <w:rPr>
          <w:rFonts w:ascii="微软雅黑" w:hAnsi="微软雅黑" w:eastAsia="微软雅黑"/>
          <w:b w:val="0"/>
        </w:rPr>
        <w:t xml:space="preserve">：我国年均中等强度以上龙卷约 </w:t>
      </w:r>
      <w:r>
        <w:rPr>
          <w:rFonts w:ascii="微软雅黑" w:hAnsi="微软雅黑" w:eastAsia="微软雅黑"/>
          <w:b/>
          <w:color w:val="1B7A5C"/>
        </w:rPr>
        <w:t>14 次</w:t>
      </w:r>
      <w:r>
        <w:rPr>
          <w:rFonts w:ascii="微软雅黑" w:hAnsi="微软雅黑" w:eastAsia="微软雅黑"/>
          <w:b w:val="0"/>
        </w:rPr>
        <w:t xml:space="preserve">；1961—2010 年共记录强龙卷 </w:t>
      </w:r>
      <w:r>
        <w:rPr>
          <w:rFonts w:ascii="微软雅黑" w:hAnsi="微软雅黑" w:eastAsia="微软雅黑"/>
          <w:b/>
          <w:color w:val="1B7A5C"/>
        </w:rPr>
        <w:t>165 次</w:t>
      </w:r>
      <w:r>
        <w:rPr>
          <w:rFonts w:ascii="微软雅黑" w:hAnsi="微软雅黑" w:eastAsia="微软雅黑"/>
          <w:b w:val="0"/>
        </w:rPr>
        <w:t>（年均 3.3 次），远低于美国每年上千次。</w:t>
      </w:r>
    </w:p>
    <w:p w14:paraId="61946A37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可预报性难点</w:t>
      </w:r>
      <w:r>
        <w:rPr>
          <w:rFonts w:ascii="微软雅黑" w:hAnsi="微软雅黑" w:eastAsia="微软雅黑"/>
          <w:b w:val="0"/>
        </w:rPr>
        <w:t>：龙卷属局地、小尺度（直径多 &lt;100 m）、突发性强对流，生消几分钟到几十分钟，现有观测设备几乎无法直接监测，认定依赖目击或灾调+雷达遥测；</w:t>
      </w:r>
      <w:r>
        <w:rPr>
          <w:rFonts w:ascii="微软雅黑" w:hAnsi="微软雅黑" w:eastAsia="微软雅黑"/>
          <w:b/>
          <w:color w:val="1B7A5C"/>
        </w:rPr>
        <w:t>精准预警是世界性难题</w:t>
      </w:r>
      <w:r>
        <w:rPr>
          <w:rFonts w:ascii="微软雅黑" w:hAnsi="微软雅黑" w:eastAsia="微软雅黑"/>
          <w:b w:val="0"/>
        </w:rPr>
        <w:t>。</w:t>
      </w:r>
    </w:p>
    <w:p w14:paraId="56A4976A">
      <w:pPr>
        <w:pStyle w:val="4"/>
      </w:pPr>
      <w:r>
        <w:rPr>
          <w:rFonts w:ascii="微软雅黑" w:hAnsi="微软雅黑" w:eastAsia="微软雅黑"/>
          <w:color w:val="1F4E79"/>
        </w:rPr>
        <w:t>5.2 化学创造美好生活</w:t>
      </w:r>
    </w:p>
    <w:p w14:paraId="61592B58">
      <w:pPr>
        <w:pStyle w:val="5"/>
      </w:pPr>
      <w:r>
        <w:rPr>
          <w:rFonts w:ascii="微软雅黑" w:hAnsi="微软雅黑" w:eastAsia="微软雅黑"/>
          <w:color w:val="1B7A5C"/>
        </w:rPr>
        <w:t>（1）生活中的化学原理</w:t>
      </w:r>
    </w:p>
    <w:p w14:paraId="7BC06F0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豆腐不宜与菠菜同食</w:t>
      </w:r>
      <w:r>
        <w:rPr>
          <w:rFonts w:ascii="微软雅黑" w:hAnsi="微软雅黑" w:eastAsia="微软雅黑"/>
          <w:b w:val="0"/>
        </w:rPr>
        <w:t>：菠菜/洋葱/竹笋含草酸（草酸钠、草酸氢根），豆腐含钙盐（如硫酸钙），二者生成</w:t>
      </w:r>
      <w:r>
        <w:rPr>
          <w:rFonts w:ascii="微软雅黑" w:hAnsi="微软雅黑" w:eastAsia="微软雅黑"/>
          <w:b/>
          <w:color w:val="1B7A5C"/>
        </w:rPr>
        <w:t>草酸钙 (CaC₂O₄) 沉淀</w:t>
      </w:r>
      <w:r>
        <w:rPr>
          <w:rFonts w:ascii="微软雅黑" w:hAnsi="微软雅黑" w:eastAsia="微软雅黑"/>
          <w:b w:val="0"/>
        </w:rPr>
        <w:t>，是结石诱因之一。</w:t>
      </w:r>
    </w:p>
    <w:p w14:paraId="0FB68BB6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水垢去除</w:t>
      </w:r>
      <w:r>
        <w:rPr>
          <w:rFonts w:ascii="微软雅黑" w:hAnsi="微软雅黑" w:eastAsia="微软雅黑"/>
          <w:b w:val="0"/>
        </w:rPr>
        <w:t>：水垢为碳酸氢钙加热分解生成的</w:t>
      </w:r>
      <w:r>
        <w:rPr>
          <w:rFonts w:ascii="微软雅黑" w:hAnsi="微软雅黑" w:eastAsia="微软雅黑"/>
          <w:b/>
          <w:color w:val="1B7A5C"/>
        </w:rPr>
        <w:t>碳酸钙</w:t>
      </w:r>
      <w:r>
        <w:rPr>
          <w:rFonts w:ascii="微软雅黑" w:hAnsi="微软雅黑" w:eastAsia="微软雅黑"/>
          <w:b w:val="0"/>
        </w:rPr>
        <w:t>；用白醋/盐酸生成可溶性钙盐除去。</w:t>
      </w:r>
    </w:p>
    <w:p w14:paraId="3208340E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水果解酒</w:t>
      </w:r>
      <w:r>
        <w:rPr>
          <w:rFonts w:ascii="微软雅黑" w:hAnsi="微软雅黑" w:eastAsia="微软雅黑"/>
          <w:b w:val="0"/>
        </w:rPr>
        <w:t>：水果中的有机酸（苹果酸、柠檬酸、酒石酸）与乙醇发生</w:t>
      </w:r>
      <w:r>
        <w:rPr>
          <w:rFonts w:ascii="微软雅黑" w:hAnsi="微软雅黑" w:eastAsia="微软雅黑"/>
          <w:b/>
          <w:color w:val="1B7A5C"/>
        </w:rPr>
        <w:t>酯化反应</w:t>
      </w:r>
      <w:r>
        <w:rPr>
          <w:rFonts w:ascii="微软雅黑" w:hAnsi="微软雅黑" w:eastAsia="微软雅黑"/>
          <w:b w:val="0"/>
        </w:rPr>
        <w:t>生成酯类。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51EC7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4600C8F1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 xml:space="preserve">【合成氨反应——现代化学最重要的反应之一】 </w:t>
            </w:r>
            <w:r>
              <w:rPr>
                <w:rFonts w:ascii="微软雅黑" w:hAnsi="微软雅黑" w:eastAsia="微软雅黑"/>
                <w:b w:val="0"/>
              </w:rPr>
              <w:t>哈伯-博施法固氮，年产生约 1.5 亿吨尿素及硝酸铵等共约 2 亿吨氮肥，使全球粮食产量翻番、养活约 70 亿人口。</w:t>
            </w:r>
          </w:p>
        </w:tc>
      </w:tr>
    </w:tbl>
    <w:p w14:paraId="1FB47E64">
      <w:pPr>
        <w:spacing w:after="0"/>
      </w:pPr>
    </w:p>
    <w:p w14:paraId="6529DEE5">
      <w:pPr>
        <w:spacing w:before="80" w:after="0"/>
        <w:jc w:val="center"/>
      </w:pPr>
      <w:r>
        <w:drawing>
          <wp:inline distT="0" distB="0" distL="114300" distR="114300">
            <wp:extent cx="2160905" cy="291465"/>
            <wp:effectExtent l="0" t="0" r="10795" b="1397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1076" cy="29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249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合成氨反应（高温、高压、催化剂）</w:t>
      </w:r>
    </w:p>
    <w:p w14:paraId="18BB76A6">
      <w:pPr>
        <w:spacing w:before="80" w:after="0"/>
        <w:jc w:val="center"/>
      </w:pPr>
      <w:r>
        <w:drawing>
          <wp:inline distT="0" distB="0" distL="114300" distR="114300">
            <wp:extent cx="3241675" cy="328930"/>
            <wp:effectExtent l="0" t="0" r="0" b="1397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208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B37B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草酸钙沉淀生成（豆腐+菠菜）</w:t>
      </w:r>
    </w:p>
    <w:p w14:paraId="3BC08F9D">
      <w:pPr>
        <w:spacing w:before="80" w:after="0"/>
        <w:jc w:val="center"/>
      </w:pPr>
      <w:r>
        <w:drawing>
          <wp:inline distT="0" distB="0" distL="114300" distR="114300">
            <wp:extent cx="6196330" cy="309880"/>
            <wp:effectExtent l="0" t="0" r="0" b="1460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6453" cy="3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DE9C">
      <w:pPr>
        <w:spacing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白醋除水垢（生成可溶性醋酸钙）</w:t>
      </w:r>
    </w:p>
    <w:p w14:paraId="0B3B61C4">
      <w:pPr>
        <w:pStyle w:val="5"/>
      </w:pPr>
      <w:r>
        <w:rPr>
          <w:rFonts w:ascii="微软雅黑" w:hAnsi="微软雅黑" w:eastAsia="微软雅黑"/>
          <w:color w:val="1B7A5C"/>
        </w:rPr>
        <w:t>（2）南大化学前沿</w:t>
      </w:r>
    </w:p>
    <w:p w14:paraId="765739E1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纳米孔测序（黄硕课题组）</w:t>
      </w:r>
      <w:r>
        <w:rPr>
          <w:rFonts w:ascii="微软雅黑" w:hAnsi="微软雅黑" w:eastAsia="微软雅黑"/>
          <w:b w:val="0"/>
        </w:rPr>
        <w:t>：纳米孔为直径几~几十纳米的蛋白/无机孔；团队</w:t>
      </w:r>
      <w:r>
        <w:rPr>
          <w:rFonts w:ascii="微软雅黑" w:hAnsi="微软雅黑" w:eastAsia="微软雅黑"/>
          <w:b/>
          <w:color w:val="1B7A5C"/>
        </w:rPr>
        <w:t>世界首报多肽纳米孔测序</w:t>
      </w:r>
      <w:r>
        <w:rPr>
          <w:rFonts w:ascii="微软雅黑" w:hAnsi="微软雅黑" w:eastAsia="微软雅黑"/>
          <w:b w:val="0"/>
        </w:rPr>
        <w:t>（基于 NIPSS 技术），具单分子分辨率、读长长、便携等优势，是第三代测序的代表。</w:t>
      </w:r>
    </w:p>
    <w:p w14:paraId="6A0F2BEC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超长有机白光长余辉（郑佑轩课题组）</w:t>
      </w:r>
      <w:r>
        <w:rPr>
          <w:rFonts w:ascii="微软雅黑" w:hAnsi="微软雅黑" w:eastAsia="微软雅黑"/>
          <w:b w:val="0"/>
        </w:rPr>
        <w:t>：有机长余辉材料结构设计灵活、发光色易调、可制柔性薄膜；团队利用双光子电离机制实现</w:t>
      </w:r>
      <w:r>
        <w:rPr>
          <w:rFonts w:ascii="微软雅黑" w:hAnsi="微软雅黑" w:eastAsia="微软雅黑"/>
          <w:b/>
          <w:color w:val="1B7A5C"/>
        </w:rPr>
        <w:t>室温超长白光余辉</w:t>
      </w:r>
      <w:r>
        <w:rPr>
          <w:rFonts w:ascii="微软雅黑" w:hAnsi="微软雅黑" w:eastAsia="微软雅黑"/>
          <w:b w:val="0"/>
        </w:rPr>
        <w:t xml:space="preserve">，移除光源后辉光持续 </w:t>
      </w:r>
      <w:r>
        <w:rPr>
          <w:rFonts w:ascii="微软雅黑" w:hAnsi="微软雅黑" w:eastAsia="微软雅黑"/>
          <w:b/>
          <w:color w:val="1B7A5C"/>
        </w:rPr>
        <w:t>20 分钟以上、最长约 40 分钟</w:t>
      </w:r>
      <w:r>
        <w:rPr>
          <w:rFonts w:ascii="微软雅黑" w:hAnsi="微软雅黑" w:eastAsia="微软雅黑"/>
          <w:b w:val="0"/>
        </w:rPr>
        <w:t>。</w:t>
      </w:r>
    </w:p>
    <w:p w14:paraId="7A2C789E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光催化固氮材料 NJUZ-1（左景林、金钟、马晶、黎书华团队）</w:t>
      </w:r>
      <w:r>
        <w:rPr>
          <w:rFonts w:ascii="微软雅黑" w:hAnsi="微软雅黑" w:eastAsia="微软雅黑"/>
          <w:b w:val="0"/>
        </w:rPr>
        <w:t>：具双氮负离子配位、锌中心、稳定 D-A-D 夹心结构的电荷转移金属配合物，可将空气中 N₂</w:t>
      </w:r>
      <w:r>
        <w:rPr>
          <w:rFonts w:ascii="微软雅黑" w:hAnsi="微软雅黑" w:eastAsia="微软雅黑"/>
          <w:b/>
          <w:color w:val="1B7A5C"/>
        </w:rPr>
        <w:t>光催化还原为 NH₃</w:t>
      </w:r>
      <w:r>
        <w:rPr>
          <w:rFonts w:ascii="微软雅黑" w:hAnsi="微软雅黑" w:eastAsia="微软雅黑"/>
          <w:b w:val="0"/>
        </w:rPr>
        <w:t>，且催化稳定性优异。</w:t>
      </w:r>
    </w:p>
    <w:p w14:paraId="7196CD87">
      <w:pPr>
        <w:pStyle w:val="4"/>
      </w:pPr>
      <w:r>
        <w:rPr>
          <w:rFonts w:ascii="微软雅黑" w:hAnsi="微软雅黑" w:eastAsia="微软雅黑"/>
          <w:color w:val="1F4E79"/>
        </w:rPr>
        <w:t>5.3 荧光与荧光素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1B5A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tcBorders>
              <w:top w:val="single" w:color="1B7A5C" w:sz="8" w:space="0"/>
              <w:left w:val="single" w:color="1B7A5C" w:sz="8" w:space="0"/>
              <w:bottom w:val="single" w:color="1B7A5C" w:sz="8" w:space="0"/>
              <w:right w:val="single" w:color="1B7A5C" w:sz="8" w:space="0"/>
            </w:tcBorders>
            <w:shd w:val="clear" w:color="auto" w:fill="F0F7F4"/>
          </w:tcPr>
          <w:p w14:paraId="52223254">
            <w:pPr>
              <w:spacing w:before="80" w:after="80" w:line="240" w:lineRule="auto"/>
            </w:pPr>
            <w:r>
              <w:rPr>
                <w:rFonts w:ascii="微软雅黑" w:hAnsi="微软雅黑" w:eastAsia="微软雅黑"/>
                <w:b/>
                <w:color w:val="1B7A5C"/>
              </w:rPr>
              <w:t xml:space="preserve">【什么是荧光】 </w:t>
            </w:r>
            <w:r>
              <w:rPr>
                <w:rFonts w:ascii="微软雅黑" w:hAnsi="微软雅黑" w:eastAsia="微软雅黑"/>
                <w:b w:val="0"/>
              </w:rPr>
              <w:t>荧光是物质吸收光或其他电磁辐射（通常为紫外或 X 射线）后</w:t>
            </w:r>
            <w:r>
              <w:rPr>
                <w:rFonts w:ascii="微软雅黑" w:hAnsi="微软雅黑" w:eastAsia="微软雅黑"/>
                <w:b/>
                <w:color w:val="1B7A5C"/>
              </w:rPr>
              <w:t>立即退激发</w:t>
            </w:r>
            <w:r>
              <w:rPr>
                <w:rFonts w:ascii="微软雅黑" w:hAnsi="微软雅黑" w:eastAsia="微软雅黑"/>
                <w:b w:val="0"/>
              </w:rPr>
              <w:t>发出的</w:t>
            </w:r>
            <w:r>
              <w:rPr>
                <w:rFonts w:ascii="微软雅黑" w:hAnsi="微软雅黑" w:eastAsia="微软雅黑"/>
                <w:b/>
                <w:color w:val="1B7A5C"/>
              </w:rPr>
              <w:t>波长更长</w:t>
            </w:r>
            <w:r>
              <w:rPr>
                <w:rFonts w:ascii="微软雅黑" w:hAnsi="微软雅黑" w:eastAsia="微软雅黑"/>
                <w:b w:val="0"/>
              </w:rPr>
              <w:t>的出射光（多在可见光波段）；一旦停止入射光，发光立即消失，属</w:t>
            </w:r>
            <w:r>
              <w:rPr>
                <w:rFonts w:ascii="微软雅黑" w:hAnsi="微软雅黑" w:eastAsia="微软雅黑"/>
                <w:b/>
                <w:color w:val="1B7A5C"/>
              </w:rPr>
              <w:t>冷发光</w:t>
            </w:r>
            <w:r>
              <w:rPr>
                <w:rFonts w:ascii="微软雅黑" w:hAnsi="微软雅黑" w:eastAsia="微软雅黑"/>
                <w:b w:val="0"/>
              </w:rPr>
              <w:t>现象。</w:t>
            </w:r>
          </w:p>
        </w:tc>
      </w:tr>
    </w:tbl>
    <w:p w14:paraId="5F5F2229">
      <w:pPr>
        <w:spacing w:after="0"/>
      </w:pPr>
    </w:p>
    <w:p w14:paraId="3E8D6FE7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发现史</w:t>
      </w:r>
      <w:r>
        <w:rPr>
          <w:rFonts w:ascii="微软雅黑" w:hAnsi="微软雅黑" w:eastAsia="微软雅黑"/>
          <w:b w:val="0"/>
        </w:rPr>
        <w:t>：1575 年 N. Monardes 首次记录；1852 年 Stokes 用分光计判明是“吸收光能后重新发射不同波长光”，并由发光矿物</w:t>
      </w:r>
      <w:r>
        <w:rPr>
          <w:rFonts w:ascii="微软雅黑" w:hAnsi="微软雅黑" w:eastAsia="微软雅黑"/>
          <w:b/>
          <w:color w:val="1B7A5C"/>
        </w:rPr>
        <w:t>萤石</w:t>
      </w:r>
      <w:r>
        <w:rPr>
          <w:rFonts w:ascii="微软雅黑" w:hAnsi="微软雅黑" w:eastAsia="微软雅黑"/>
          <w:b w:val="0"/>
        </w:rPr>
        <w:t>导出“荧光 (fluorescence)”术语。</w:t>
      </w:r>
    </w:p>
    <w:p w14:paraId="18BAB438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应用</w:t>
      </w:r>
      <w:r>
        <w:rPr>
          <w:rFonts w:ascii="微软雅黑" w:hAnsi="微软雅黑" w:eastAsia="微软雅黑"/>
          <w:b w:val="0"/>
        </w:rPr>
        <w:t>：①荧光灯/荧光笔（紫外激发磷光体发可见光）；②生化医疗（荧光示踪、qPCR 定量病毒载量）；③</w:t>
      </w:r>
      <w:r>
        <w:rPr>
          <w:rFonts w:ascii="微软雅黑" w:hAnsi="微软雅黑" w:eastAsia="微软雅黑"/>
          <w:b/>
          <w:color w:val="1B7A5C"/>
        </w:rPr>
        <w:t>荧光增白剂 (FWA)</w:t>
      </w:r>
      <w:r>
        <w:rPr>
          <w:rFonts w:ascii="微软雅黑" w:hAnsi="微软雅黑" w:eastAsia="微软雅黑"/>
          <w:b w:val="0"/>
        </w:rPr>
        <w:t>——吸收紫外发蓝光，与纸张/衣物黄色光互补成白色，用于造纸、纺织、洗涤。</w:t>
      </w:r>
    </w:p>
    <w:p w14:paraId="73098CD6">
      <w:pPr>
        <w:pStyle w:val="4"/>
      </w:pPr>
      <w:r>
        <w:rPr>
          <w:rFonts w:ascii="微软雅黑" w:hAnsi="微软雅黑" w:eastAsia="微软雅黑"/>
          <w:color w:val="1F4E79"/>
        </w:rPr>
        <w:t>5.4 点击化学（Click Chemistry）</w:t>
      </w:r>
    </w:p>
    <w:p w14:paraId="0052C2A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核心思想</w:t>
      </w:r>
      <w:r>
        <w:rPr>
          <w:rFonts w:ascii="微软雅黑" w:hAnsi="微软雅黑" w:eastAsia="微软雅黑"/>
          <w:b w:val="0"/>
        </w:rPr>
        <w:t>：通过小单元的拼接快速可靠地合成复杂分子，强调以</w:t>
      </w:r>
      <w:r>
        <w:rPr>
          <w:rFonts w:ascii="微软雅黑" w:hAnsi="微软雅黑" w:eastAsia="微软雅黑"/>
          <w:b/>
          <w:color w:val="1B7A5C"/>
        </w:rPr>
        <w:t>碳-杂原子键 (C–X–C)</w:t>
      </w:r>
      <w:r>
        <w:rPr>
          <w:rFonts w:ascii="微软雅黑" w:hAnsi="微软雅黑" w:eastAsia="微软雅黑"/>
          <w:b w:val="0"/>
        </w:rPr>
        <w:t xml:space="preserve"> 合成为基础的组合新方法（简单高效获得分子多样性）。</w:t>
      </w:r>
    </w:p>
    <w:p w14:paraId="3C3515D8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优势</w:t>
      </w:r>
      <w:r>
        <w:rPr>
          <w:rFonts w:ascii="微软雅黑" w:hAnsi="微软雅黑" w:eastAsia="微软雅黑"/>
          <w:b w:val="0"/>
        </w:rPr>
        <w:t>：反应</w:t>
      </w:r>
      <w:r>
        <w:rPr>
          <w:rFonts w:ascii="微软雅黑" w:hAnsi="微软雅黑" w:eastAsia="微软雅黑"/>
          <w:b/>
          <w:color w:val="1B7A5C"/>
        </w:rPr>
        <w:t>效率高、选择性好、适用性广、简单易行、副产物无害</w:t>
      </w:r>
      <w:r>
        <w:rPr>
          <w:rFonts w:ascii="微软雅黑" w:hAnsi="微软雅黑" w:eastAsia="微软雅黑"/>
          <w:b w:val="0"/>
        </w:rPr>
        <w:t>；1998 年概念提出，后发展出生物正交化学。</w:t>
      </w:r>
    </w:p>
    <w:p w14:paraId="0D1C3720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应用</w:t>
      </w:r>
      <w:r>
        <w:rPr>
          <w:rFonts w:ascii="微软雅黑" w:hAnsi="微软雅黑" w:eastAsia="微软雅黑"/>
          <w:b w:val="0"/>
        </w:rPr>
        <w:t>：①</w:t>
      </w:r>
      <w:r>
        <w:rPr>
          <w:rFonts w:ascii="微软雅黑" w:hAnsi="微软雅黑" w:eastAsia="微软雅黑"/>
          <w:b/>
          <w:color w:val="1B7A5C"/>
        </w:rPr>
        <w:t>荧光成像</w:t>
      </w:r>
      <w:r>
        <w:rPr>
          <w:rFonts w:ascii="微软雅黑" w:hAnsi="微软雅黑" w:eastAsia="微软雅黑"/>
          <w:b w:val="0"/>
        </w:rPr>
        <w:t>（实现目标蛋白可视化）；②</w:t>
      </w:r>
      <w:r>
        <w:rPr>
          <w:rFonts w:ascii="微软雅黑" w:hAnsi="微软雅黑" w:eastAsia="微软雅黑"/>
          <w:b/>
          <w:color w:val="1B7A5C"/>
        </w:rPr>
        <w:t>靶向药物运输</w:t>
      </w:r>
      <w:r>
        <w:rPr>
          <w:rFonts w:ascii="微软雅黑" w:hAnsi="微软雅黑" w:eastAsia="微软雅黑"/>
          <w:b w:val="0"/>
        </w:rPr>
        <w:t>（利用 SPAAC 等生物正交反应）；③</w:t>
      </w:r>
      <w:r>
        <w:rPr>
          <w:rFonts w:ascii="微软雅黑" w:hAnsi="微软雅黑" w:eastAsia="微软雅黑"/>
          <w:b/>
          <w:color w:val="1B7A5C"/>
        </w:rPr>
        <w:t>诊断分析</w:t>
      </w:r>
      <w:r>
        <w:rPr>
          <w:rFonts w:ascii="微软雅黑" w:hAnsi="微软雅黑" w:eastAsia="微软雅黑"/>
          <w:b w:val="0"/>
        </w:rPr>
        <w:t>（分析血液中微囊泡 MVs 含量）。（2022 年诺贝尔化学奖授予点击化学与生物正交化学。）</w:t>
      </w:r>
    </w:p>
    <w:p w14:paraId="05E666E3">
      <w:pPr>
        <w:pStyle w:val="4"/>
      </w:pPr>
      <w:r>
        <w:rPr>
          <w:rFonts w:ascii="微软雅黑" w:hAnsi="微软雅黑" w:eastAsia="微软雅黑"/>
          <w:color w:val="1F4E79"/>
        </w:rPr>
        <w:t>5.5 计算化学初探</w:t>
      </w:r>
    </w:p>
    <w:p w14:paraId="477E3AA8">
      <w:pPr>
        <w:pStyle w:val="16"/>
        <w:spacing w:after="40" w:line="300" w:lineRule="auto"/>
      </w:pPr>
      <w:r>
        <w:rPr>
          <w:rFonts w:ascii="微软雅黑" w:hAnsi="微软雅黑" w:eastAsia="微软雅黑"/>
          <w:b w:val="0"/>
        </w:rPr>
        <w:t>研究对象为原子、分子、离子；在 Gaussian/GaussView 中建模并优化分子结构。</w:t>
      </w:r>
    </w:p>
    <w:p w14:paraId="7EEE3BB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输入卡关键参数</w:t>
      </w:r>
      <w:r>
        <w:rPr>
          <w:rFonts w:ascii="微软雅黑" w:hAnsi="微软雅黑" w:eastAsia="微软雅黑"/>
          <w:b w:val="0"/>
        </w:rPr>
        <w:t>：`# M062x/6-311g</w:t>
      </w:r>
      <w:r>
        <w:rPr>
          <w:rFonts w:ascii="微软雅黑" w:hAnsi="微软雅黑" w:eastAsia="微软雅黑"/>
          <w:b/>
          <w:color w:val="1B7A5C"/>
        </w:rPr>
        <w:t xml:space="preserve"> opt freq=noraman SCRF=(Solvent=...)`——M062x 为</w:t>
      </w:r>
      <w:r>
        <w:rPr>
          <w:rFonts w:ascii="微软雅黑" w:hAnsi="微软雅黑" w:eastAsia="微软雅黑"/>
          <w:b w:val="0"/>
        </w:rPr>
        <w:t>泛函</w:t>
      </w:r>
      <w:r>
        <w:rPr>
          <w:rFonts w:ascii="微软雅黑" w:hAnsi="微软雅黑" w:eastAsia="微软雅黑"/>
          <w:b/>
          <w:color w:val="1B7A5C"/>
        </w:rPr>
        <w:t>、6-311g</w:t>
      </w:r>
      <w:r>
        <w:rPr>
          <w:rFonts w:ascii="微软雅黑" w:hAnsi="微软雅黑" w:eastAsia="微软雅黑"/>
          <w:b w:val="0"/>
        </w:rPr>
        <w:t xml:space="preserve"> 为</w:t>
      </w:r>
      <w:r>
        <w:rPr>
          <w:rFonts w:ascii="微软雅黑" w:hAnsi="微软雅黑" w:eastAsia="微软雅黑"/>
          <w:b/>
          <w:color w:val="1B7A5C"/>
        </w:rPr>
        <w:t>基组</w:t>
      </w:r>
      <w:r>
        <w:rPr>
          <w:rFonts w:ascii="微软雅黑" w:hAnsi="微软雅黑" w:eastAsia="微软雅黑"/>
          <w:b w:val="0"/>
        </w:rPr>
        <w:t>（** 表弥散函数）、opt 为结构优化、SCRF 为溶剂模型。</w:t>
      </w:r>
    </w:p>
    <w:p w14:paraId="518FD474">
      <w:pPr>
        <w:pStyle w:val="16"/>
        <w:spacing w:after="40" w:line="300" w:lineRule="auto"/>
      </w:pPr>
      <w:r>
        <w:rPr>
          <w:rFonts w:ascii="微软雅黑" w:hAnsi="微软雅黑" w:eastAsia="微软雅黑"/>
          <w:b w:val="0"/>
        </w:rPr>
        <w:t xml:space="preserve">用 </w:t>
      </w:r>
      <w:r>
        <w:rPr>
          <w:rFonts w:ascii="微软雅黑" w:hAnsi="微软雅黑" w:eastAsia="微软雅黑"/>
          <w:b/>
          <w:color w:val="1B7A5C"/>
        </w:rPr>
        <w:t>Multiwfn</w:t>
      </w:r>
      <w:r>
        <w:rPr>
          <w:rFonts w:ascii="微软雅黑" w:hAnsi="微软雅黑" w:eastAsia="微软雅黑"/>
          <w:b w:val="0"/>
        </w:rPr>
        <w:t>（免费开源波函数分析）等计算电子云的径向分布、期望值等；基态 vs 激发态电子云弥散：</w:t>
      </w:r>
      <w:r>
        <w:rPr>
          <w:rFonts w:ascii="微软雅黑" w:hAnsi="微软雅黑" w:eastAsia="微软雅黑"/>
          <w:b/>
          <w:color w:val="1B7A5C"/>
        </w:rPr>
        <w:t>激发态电子云更弥散</w:t>
      </w:r>
      <w:r>
        <w:rPr>
          <w:rFonts w:ascii="微软雅黑" w:hAnsi="微软雅黑" w:eastAsia="微软雅黑"/>
          <w:b w:val="0"/>
        </w:rPr>
        <w:t>。</w:t>
      </w:r>
    </w:p>
    <w:p w14:paraId="225EFD1A">
      <w:pPr>
        <w:pStyle w:val="4"/>
      </w:pPr>
      <w:r>
        <w:rPr>
          <w:rFonts w:ascii="微软雅黑" w:hAnsi="微软雅黑" w:eastAsia="微软雅黑"/>
          <w:color w:val="1F4E79"/>
        </w:rPr>
        <w:t>5.6 城市生态修复</w:t>
      </w:r>
    </w:p>
    <w:p w14:paraId="677F831F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城市生态学</w:t>
      </w:r>
      <w:r>
        <w:rPr>
          <w:rFonts w:ascii="微软雅黑" w:hAnsi="微软雅黑" w:eastAsia="微软雅黑"/>
          <w:b w:val="0"/>
        </w:rPr>
        <w:t>：以生态学原则为指导，研究以人为核心的城市生态系统结构、功能、调控与演替，优化城市结构与功能。</w:t>
      </w:r>
    </w:p>
    <w:p w14:paraId="1020FE30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典型问题</w:t>
      </w:r>
      <w:r>
        <w:rPr>
          <w:rFonts w:ascii="微软雅黑" w:hAnsi="微软雅黑" w:eastAsia="微软雅黑"/>
          <w:b w:val="0"/>
        </w:rPr>
        <w:t>：雾霾、城市热岛效应、土地盐碱化、城市河道黑臭等。</w:t>
      </w:r>
    </w:p>
    <w:p w14:paraId="12CA70D9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修复案例</w:t>
      </w:r>
      <w:r>
        <w:rPr>
          <w:rFonts w:ascii="微软雅黑" w:hAnsi="微软雅黑" w:eastAsia="微软雅黑"/>
          <w:b w:val="0"/>
        </w:rPr>
        <w:t>：安徽潜山雪湖城市湿地生态修复、镇江城市黑臭河道治理（内源污染物多次释放为主要成因）、天津甘露溪公园。</w:t>
      </w:r>
    </w:p>
    <w:p w14:paraId="2E93750D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意义</w:t>
      </w:r>
      <w:r>
        <w:rPr>
          <w:rFonts w:ascii="微软雅黑" w:hAnsi="微软雅黑" w:eastAsia="微软雅黑"/>
          <w:b w:val="0"/>
        </w:rPr>
        <w:t>：改善生态环境、调节城市小气候、承载历史文化、展示城市形象、带动经济发展。</w:t>
      </w:r>
    </w:p>
    <w:p w14:paraId="2890CEA9">
      <w:r>
        <w:br w:type="page"/>
      </w:r>
    </w:p>
    <w:p w14:paraId="341154B5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第六章　科技论文写作方法</w:t>
      </w:r>
    </w:p>
    <w:p w14:paraId="2E9E134F">
      <w:pPr>
        <w:pStyle w:val="4"/>
      </w:pPr>
      <w:r>
        <w:rPr>
          <w:rFonts w:ascii="微软雅黑" w:hAnsi="微软雅黑" w:eastAsia="微软雅黑"/>
          <w:color w:val="1F4E79"/>
        </w:rPr>
        <w:t>6.1 科学研究的五个环节</w:t>
      </w:r>
    </w:p>
    <w:p w14:paraId="65588A52">
      <w:pPr>
        <w:spacing w:after="120" w:line="312" w:lineRule="auto"/>
      </w:pPr>
      <w:r>
        <w:rPr>
          <w:rFonts w:ascii="微软雅黑" w:hAnsi="微软雅黑" w:eastAsia="微软雅黑"/>
          <w:b/>
          <w:color w:val="1B7A5C"/>
        </w:rPr>
        <w:t>科学问题提出 → 资料收集/实验设计 → 数据分析/实验操作 → 结果分析与公布 → 学术交流与同行评议</w:t>
      </w:r>
      <w:r>
        <w:rPr>
          <w:rFonts w:ascii="微软雅黑" w:hAnsi="微软雅黑" w:eastAsia="微软雅黑"/>
          <w:b w:val="0"/>
        </w:rPr>
        <w:t>。学术论文是基础科学发现最重要的呈现形式。</w:t>
      </w:r>
    </w:p>
    <w:p w14:paraId="525D91B0">
      <w:pPr>
        <w:pStyle w:val="4"/>
      </w:pPr>
      <w:r>
        <w:rPr>
          <w:rFonts w:ascii="微软雅黑" w:hAnsi="微软雅黑" w:eastAsia="微软雅黑"/>
          <w:color w:val="1F4E79"/>
        </w:rPr>
        <w:t>6.2 论文结构（IMRaD）</w:t>
      </w:r>
    </w:p>
    <w:p w14:paraId="291BE9C1">
      <w:pPr>
        <w:spacing w:after="120" w:line="312" w:lineRule="auto"/>
      </w:pPr>
      <w:r>
        <w:rPr>
          <w:rFonts w:ascii="微软雅黑" w:hAnsi="微软雅黑" w:eastAsia="微软雅黑"/>
          <w:b w:val="0"/>
        </w:rPr>
        <w:t xml:space="preserve">① </w:t>
      </w:r>
      <w:r>
        <w:rPr>
          <w:rFonts w:ascii="微软雅黑" w:hAnsi="微软雅黑" w:eastAsia="微软雅黑"/>
          <w:b/>
          <w:color w:val="1B7A5C"/>
        </w:rPr>
        <w:t>Title（标题）+ Authors/Affiliation（作者与单位）+ Abstract（摘要）+ Keywords（关键词）</w:t>
      </w:r>
      <w:r>
        <w:rPr>
          <w:rFonts w:ascii="微软雅黑" w:hAnsi="微软雅黑" w:eastAsia="微软雅黑"/>
          <w:b w:val="0"/>
        </w:rPr>
        <w:t xml:space="preserve">；② </w:t>
      </w:r>
      <w:r>
        <w:rPr>
          <w:rFonts w:ascii="微软雅黑" w:hAnsi="微软雅黑" w:eastAsia="微软雅黑"/>
          <w:b/>
          <w:color w:val="1B7A5C"/>
        </w:rPr>
        <w:t>Introduction</w:t>
      </w:r>
      <w:r>
        <w:rPr>
          <w:rFonts w:ascii="微软雅黑" w:hAnsi="微软雅黑" w:eastAsia="微软雅黑"/>
          <w:b w:val="0"/>
        </w:rPr>
        <w:t xml:space="preserve">；③ </w:t>
      </w:r>
      <w:r>
        <w:rPr>
          <w:rFonts w:ascii="微软雅黑" w:hAnsi="微软雅黑" w:eastAsia="微软雅黑"/>
          <w:b/>
          <w:color w:val="1B7A5C"/>
        </w:rPr>
        <w:t>Materials and Methods</w:t>
      </w:r>
      <w:r>
        <w:rPr>
          <w:rFonts w:ascii="微软雅黑" w:hAnsi="微软雅黑" w:eastAsia="微软雅黑"/>
          <w:b w:val="0"/>
        </w:rPr>
        <w:t xml:space="preserve">；④ </w:t>
      </w:r>
      <w:r>
        <w:rPr>
          <w:rFonts w:ascii="微软雅黑" w:hAnsi="微软雅黑" w:eastAsia="微软雅黑"/>
          <w:b/>
          <w:color w:val="1B7A5C"/>
        </w:rPr>
        <w:t>Results</w:t>
      </w:r>
      <w:r>
        <w:rPr>
          <w:rFonts w:ascii="微软雅黑" w:hAnsi="微软雅黑" w:eastAsia="微软雅黑"/>
          <w:b w:val="0"/>
        </w:rPr>
        <w:t xml:space="preserve">；⑤ </w:t>
      </w:r>
      <w:r>
        <w:rPr>
          <w:rFonts w:ascii="微软雅黑" w:hAnsi="微软雅黑" w:eastAsia="微软雅黑"/>
          <w:b/>
          <w:color w:val="1B7A5C"/>
        </w:rPr>
        <w:t>Discussion</w:t>
      </w:r>
      <w:r>
        <w:rPr>
          <w:rFonts w:ascii="微软雅黑" w:hAnsi="微软雅黑" w:eastAsia="微软雅黑"/>
          <w:b w:val="0"/>
        </w:rPr>
        <w:t xml:space="preserve">；⑥ </w:t>
      </w:r>
      <w:r>
        <w:rPr>
          <w:rFonts w:ascii="微软雅黑" w:hAnsi="微软雅黑" w:eastAsia="微软雅黑"/>
          <w:b/>
          <w:color w:val="1B7A5C"/>
        </w:rPr>
        <w:t>Conclusion</w:t>
      </w:r>
      <w:r>
        <w:rPr>
          <w:rFonts w:ascii="微软雅黑" w:hAnsi="微软雅黑" w:eastAsia="微软雅黑"/>
          <w:b w:val="0"/>
        </w:rPr>
        <w:t xml:space="preserve">；⑦ </w:t>
      </w:r>
      <w:r>
        <w:rPr>
          <w:rFonts w:ascii="微软雅黑" w:hAnsi="微软雅黑" w:eastAsia="微软雅黑"/>
          <w:b/>
          <w:color w:val="1B7A5C"/>
        </w:rPr>
        <w:t>References</w:t>
      </w:r>
      <w:r>
        <w:rPr>
          <w:rFonts w:ascii="微软雅黑" w:hAnsi="微软雅黑" w:eastAsia="微软雅黑"/>
          <w:b w:val="0"/>
        </w:rPr>
        <w:t>；⑧ Acknowledgments/Author Contributions/Data Availability 及附录、补充材料。</w:t>
      </w:r>
    </w:p>
    <w:p w14:paraId="5E5EBDBB">
      <w:pPr>
        <w:spacing w:after="40"/>
        <w:jc w:val="center"/>
      </w:pPr>
      <w:r>
        <w:rPr>
          <w:rFonts w:ascii="微软雅黑" w:hAnsi="微软雅黑" w:eastAsia="微软雅黑"/>
          <w:b/>
          <w:color w:val="1F4E79"/>
          <w:sz w:val="19"/>
        </w:rPr>
        <w:t>表 6-1　科技论文各章节的功能与要点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736"/>
        <w:gridCol w:w="4752"/>
      </w:tblGrid>
      <w:tr w14:paraId="679D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B7A5C"/>
          </w:tcPr>
          <w:p w14:paraId="2855F4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章节</w:t>
            </w:r>
          </w:p>
        </w:tc>
        <w:tc>
          <w:tcPr>
            <w:tcW w:w="2736" w:type="dxa"/>
            <w:shd w:val="clear" w:color="auto" w:fill="1B7A5C"/>
          </w:tcPr>
          <w:p w14:paraId="778B44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回答的问题</w:t>
            </w:r>
          </w:p>
        </w:tc>
        <w:tc>
          <w:tcPr>
            <w:tcW w:w="4752" w:type="dxa"/>
            <w:shd w:val="clear" w:color="auto" w:fill="1B7A5C"/>
          </w:tcPr>
          <w:p w14:paraId="116880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写作要点</w:t>
            </w:r>
          </w:p>
        </w:tc>
      </w:tr>
      <w:tr w14:paraId="12CB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18CF7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Introduction</w:t>
            </w:r>
          </w:p>
        </w:tc>
        <w:tc>
          <w:tcPr>
            <w:tcW w:w="2736" w:type="dxa"/>
          </w:tcPr>
          <w:p w14:paraId="251C76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为何要做该研究？</w:t>
            </w:r>
          </w:p>
        </w:tc>
        <w:tc>
          <w:tcPr>
            <w:tcW w:w="4752" w:type="dxa"/>
          </w:tcPr>
          <w:p w14:paraId="5C262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综述既有认识→指出未知（however）→提出目的；广泛、客观引用最新文献</w:t>
            </w:r>
          </w:p>
        </w:tc>
      </w:tr>
      <w:tr w14:paraId="1C1E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148FC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Methods</w:t>
            </w:r>
          </w:p>
        </w:tc>
        <w:tc>
          <w:tcPr>
            <w:tcW w:w="2736" w:type="dxa"/>
          </w:tcPr>
          <w:p w14:paraId="4F2B9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怎么做（谁/何物、如何分析）？</w:t>
            </w:r>
          </w:p>
        </w:tc>
        <w:tc>
          <w:tcPr>
            <w:tcW w:w="4752" w:type="dxa"/>
          </w:tcPr>
          <w:p w14:paraId="793AD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讲清材料/样本、方法技术、条件与优化，保证可重复</w:t>
            </w:r>
          </w:p>
        </w:tc>
      </w:tr>
      <w:tr w14:paraId="3F07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53814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Results</w:t>
            </w:r>
          </w:p>
        </w:tc>
        <w:tc>
          <w:tcPr>
            <w:tcW w:w="2736" w:type="dxa"/>
          </w:tcPr>
          <w:p w14:paraId="1F25EB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发现了什么？</w:t>
            </w:r>
          </w:p>
        </w:tc>
        <w:tc>
          <w:tcPr>
            <w:tcW w:w="4752" w:type="dxa"/>
          </w:tcPr>
          <w:p w14:paraId="776488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清晰小标题、引言图表+数据+小结；用关键词引导读者</w:t>
            </w:r>
          </w:p>
        </w:tc>
      </w:tr>
      <w:tr w14:paraId="7953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FD7BC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Discussion</w:t>
            </w:r>
          </w:p>
        </w:tc>
        <w:tc>
          <w:tcPr>
            <w:tcW w:w="2736" w:type="dxa"/>
          </w:tcPr>
          <w:p w14:paraId="707533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如何推进领域？</w:t>
            </w:r>
          </w:p>
        </w:tc>
        <w:tc>
          <w:tcPr>
            <w:tcW w:w="4752" w:type="dxa"/>
          </w:tcPr>
          <w:p w14:paraId="66D92A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解释结果、与已有研究对比、指出局限与意义</w:t>
            </w:r>
          </w:p>
        </w:tc>
      </w:tr>
      <w:tr w14:paraId="4804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AB85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Conclusion</w:t>
            </w:r>
          </w:p>
        </w:tc>
        <w:tc>
          <w:tcPr>
            <w:tcW w:w="2736" w:type="dxa"/>
          </w:tcPr>
          <w:p w14:paraId="45EA7B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结论？</w:t>
            </w:r>
          </w:p>
        </w:tc>
        <w:tc>
          <w:tcPr>
            <w:tcW w:w="4752" w:type="dxa"/>
          </w:tcPr>
          <w:p w14:paraId="55E2CC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凝练核心结论</w:t>
            </w:r>
          </w:p>
        </w:tc>
      </w:tr>
    </w:tbl>
    <w:p w14:paraId="4C123433">
      <w:pPr>
        <w:spacing w:after="40"/>
      </w:pPr>
    </w:p>
    <w:p w14:paraId="7B84F37E">
      <w:pPr>
        <w:pStyle w:val="4"/>
      </w:pPr>
      <w:r>
        <w:rPr>
          <w:rFonts w:ascii="微软雅黑" w:hAnsi="微软雅黑" w:eastAsia="微软雅黑"/>
          <w:color w:val="1F4E79"/>
        </w:rPr>
        <w:t>6.3 论文类型与投稿流程</w:t>
      </w:r>
    </w:p>
    <w:p w14:paraId="47D8FFEE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常见类型</w:t>
      </w:r>
      <w:r>
        <w:rPr>
          <w:rFonts w:ascii="微软雅黑" w:hAnsi="微软雅黑" w:eastAsia="微软雅黑"/>
          <w:b w:val="0"/>
        </w:rPr>
        <w:t>：Research Article（研究论文）、Review（综述）、Letter/Rapid Communication（快报）等。</w:t>
      </w:r>
    </w:p>
    <w:p w14:paraId="24F7E734">
      <w:pPr>
        <w:pStyle w:val="16"/>
        <w:spacing w:after="40" w:line="300" w:lineRule="auto"/>
      </w:pPr>
      <w:r>
        <w:rPr>
          <w:rFonts w:ascii="微软雅黑" w:hAnsi="微软雅黑" w:eastAsia="微软雅黑"/>
          <w:b/>
          <w:color w:val="1B7A5C"/>
        </w:rPr>
        <w:t>投稿流程</w:t>
      </w:r>
      <w:r>
        <w:rPr>
          <w:rFonts w:ascii="微软雅黑" w:hAnsi="微软雅黑" w:eastAsia="微软雅黑"/>
          <w:b w:val="0"/>
        </w:rPr>
        <w:t>：选刊 → 投稿 → 初审（编辑）→ 同行评议 → 返修（大修/小修）→ 接收 → 校样 → 在线出版；需应对审稿意见逐条回复。</w:t>
      </w:r>
    </w:p>
    <w:p w14:paraId="2B12E38E">
      <w:r>
        <w:br w:type="page"/>
      </w:r>
    </w:p>
    <w:p w14:paraId="47DFF435">
      <w:pPr>
        <w:pStyle w:val="3"/>
        <w:pBdr>
          <w:bottom w:val="single" w:color="1B7A5C" w:sz="14" w:space="4"/>
        </w:pBdr>
      </w:pPr>
      <w:r>
        <w:rPr>
          <w:rFonts w:ascii="微软雅黑" w:hAnsi="微软雅黑" w:eastAsia="微软雅黑"/>
          <w:color w:val="1B7A5C"/>
        </w:rPr>
        <w:t>附录　核心公式与常量速查</w:t>
      </w:r>
    </w:p>
    <w:p w14:paraId="04B02555">
      <w:pPr>
        <w:spacing w:after="40"/>
        <w:jc w:val="center"/>
      </w:pPr>
      <w:r>
        <w:rPr>
          <w:rFonts w:ascii="微软雅黑" w:hAnsi="微软雅黑" w:eastAsia="微软雅黑"/>
          <w:b/>
          <w:color w:val="1F4E79"/>
          <w:sz w:val="19"/>
        </w:rPr>
        <w:t>表 A-1　全课程核心公式与常量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752"/>
        <w:gridCol w:w="3168"/>
      </w:tblGrid>
      <w:tr w14:paraId="103C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1B7A5C"/>
          </w:tcPr>
          <w:p w14:paraId="3DB415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4752" w:type="dxa"/>
            <w:shd w:val="clear" w:color="auto" w:fill="1B7A5C"/>
          </w:tcPr>
          <w:p w14:paraId="78C1A7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公式/常数</w:t>
            </w:r>
          </w:p>
        </w:tc>
        <w:tc>
          <w:tcPr>
            <w:tcW w:w="3168" w:type="dxa"/>
            <w:shd w:val="clear" w:color="auto" w:fill="1B7A5C"/>
          </w:tcPr>
          <w:p w14:paraId="5C313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668D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45904E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生产力</w:t>
            </w:r>
          </w:p>
        </w:tc>
        <w:tc>
          <w:tcPr>
            <w:tcW w:w="4752" w:type="dxa"/>
          </w:tcPr>
          <w:p w14:paraId="7011E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GPP = NPP − R_a；NEP = NPP − R_h = GPP − (R_a + R_h)</w:t>
            </w:r>
          </w:p>
        </w:tc>
        <w:tc>
          <w:tcPr>
            <w:tcW w:w="3168" w:type="dxa"/>
          </w:tcPr>
          <w:p w14:paraId="5719AD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自养呼吸 R_a、异养呼吸 R_h</w:t>
            </w:r>
          </w:p>
        </w:tc>
      </w:tr>
      <w:tr w14:paraId="19A4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8A513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植被指数</w:t>
            </w:r>
          </w:p>
        </w:tc>
        <w:tc>
          <w:tcPr>
            <w:tcW w:w="4752" w:type="dxa"/>
          </w:tcPr>
          <w:p w14:paraId="5C5675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NDVI = (NIR−Red)/(NIR+Red)</w:t>
            </w:r>
          </w:p>
        </w:tc>
        <w:tc>
          <w:tcPr>
            <w:tcW w:w="3168" w:type="dxa"/>
          </w:tcPr>
          <w:p w14:paraId="69CABC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范围 −1~1</w:t>
            </w:r>
          </w:p>
        </w:tc>
      </w:tr>
      <w:tr w14:paraId="73EB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3FE1EE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黑体辐射</w:t>
            </w:r>
          </w:p>
        </w:tc>
        <w:tc>
          <w:tcPr>
            <w:tcW w:w="4752" w:type="dxa"/>
          </w:tcPr>
          <w:p w14:paraId="472EFD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 = σT⁴；λmax = 2897 μm·K / T</w:t>
            </w:r>
          </w:p>
        </w:tc>
        <w:tc>
          <w:tcPr>
            <w:tcW w:w="3168" w:type="dxa"/>
          </w:tcPr>
          <w:p w14:paraId="1B79D3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σ = 5.67×10⁻⁸ W/m²K⁴</w:t>
            </w:r>
          </w:p>
        </w:tc>
      </w:tr>
      <w:tr w14:paraId="1026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7BC51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太阳常数</w:t>
            </w:r>
          </w:p>
        </w:tc>
        <w:tc>
          <w:tcPr>
            <w:tcW w:w="4752" w:type="dxa"/>
          </w:tcPr>
          <w:p w14:paraId="63403A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≈ 1367 W/m²</w:t>
            </w:r>
          </w:p>
        </w:tc>
        <w:tc>
          <w:tcPr>
            <w:tcW w:w="3168" w:type="dxa"/>
          </w:tcPr>
          <w:p w14:paraId="3F2CA6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大气上界单位辐照</w:t>
            </w:r>
          </w:p>
        </w:tc>
      </w:tr>
      <w:tr w14:paraId="506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4F074B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科里奥利参数</w:t>
            </w:r>
          </w:p>
        </w:tc>
        <w:tc>
          <w:tcPr>
            <w:tcW w:w="4752" w:type="dxa"/>
          </w:tcPr>
          <w:p w14:paraId="526FA0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f = 2Ω·sinφ</w:t>
            </w:r>
          </w:p>
        </w:tc>
        <w:tc>
          <w:tcPr>
            <w:tcW w:w="3168" w:type="dxa"/>
          </w:tcPr>
          <w:p w14:paraId="65E7B3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Ω = 7.29×10⁻⁵ rad/s</w:t>
            </w:r>
          </w:p>
        </w:tc>
      </w:tr>
      <w:tr w14:paraId="11FE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B23A2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地转风</w:t>
            </w:r>
          </w:p>
        </w:tc>
        <w:tc>
          <w:tcPr>
            <w:tcW w:w="4752" w:type="dxa"/>
          </w:tcPr>
          <w:p w14:paraId="3B6864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v_g = −(1/ρf)·∇_h p</w:t>
            </w:r>
          </w:p>
        </w:tc>
        <w:tc>
          <w:tcPr>
            <w:tcW w:w="3168" w:type="dxa"/>
          </w:tcPr>
          <w:p w14:paraId="6CF15E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气压梯度力与科氏力平衡</w:t>
            </w:r>
          </w:p>
        </w:tc>
      </w:tr>
      <w:tr w14:paraId="2150D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3BE1C6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风频分布</w:t>
            </w:r>
          </w:p>
        </w:tc>
        <w:tc>
          <w:tcPr>
            <w:tcW w:w="4752" w:type="dxa"/>
          </w:tcPr>
          <w:p w14:paraId="6F6C88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f(x) = (k/A)(x/A)^{k−1} e^{−(x/A)^k}</w:t>
            </w:r>
          </w:p>
        </w:tc>
        <w:tc>
          <w:tcPr>
            <w:tcW w:w="3168" w:type="dxa"/>
          </w:tcPr>
          <w:p w14:paraId="450D80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k≈2 为 Rayleigh</w:t>
            </w:r>
          </w:p>
        </w:tc>
      </w:tr>
      <w:tr w14:paraId="563FB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0E0E42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风功率</w:t>
            </w:r>
          </w:p>
        </w:tc>
        <w:tc>
          <w:tcPr>
            <w:tcW w:w="4752" w:type="dxa"/>
          </w:tcPr>
          <w:p w14:paraId="4C135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 ∝ v³</w:t>
            </w:r>
          </w:p>
        </w:tc>
        <w:tc>
          <w:tcPr>
            <w:tcW w:w="3168" w:type="dxa"/>
          </w:tcPr>
          <w:p w14:paraId="2F00AC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切入—额定—切出</w:t>
            </w:r>
          </w:p>
        </w:tc>
      </w:tr>
      <w:tr w14:paraId="70D6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569E5B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合成氨</w:t>
            </w:r>
          </w:p>
        </w:tc>
        <w:tc>
          <w:tcPr>
            <w:tcW w:w="4752" w:type="dxa"/>
          </w:tcPr>
          <w:p w14:paraId="4AB4E0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N₂ + 3H₂ → 2NH₃</w:t>
            </w:r>
          </w:p>
        </w:tc>
        <w:tc>
          <w:tcPr>
            <w:tcW w:w="3168" w:type="dxa"/>
          </w:tcPr>
          <w:p w14:paraId="4FEF6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高温高压催化剂</w:t>
            </w:r>
          </w:p>
        </w:tc>
      </w:tr>
      <w:tr w14:paraId="50BF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D4132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草酸钙</w:t>
            </w:r>
          </w:p>
        </w:tc>
        <w:tc>
          <w:tcPr>
            <w:tcW w:w="4752" w:type="dxa"/>
          </w:tcPr>
          <w:p w14:paraId="64931A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Ca²⁺ + C₂O₄²⁻ → CaC₂O₄↓</w:t>
            </w:r>
          </w:p>
        </w:tc>
        <w:tc>
          <w:tcPr>
            <w:tcW w:w="3168" w:type="dxa"/>
          </w:tcPr>
          <w:p w14:paraId="2AB3A0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豆腐+菠菜结石诱因</w:t>
            </w:r>
          </w:p>
        </w:tc>
      </w:tr>
      <w:tr w14:paraId="16BD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364EC5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除水垢</w:t>
            </w:r>
          </w:p>
        </w:tc>
        <w:tc>
          <w:tcPr>
            <w:tcW w:w="4752" w:type="dxa"/>
          </w:tcPr>
          <w:p w14:paraId="1ABAE0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CaCO₃ + 2CH₃COOH → Ca(CH₃COO)₂ + H₂O + CO₂↑</w:t>
            </w:r>
          </w:p>
        </w:tc>
        <w:tc>
          <w:tcPr>
            <w:tcW w:w="3168" w:type="dxa"/>
          </w:tcPr>
          <w:p w14:paraId="28072C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生成可溶盐</w:t>
            </w:r>
          </w:p>
        </w:tc>
      </w:tr>
    </w:tbl>
    <w:p w14:paraId="540B03F0">
      <w:pPr>
        <w:spacing w:after="40"/>
      </w:pPr>
    </w:p>
    <w:p w14:paraId="54C0639D">
      <w:pPr>
        <w:spacing w:after="120" w:line="312" w:lineRule="auto"/>
      </w:pPr>
    </w:p>
    <w:p w14:paraId="0D5531B2">
      <w:pPr>
        <w:spacing w:after="120" w:line="312" w:lineRule="auto"/>
      </w:pPr>
      <w:r>
        <w:rPr>
          <w:rFonts w:ascii="微软雅黑" w:hAnsi="微软雅黑" w:eastAsia="微软雅黑"/>
          <w:b/>
          <w:color w:val="C00000"/>
        </w:rPr>
        <w:t>特别说明</w:t>
      </w:r>
      <w:r>
        <w:rPr>
          <w:rFonts w:ascii="微软雅黑" w:hAnsi="微软雅黑" w:eastAsia="微软雅黑"/>
          <w:b w:val="0"/>
        </w:rPr>
        <w:t>：本文档所有数据、公式与事实均源自课程课件（PPT）、讲义（Energy Meteorology 讲座笔记、《科技论文写作》讲义）、权威报道与参考文献（含 Nature、Science Advances 等），未作杜撰。建议结合原始课件与论文深入复习。</w:t>
      </w:r>
    </w:p>
    <w:sectPr>
      <w:footerReference r:id="rId5" w:type="default"/>
      <w:pgSz w:w="11906" w:h="16838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411BB">
    <w:pPr>
      <w:pStyle w:val="24"/>
      <w:jc w:val="center"/>
    </w:pPr>
    <w:r>
      <w:rPr>
        <w:rFonts w:ascii="微软雅黑" w:hAnsi="微软雅黑" w:eastAsia="微软雅黑"/>
        <w:color w:val="595959"/>
        <w:sz w:val="18"/>
      </w:rPr>
      <w:fldChar w:fldCharType="begin"/>
    </w:r>
    <w:r>
      <w:rPr>
        <w:rFonts w:ascii="微软雅黑" w:hAnsi="微软雅黑" w:eastAsia="微软雅黑"/>
        <w:color w:val="595959"/>
        <w:sz w:val="18"/>
      </w:rPr>
      <w:instrText xml:space="preserve">PAGE</w:instrText>
    </w:r>
    <w:r>
      <w:rPr>
        <w:rFonts w:ascii="微软雅黑" w:hAnsi="微软雅黑" w:eastAsia="微软雅黑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37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B2B2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B7A5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B7A5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3673</Words>
  <Characters>4224</Characters>
  <Lines>0</Lines>
  <Paragraphs>0</Paragraphs>
  <TotalTime>1</TotalTime>
  <ScaleCrop>false</ScaleCrop>
  <LinksUpToDate>false</LinksUpToDate>
  <CharactersWithSpaces>4502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dcterms:modified xsi:type="dcterms:W3CDTF">2026-10-13T12:40:28Z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B3034AEDFB1447EAB89F11DAD0493721_12</vt:lpwstr>
  </property>
</Properties>
</file>