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380506">
      <w:pPr>
        <w:pStyle w:val="2"/>
        <w:keepNext w:val="0"/>
        <w:keepLines w:val="0"/>
        <w:widowControl/>
        <w:suppressLineNumbers w:val="0"/>
        <w:jc w:val="center"/>
        <w:rPr>
          <w:rFonts w:hint="eastAsia" w:eastAsia="宋体"/>
          <w:lang w:val="en-US" w:eastAsia="zh-CN"/>
        </w:rPr>
      </w:pPr>
      <w:r>
        <w:t>上机实习报告</w:t>
      </w:r>
      <w:r>
        <w:rPr>
          <w:rFonts w:hint="eastAsia"/>
          <w:lang w:val="en-US" w:eastAsia="zh-CN"/>
        </w:rPr>
        <w:t>6</w:t>
      </w:r>
    </w:p>
    <w:p w14:paraId="7DEECF58">
      <w:pPr>
        <w:pStyle w:val="3"/>
        <w:keepNext w:val="0"/>
        <w:keepLines w:val="0"/>
        <w:widowControl/>
        <w:suppressLineNumbers w:val="0"/>
      </w:pPr>
      <w:r>
        <w:t>一、实习目的</w:t>
      </w:r>
    </w:p>
    <w:p w14:paraId="31F4FE2B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eastAsia"/>
          <w:lang w:val="en-US" w:eastAsia="zh-CN"/>
        </w:rPr>
        <w:t>对</w:t>
      </w:r>
      <w:r>
        <w:t>有限区域500hPa高度场的24小时数值预报；</w:t>
      </w:r>
    </w:p>
    <w:p w14:paraId="2B2AF4D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t>分析正压原始方程模式的预报性能及误差来源；</w:t>
      </w:r>
    </w:p>
    <w:p w14:paraId="54798147">
      <w:pPr>
        <w:pStyle w:val="3"/>
        <w:keepNext w:val="0"/>
        <w:keepLines w:val="0"/>
        <w:widowControl/>
        <w:suppressLineNumbers w:val="0"/>
      </w:pPr>
      <w:r>
        <w:t>二、模式原理与实验设计</w:t>
      </w:r>
    </w:p>
    <w:p w14:paraId="147AEE75">
      <w:pPr>
        <w:pStyle w:val="4"/>
        <w:keepNext w:val="0"/>
        <w:keepLines w:val="0"/>
        <w:widowControl/>
        <w:suppressLineNumbers w:val="0"/>
        <w:jc w:val="left"/>
      </w:pPr>
      <w:r>
        <w:t>2.1 正压原始方程模式</w:t>
      </w:r>
      <w:r>
        <w:br w:type="textWrapping"/>
      </w:r>
      <w:r>
        <w:drawing>
          <wp:inline distT="0" distB="0" distL="114300" distR="114300">
            <wp:extent cx="3265805" cy="1725930"/>
            <wp:effectExtent l="0" t="0" r="1270" b="7620"/>
            <wp:docPr id="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172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38B8">
      <w:pPr>
        <w:pStyle w:val="4"/>
        <w:keepNext w:val="0"/>
        <w:keepLines w:val="0"/>
        <w:widowControl/>
        <w:suppressLineNumbers w:val="0"/>
      </w:pPr>
      <w:r>
        <w:t>2.2 实验参数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75"/>
        <w:gridCol w:w="4395"/>
      </w:tblGrid>
      <w:tr w14:paraId="794B492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42A470A9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参数</w:t>
            </w:r>
          </w:p>
        </w:tc>
        <w:tc>
          <w:tcPr>
            <w:tcW w:w="0" w:type="auto"/>
            <w:shd w:val="clear"/>
            <w:vAlign w:val="center"/>
          </w:tcPr>
          <w:p w14:paraId="7BFE1145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宋体" w:hAnsi="宋体" w:eastAsia="宋体" w:cs="宋体"/>
                <w:b/>
                <w:bCs/>
                <w:kern w:val="0"/>
                <w:sz w:val="24"/>
                <w:szCs w:val="24"/>
                <w:lang w:val="en-US" w:eastAsia="zh-CN" w:bidi="ar"/>
              </w:rPr>
              <w:t>数值/说明</w:t>
            </w:r>
          </w:p>
        </w:tc>
      </w:tr>
      <w:tr w14:paraId="58AAD2F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C68646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水平分辨率</w:t>
            </w:r>
          </w:p>
        </w:tc>
        <w:tc>
          <w:tcPr>
            <w:tcW w:w="0" w:type="auto"/>
            <w:shd w:val="clear"/>
            <w:vAlign w:val="center"/>
          </w:tcPr>
          <w:p w14:paraId="1E65568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300 km</w:t>
            </w:r>
          </w:p>
        </w:tc>
      </w:tr>
      <w:tr w14:paraId="0EBEA6E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A001E6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时间步长</w:t>
            </w:r>
          </w:p>
        </w:tc>
        <w:tc>
          <w:tcPr>
            <w:tcW w:w="0" w:type="auto"/>
            <w:shd w:val="clear"/>
            <w:vAlign w:val="center"/>
          </w:tcPr>
          <w:p w14:paraId="74A693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600秒</w:t>
            </w:r>
          </w:p>
        </w:tc>
      </w:tr>
      <w:tr w14:paraId="4B371B0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2AD712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积分方案</w:t>
            </w:r>
          </w:p>
        </w:tc>
        <w:tc>
          <w:tcPr>
            <w:tcW w:w="0" w:type="auto"/>
            <w:shd w:val="clear"/>
            <w:vAlign w:val="center"/>
          </w:tcPr>
          <w:p w14:paraId="4089380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欧拉后差（1小时）+中央差（11小时）</w:t>
            </w:r>
          </w:p>
        </w:tc>
      </w:tr>
      <w:tr w14:paraId="4C6B153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E32B08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初始场</w:t>
            </w:r>
          </w:p>
        </w:tc>
        <w:tc>
          <w:tcPr>
            <w:tcW w:w="0" w:type="auto"/>
            <w:shd w:val="clear"/>
            <w:vAlign w:val="center"/>
          </w:tcPr>
          <w:p w14:paraId="0E14AF6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1973年4月29日08时500hPa高度场</w:t>
            </w:r>
          </w:p>
        </w:tc>
      </w:tr>
      <w:tr w14:paraId="66A24266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8A6F1A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地图投影</w:t>
            </w:r>
          </w:p>
        </w:tc>
        <w:tc>
          <w:tcPr>
            <w:tcW w:w="0" w:type="auto"/>
            <w:shd w:val="clear"/>
            <w:vAlign w:val="center"/>
          </w:tcPr>
          <w:p w14:paraId="287730E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北半球极射赤面投影（N Polar Stereo）</w:t>
            </w:r>
          </w:p>
        </w:tc>
      </w:tr>
    </w:tbl>
    <w:p w14:paraId="5D4EA49D">
      <w:pPr>
        <w:pStyle w:val="4"/>
        <w:keepNext w:val="0"/>
        <w:keepLines w:val="0"/>
        <w:widowControl/>
        <w:suppressLineNumbers w:val="0"/>
        <w:rPr>
          <w:rFonts w:hint="eastAsia" w:eastAsia="宋体"/>
          <w:lang w:val="en-US" w:eastAsia="zh-CN"/>
        </w:rPr>
      </w:pPr>
      <w:r>
        <w:t>2.3 关键</w:t>
      </w:r>
      <w:r>
        <w:rPr>
          <w:rFonts w:hint="eastAsia"/>
          <w:lang w:val="en-US" w:eastAsia="zh-CN"/>
        </w:rPr>
        <w:t>点</w:t>
      </w:r>
    </w:p>
    <w:p w14:paraId="45944D8F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240" w:lineRule="auto"/>
        <w:ind w:left="363" w:leftChars="0"/>
        <w:textAlignment w:val="auto"/>
      </w:pPr>
      <w:r>
        <w:rPr>
          <w:rStyle w:val="8"/>
        </w:rPr>
        <w:t>初始化</w:t>
      </w:r>
      <w:r>
        <w:t>：采用地转风近似计算初始风场；</w:t>
      </w:r>
    </w:p>
    <w:p w14:paraId="23D9768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240" w:lineRule="auto"/>
        <w:ind w:left="363" w:leftChars="0"/>
        <w:textAlignment w:val="auto"/>
      </w:pPr>
      <w:r>
        <w:drawing>
          <wp:inline distT="0" distB="0" distL="114300" distR="114300">
            <wp:extent cx="2030095" cy="1063625"/>
            <wp:effectExtent l="0" t="0" r="8255" b="3175"/>
            <wp:docPr id="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A50BC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240" w:lineRule="auto"/>
        <w:ind w:left="363" w:leftChars="0"/>
        <w:textAlignment w:val="auto"/>
      </w:pPr>
      <w:r>
        <w:rPr>
          <w:rStyle w:val="8"/>
        </w:rPr>
        <w:t>边界处理​</w:t>
      </w:r>
      <w:r>
        <w:t>​：固定侧边界条件；</w:t>
      </w:r>
    </w:p>
    <w:p w14:paraId="2FE89D6E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240" w:lineRule="auto"/>
        <w:ind w:left="363" w:leftChars="0"/>
        <w:textAlignment w:val="auto"/>
      </w:pPr>
      <w:r>
        <w:drawing>
          <wp:inline distT="0" distB="0" distL="114300" distR="114300">
            <wp:extent cx="2116455" cy="383540"/>
            <wp:effectExtent l="0" t="0" r="7620" b="6985"/>
            <wp:docPr id="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7"/>
                    <pic:cNvPicPr>
                      <a:picLocks noChangeAspect="1"/>
                    </pic:cNvPicPr>
                  </pic:nvPicPr>
                  <pic:blipFill>
                    <a:blip r:embed="rId6"/>
                    <a:srcRect t="7447"/>
                    <a:stretch>
                      <a:fillRect/>
                    </a:stretch>
                  </pic:blipFill>
                  <pic:spPr>
                    <a:xfrm>
                      <a:off x="0" y="0"/>
                      <a:ext cx="2116455" cy="38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B1B61">
      <w:pPr>
        <w:keepNext w:val="0"/>
        <w:keepLines w:val="0"/>
        <w:pageBreakBefore w:val="0"/>
        <w:widowControl/>
        <w:numPr>
          <w:numId w:val="0"/>
        </w:numPr>
        <w:suppressLineNumbers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spacing w:before="0" w:beforeAutospacing="1" w:after="0" w:afterAutospacing="1" w:line="240" w:lineRule="auto"/>
        <w:ind w:left="363" w:leftChars="0"/>
        <w:textAlignment w:val="auto"/>
      </w:pPr>
      <w:r>
        <w:rPr>
          <w:rStyle w:val="8"/>
        </w:rPr>
        <w:t>平滑方案​</w:t>
      </w:r>
      <w:r>
        <w:t>​：时间平滑（三步法）与空间平滑（五点/九点格式）；</w:t>
      </w:r>
    </w:p>
    <w:p w14:paraId="04518737">
      <w:pPr>
        <w:pStyle w:val="3"/>
        <w:keepNext w:val="0"/>
        <w:keepLines w:val="0"/>
        <w:widowControl/>
        <w:suppressLineNumbers w:val="0"/>
      </w:pPr>
      <w:r>
        <w:t>三、结果与分析</w:t>
      </w:r>
    </w:p>
    <w:p w14:paraId="7728A89D">
      <w:pPr>
        <w:pStyle w:val="4"/>
        <w:keepNext w:val="0"/>
        <w:keepLines w:val="0"/>
        <w:widowControl/>
        <w:suppressLineNumbers w:val="0"/>
      </w:pPr>
      <w:r>
        <w:t>3.1 初始场特征</w:t>
      </w:r>
    </w:p>
    <w:p w14:paraId="5927E92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0315" cy="1931670"/>
            <wp:effectExtent l="0" t="0" r="3810" b="1905"/>
            <wp:docPr id="4" name="图片 4" descr="nwp2025_hw6_fig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nwp2025_hw6_figu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12060" cy="1925955"/>
            <wp:effectExtent l="0" t="0" r="2540" b="7620"/>
            <wp:docPr id="9" name="图片 9" descr="nwp2025_hw6_figur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nwp2025_hw6_figure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D39F">
      <w:pPr>
        <w:pStyle w:val="5"/>
        <w:keepNext w:val="0"/>
        <w:keepLines w:val="0"/>
        <w:widowControl/>
        <w:suppressLineNumbers w:val="0"/>
        <w:jc w:val="center"/>
        <w:rPr>
          <w:rFonts w:hint="default" w:eastAsiaTheme="minorEastAsia"/>
          <w:lang w:val="en-US" w:eastAsia="zh-CN"/>
        </w:rPr>
      </w:pPr>
      <w:r>
        <w:t>​</w:t>
      </w:r>
      <w:r>
        <w:rPr>
          <w:rStyle w:val="8"/>
        </w:rPr>
        <w:t>​图1 初始高度场（1973年4月29日08时</w:t>
      </w:r>
      <w:r>
        <w:rPr>
          <w:rStyle w:val="8"/>
          <w:rFonts w:hint="eastAsia"/>
          <w:lang w:eastAsia="zh-CN"/>
        </w:rPr>
        <w:t>），</w:t>
      </w:r>
      <w:r>
        <w:rPr>
          <w:rStyle w:val="8"/>
          <w:rFonts w:hint="eastAsia"/>
          <w:lang w:val="en-US" w:eastAsia="zh-CN"/>
        </w:rPr>
        <w:t>左-未平滑，右-平滑</w:t>
      </w:r>
    </w:p>
    <w:p w14:paraId="23D02CBF">
      <w:pPr>
        <w:keepNext w:val="0"/>
        <w:keepLines w:val="0"/>
        <w:widowControl/>
        <w:numPr>
          <w:numId w:val="0"/>
        </w:numPr>
        <w:suppressLineNumbers w:val="0"/>
        <w:tabs>
          <w:tab w:val="left" w:pos="720"/>
        </w:tabs>
        <w:spacing w:before="0" w:beforeAutospacing="1" w:after="0" w:afterAutospacing="1"/>
        <w:jc w:val="center"/>
        <w:rPr>
          <w:rFonts w:hint="eastAsia" w:eastAsiaTheme="minorEastAsia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257675" cy="3296920"/>
            <wp:effectExtent l="0" t="0" r="0" b="8255"/>
            <wp:docPr id="6" name="图片 6" descr="nwp2025_hw6_fig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nwp2025_hw6_figur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C17B2">
      <w:pPr>
        <w:pStyle w:val="5"/>
        <w:keepNext w:val="0"/>
        <w:keepLines w:val="0"/>
        <w:widowControl/>
        <w:suppressLineNumbers w:val="0"/>
        <w:jc w:val="center"/>
      </w:pPr>
      <w:r>
        <w:t>​</w:t>
      </w:r>
      <w:r>
        <w:rPr>
          <w:rStyle w:val="8"/>
        </w:rPr>
        <w:t>​图2 初始地转风场​</w:t>
      </w:r>
      <w:r>
        <w:t>​</w:t>
      </w:r>
    </w:p>
    <w:p w14:paraId="590DBEE4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西风急流中心风速达50m/s，与高度场梯度匹配；</w:t>
      </w:r>
    </w:p>
    <w:p w14:paraId="796B61A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</w:pPr>
      <w:r>
        <w:t>风场与等高线呈准地转平衡</w:t>
      </w:r>
      <w:r>
        <w:rPr>
          <w:rFonts w:hint="eastAsia"/>
          <w:lang w:eastAsia="zh-CN"/>
        </w:rPr>
        <w:t>。</w:t>
      </w:r>
    </w:p>
    <w:p w14:paraId="5FC79C64">
      <w:pPr>
        <w:pStyle w:val="4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t>3.2 24小时预报结果</w:t>
      </w:r>
    </w:p>
    <w:p w14:paraId="6E7C6978">
      <w:pPr>
        <w:pStyle w:val="5"/>
        <w:keepNext w:val="0"/>
        <w:keepLines w:val="0"/>
        <w:widowControl/>
        <w:suppressLineNumbers w:val="0"/>
        <w:jc w:val="center"/>
        <w:rPr>
          <w:rStyle w:val="8"/>
        </w:rPr>
      </w:pPr>
      <w:r>
        <w:t>​</w:t>
      </w:r>
      <w:r>
        <w:rPr>
          <w:rStyle w:val="8"/>
        </w:rPr>
        <w:t>​</w:t>
      </w:r>
      <w:r>
        <w:rPr>
          <w:rStyle w:val="8"/>
          <w:rFonts w:hint="eastAsia" w:eastAsiaTheme="minorEastAsia"/>
          <w:lang w:eastAsia="zh-CN"/>
        </w:rPr>
        <w:drawing>
          <wp:inline distT="0" distB="0" distL="114300" distR="114300">
            <wp:extent cx="4151630" cy="3157220"/>
            <wp:effectExtent l="0" t="0" r="1270" b="5080"/>
            <wp:docPr id="7" name="图片 7" descr="nwp2025_hw6_figur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nwp2025_hw6_figure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16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03AB">
      <w:pPr>
        <w:pStyle w:val="5"/>
        <w:keepNext w:val="0"/>
        <w:keepLines w:val="0"/>
        <w:widowControl/>
        <w:suppressLineNumbers w:val="0"/>
        <w:ind w:firstLine="482" w:firstLineChars="200"/>
        <w:jc w:val="center"/>
      </w:pPr>
      <w:r>
        <w:rPr>
          <w:rStyle w:val="8"/>
        </w:rPr>
        <w:t>图3 预报高度场（1973年4月30日08时）</w:t>
      </w:r>
    </w:p>
    <w:p w14:paraId="57578533">
      <w:pPr>
        <w:pStyle w:val="5"/>
        <w:keepNext w:val="0"/>
        <w:keepLines w:val="0"/>
        <w:widowControl/>
        <w:suppressLineNumbers w:val="0"/>
        <w:jc w:val="center"/>
        <w:rPr>
          <w:rStyle w:val="8"/>
          <w:rFonts w:hint="eastAsia" w:eastAsiaTheme="minorEastAsia"/>
          <w:lang w:eastAsia="zh-CN"/>
        </w:rPr>
      </w:pPr>
      <w:r>
        <w:t>​</w:t>
      </w:r>
      <w:r>
        <w:rPr>
          <w:rStyle w:val="8"/>
        </w:rPr>
        <w:t>​</w:t>
      </w:r>
      <w:r>
        <w:rPr>
          <w:rStyle w:val="8"/>
          <w:rFonts w:hint="eastAsia" w:eastAsiaTheme="minorEastAsia"/>
          <w:lang w:eastAsia="zh-CN"/>
        </w:rPr>
        <w:drawing>
          <wp:inline distT="0" distB="0" distL="114300" distR="114300">
            <wp:extent cx="4173220" cy="3232150"/>
            <wp:effectExtent l="0" t="0" r="8255" b="6350"/>
            <wp:docPr id="8" name="图片 8" descr="nwp2025_hw6_figur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nwp2025_hw6_figure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322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B8FC">
      <w:pPr>
        <w:pStyle w:val="5"/>
        <w:keepNext w:val="0"/>
        <w:keepLines w:val="0"/>
        <w:widowControl/>
        <w:suppressLineNumbers w:val="0"/>
        <w:ind w:firstLine="482" w:firstLineChars="200"/>
        <w:jc w:val="center"/>
      </w:pPr>
      <w:r>
        <w:rPr>
          <w:rStyle w:val="8"/>
        </w:rPr>
        <w:t>图4 预报风场</w:t>
      </w:r>
    </w:p>
    <w:p w14:paraId="3000957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急流轴北抬，最大风速维持45m/s；</w:t>
      </w:r>
    </w:p>
    <w:p w14:paraId="658FF9D7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</w:pPr>
      <w:r>
        <w:t>低涡区出现气旋式环流，与高度场演变一致。</w:t>
      </w:r>
    </w:p>
    <w:p w14:paraId="7C587550">
      <w:pPr>
        <w:pStyle w:val="3"/>
        <w:keepNext w:val="0"/>
        <w:keepLines w:val="0"/>
        <w:widowControl/>
        <w:suppressLineNumbers w:val="0"/>
      </w:pPr>
      <w:r>
        <w:t>四、模式性能讨论</w:t>
      </w:r>
    </w:p>
    <w:p w14:paraId="0BB75F68">
      <w:pPr>
        <w:pStyle w:val="4"/>
        <w:keepNext w:val="0"/>
        <w:keepLines w:val="0"/>
        <w:widowControl/>
        <w:suppressLineNumbers w:val="0"/>
      </w:pPr>
      <w:r>
        <w:t>4.1 优势</w:t>
      </w:r>
    </w:p>
    <w:p w14:paraId="536F5AA4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多尺度模拟能力</w:t>
      </w:r>
      <w:r>
        <w:t>：</w:t>
      </w:r>
    </w:p>
    <w:p w14:paraId="74C0E986">
      <w:pPr>
        <w:keepNext w:val="0"/>
        <w:keepLines w:val="0"/>
        <w:widowControl/>
        <w:numPr>
          <w:ilvl w:val="1"/>
          <w:numId w:val="4"/>
        </w:numPr>
        <w:suppressLineNumbers w:val="0"/>
        <w:spacing w:before="0" w:beforeAutospacing="1" w:after="0" w:afterAutospacing="1"/>
        <w:ind w:left="780" w:leftChars="0" w:hanging="360" w:firstLineChars="0"/>
      </w:pPr>
      <w:r>
        <w:t>同时解析准地转演变（Rossby波）与地转适应过程（惯性重力波）；</w:t>
      </w:r>
    </w:p>
    <w:p w14:paraId="4A730D60">
      <w:pPr>
        <w:keepNext w:val="0"/>
        <w:keepLines w:val="0"/>
        <w:widowControl/>
        <w:numPr>
          <w:ilvl w:val="1"/>
          <w:numId w:val="4"/>
        </w:numPr>
        <w:suppressLineNumbers w:val="0"/>
        <w:spacing w:before="0" w:beforeAutospacing="1" w:after="0" w:afterAutospacing="1"/>
        <w:ind w:left="780" w:leftChars="0" w:hanging="360" w:firstLineChars="0"/>
      </w:pPr>
      <w:r>
        <w:t>比准地转模式更接近实际大气运动。</w:t>
      </w:r>
    </w:p>
    <w:p w14:paraId="17C47F9D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守恒性</w:t>
      </w:r>
      <w:r>
        <w:t>：</w:t>
      </w:r>
    </w:p>
    <w:p w14:paraId="7A23FE92">
      <w:pPr>
        <w:keepNext w:val="0"/>
        <w:keepLines w:val="0"/>
        <w:widowControl/>
        <w:numPr>
          <w:ilvl w:val="1"/>
          <w:numId w:val="5"/>
        </w:numPr>
        <w:suppressLineNumbers w:val="0"/>
        <w:tabs>
          <w:tab w:val="left" w:pos="1440"/>
        </w:tabs>
        <w:spacing w:before="0" w:beforeAutospacing="1" w:after="0" w:afterAutospacing="1"/>
        <w:ind w:left="780" w:leftChars="0" w:hanging="360" w:firstLineChars="0"/>
      </w:pPr>
      <w:r>
        <w:t>有效抑制非线性计算不稳定。</w:t>
      </w:r>
    </w:p>
    <w:p w14:paraId="550B1E7E">
      <w:pPr>
        <w:pStyle w:val="4"/>
        <w:keepNext w:val="0"/>
        <w:keepLines w:val="0"/>
        <w:widowControl/>
        <w:suppressLineNumbers w:val="0"/>
      </w:pPr>
      <w:r>
        <w:t>4.2 局限性</w:t>
      </w:r>
    </w:p>
    <w:p w14:paraId="67312BA4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计算稳定性问题</w:t>
      </w:r>
      <w:r>
        <w:t>：</w:t>
      </w:r>
    </w:p>
    <w:p w14:paraId="43349F86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780" w:leftChars="0" w:hanging="360" w:firstLineChars="0"/>
      </w:pPr>
      <w:r>
        <w:t>快波（重力波）导致CFL条件限制，时间步长仅600秒；</w:t>
      </w:r>
    </w:p>
    <w:p w14:paraId="77BBC982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780" w:leftChars="0" w:hanging="360" w:firstLineChars="0"/>
      </w:pPr>
      <w:r>
        <w:t>24小时预报需144次迭代，计算效率较低。</w:t>
      </w:r>
    </w:p>
    <w:p w14:paraId="1AC3A121">
      <w:pPr>
        <w:pStyle w:val="5"/>
        <w:keepNext w:val="0"/>
        <w:keepLines w:val="0"/>
        <w:widowControl/>
        <w:suppressLineNumbers w:val="0"/>
      </w:pPr>
      <w:r>
        <w:rPr>
          <w:rStyle w:val="8"/>
        </w:rPr>
        <w:t>初始场敏感性</w:t>
      </w:r>
      <w:r>
        <w:t>：</w:t>
      </w:r>
    </w:p>
    <w:p w14:paraId="67DF1282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780" w:leftChars="0" w:hanging="360" w:firstLineChars="0"/>
      </w:pPr>
      <w:r>
        <w:t>风压场不协调引发虚假重力波</w:t>
      </w:r>
    </w:p>
    <w:p w14:paraId="67F2C03D">
      <w:pPr>
        <w:keepNext w:val="0"/>
        <w:keepLines w:val="0"/>
        <w:widowControl/>
        <w:numPr>
          <w:ilvl w:val="1"/>
          <w:numId w:val="7"/>
        </w:numPr>
        <w:suppressLineNumbers w:val="0"/>
        <w:tabs>
          <w:tab w:val="left" w:pos="1440"/>
        </w:tabs>
        <w:spacing w:before="0" w:beforeAutospacing="1" w:after="0" w:afterAutospacing="1"/>
        <w:ind w:left="780" w:leftChars="0" w:hanging="360" w:firstLineChars="0"/>
      </w:pPr>
      <w:r>
        <w:t>需通过地转平衡初始</w:t>
      </w:r>
      <w:bookmarkStart w:id="0" w:name="_GoBack"/>
      <w:bookmarkEnd w:id="0"/>
      <w:r>
        <w:t>化降低初始噪声。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KaTe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KaTe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ar(--yb-font-body-medium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C09EBB"/>
    <w:multiLevelType w:val="multilevel"/>
    <w:tmpl w:val="0FC09E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213FB07D"/>
    <w:multiLevelType w:val="multilevel"/>
    <w:tmpl w:val="213FB07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78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313469C6"/>
    <w:multiLevelType w:val="multilevel"/>
    <w:tmpl w:val="313469C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77118E5D"/>
    <w:multiLevelType w:val="multilevel"/>
    <w:tmpl w:val="77118E5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0075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2025-05-24T16:50:38Z</dcterms:created>
  <dc:creator>Chen Yong</dc:creator>
  <cp:lastModifiedBy>陈勇</cp:lastModifiedBy>
  <dcterms:modified xsi:type="dcterms:W3CDTF">2025-05-24T17:14:07Z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KSOTemplateDocerSaveRecord">
    <vt:lpwstr>eyJoZGlkIjoiMWQxNWQ3OWU0NDk0OTc5M2M2ZDdhZDI5NjQ3M2IyYjQiLCJ1c2VySWQiOiIxNjkyNjc4NjU1In0=</vt:lpwstr>
  </property>
  <property fmtid="{D5CDD505-2E9C-101B-9397-08002B2CF9AE}" pid="4" name="ICV">
    <vt:lpwstr>606EAE5A0FAF43E0B48838F8A6AC0660_12</vt:lpwstr>
  </property>
</Properties>
</file>