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69"/>
        <w:gridCol w:w="2879"/>
        <w:gridCol w:w="1276"/>
        <w:gridCol w:w="141"/>
        <w:gridCol w:w="1276"/>
        <w:gridCol w:w="1276"/>
        <w:gridCol w:w="79"/>
      </w:tblGrid>
      <w:tr w:rsidR="00A406CB" w:rsidRPr="0094432D" w:rsidTr="00734BC4">
        <w:trPr>
          <w:trHeight w:val="983"/>
        </w:trPr>
        <w:tc>
          <w:tcPr>
            <w:tcW w:w="1369" w:type="dxa"/>
          </w:tcPr>
          <w:p w:rsidR="00A406CB" w:rsidRPr="0094432D" w:rsidRDefault="00A406CB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H</w:t>
            </w:r>
            <w:r w:rsidRPr="0094432D">
              <w:rPr>
                <w:rFonts w:ascii="微軟正黑體" w:eastAsia="微軟正黑體" w:hAnsi="微軟正黑體"/>
              </w:rPr>
              <w:t>istory, Symptoms</w:t>
            </w:r>
          </w:p>
        </w:tc>
        <w:tc>
          <w:tcPr>
            <w:tcW w:w="6927" w:type="dxa"/>
            <w:gridSpan w:val="6"/>
          </w:tcPr>
          <w:p w:rsidR="00A406CB" w:rsidRPr="0094432D" w:rsidRDefault="002F0CA6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30歲的已婚王先生育有一子，無糖尿病、高血壓病史，半年前在工作上得到拔</w:t>
            </w:r>
            <w:proofErr w:type="gramStart"/>
            <w:r w:rsidRPr="0094432D">
              <w:rPr>
                <w:rFonts w:ascii="微軟正黑體" w:eastAsia="微軟正黑體" w:hAnsi="微軟正黑體" w:hint="eastAsia"/>
              </w:rPr>
              <w:t>擢</w:t>
            </w:r>
            <w:proofErr w:type="gramEnd"/>
            <w:r w:rsidRPr="0094432D">
              <w:rPr>
                <w:rFonts w:ascii="微軟正黑體" w:eastAsia="微軟正黑體" w:hAnsi="微軟正黑體" w:hint="eastAsia"/>
              </w:rPr>
              <w:t>，人生正要進入黃金階段。然而，近一個多月來在工作上屢屢不順，</w:t>
            </w:r>
            <w:r w:rsidR="00032C61" w:rsidRPr="0094432D">
              <w:rPr>
                <w:rFonts w:ascii="微軟正黑體" w:eastAsia="微軟正黑體" w:hAnsi="微軟正黑體" w:hint="eastAsia"/>
              </w:rPr>
              <w:t>思考與專注力降低，</w:t>
            </w:r>
            <w:r w:rsidRPr="0094432D">
              <w:rPr>
                <w:rFonts w:ascii="微軟正黑體" w:eastAsia="微軟正黑體" w:hAnsi="微軟正黑體" w:hint="eastAsia"/>
              </w:rPr>
              <w:t>效率</w:t>
            </w:r>
            <w:r w:rsidR="00032C61" w:rsidRPr="0094432D">
              <w:rPr>
                <w:rFonts w:ascii="微軟正黑體" w:eastAsia="微軟正黑體" w:hAnsi="微軟正黑體" w:hint="eastAsia"/>
              </w:rPr>
              <w:t>和</w:t>
            </w:r>
            <w:r w:rsidRPr="0094432D">
              <w:rPr>
                <w:rFonts w:ascii="微軟正黑體" w:eastAsia="微軟正黑體" w:hAnsi="微軟正黑體" w:hint="eastAsia"/>
              </w:rPr>
              <w:t>表現大受影響</w:t>
            </w:r>
            <w:r w:rsidR="00032C61" w:rsidRPr="0094432D">
              <w:rPr>
                <w:rFonts w:ascii="微軟正黑體" w:eastAsia="微軟正黑體" w:hAnsi="微軟正黑體" w:hint="eastAsia"/>
              </w:rPr>
              <w:t>。</w:t>
            </w:r>
            <w:r w:rsidRPr="0094432D">
              <w:rPr>
                <w:rFonts w:ascii="微軟正黑體" w:eastAsia="微軟正黑體" w:hAnsi="微軟正黑體" w:hint="eastAsia"/>
              </w:rPr>
              <w:t>平常動作變得遲緩，休息手不自主顫抖</w:t>
            </w:r>
            <w:r w:rsidR="00032C61" w:rsidRPr="0094432D">
              <w:rPr>
                <w:rFonts w:ascii="微軟正黑體" w:eastAsia="微軟正黑體" w:hAnsi="微軟正黑體" w:hint="eastAsia"/>
              </w:rPr>
              <w:t>。</w:t>
            </w:r>
            <w:r w:rsidRPr="0094432D">
              <w:rPr>
                <w:rFonts w:ascii="微軟正黑體" w:eastAsia="微軟正黑體" w:hAnsi="微軟正黑體" w:hint="eastAsia"/>
              </w:rPr>
              <w:t>情緒</w:t>
            </w:r>
            <w:r w:rsidR="00032C61" w:rsidRPr="0094432D">
              <w:rPr>
                <w:rFonts w:ascii="微軟正黑體" w:eastAsia="微軟正黑體" w:hAnsi="微軟正黑體" w:hint="eastAsia"/>
              </w:rPr>
              <w:t>因而失落，對大部分事物失去興趣，幾乎每天失眠</w:t>
            </w:r>
            <w:r w:rsidRPr="0094432D">
              <w:rPr>
                <w:rFonts w:ascii="微軟正黑體" w:eastAsia="微軟正黑體" w:hAnsi="微軟正黑體" w:hint="eastAsia"/>
              </w:rPr>
              <w:t>。在家人的勸說下來到門診。</w:t>
            </w:r>
          </w:p>
          <w:p w:rsidR="002F0CA6" w:rsidRPr="0094432D" w:rsidRDefault="002F0CA6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94432D">
              <w:rPr>
                <w:rFonts w:ascii="微軟正黑體" w:eastAsia="微軟正黑體" w:hAnsi="微軟正黑體" w:hint="eastAsia"/>
              </w:rPr>
              <w:t>門診狀況: 生命徵象穩定，脈搏77，血壓120/70，體溫36.5度</w:t>
            </w:r>
          </w:p>
        </w:tc>
      </w:tr>
      <w:tr w:rsidR="00A406CB" w:rsidRPr="0094432D" w:rsidTr="00734BC4">
        <w:trPr>
          <w:trHeight w:val="983"/>
        </w:trPr>
        <w:tc>
          <w:tcPr>
            <w:tcW w:w="1369" w:type="dxa"/>
          </w:tcPr>
          <w:p w:rsidR="00A406CB" w:rsidRPr="0094432D" w:rsidRDefault="00A406CB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Sign, PE</w:t>
            </w:r>
          </w:p>
        </w:tc>
        <w:tc>
          <w:tcPr>
            <w:tcW w:w="6927" w:type="dxa"/>
            <w:gridSpan w:val="6"/>
          </w:tcPr>
          <w:p w:rsidR="00A406CB" w:rsidRPr="0094432D" w:rsidRDefault="002F0CA6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醫師初步評估後，王先生</w:t>
            </w:r>
            <w:r w:rsidR="00032C61" w:rsidRPr="0094432D">
              <w:rPr>
                <w:rFonts w:ascii="微軟正黑體" w:eastAsia="微軟正黑體" w:hAnsi="微軟正黑體" w:hint="eastAsia"/>
              </w:rPr>
              <w:t>符合憂鬱症診斷標準。</w:t>
            </w:r>
          </w:p>
          <w:p w:rsidR="00032C61" w:rsidRPr="0094432D" w:rsidRDefault="00032C61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94432D">
              <w:rPr>
                <w:rFonts w:ascii="微軟正黑體" w:eastAsia="微軟正黑體" w:hAnsi="微軟正黑體" w:hint="eastAsia"/>
              </w:rPr>
              <w:t>PE也發現了resting tremor, bradykinesia, cogwheel rigidity的現象</w:t>
            </w:r>
            <w:r w:rsidR="00FD335E">
              <w:rPr>
                <w:rFonts w:ascii="微軟正黑體" w:eastAsia="微軟正黑體" w:hAnsi="微軟正黑體" w:hint="eastAsia"/>
              </w:rPr>
              <w:t>，</w:t>
            </w:r>
            <w:proofErr w:type="gramStart"/>
            <w:r w:rsidR="00FD335E">
              <w:rPr>
                <w:rFonts w:ascii="微軟正黑體" w:eastAsia="微軟正黑體" w:hAnsi="微軟正黑體" w:hint="eastAsia"/>
              </w:rPr>
              <w:t>此外，</w:t>
            </w:r>
            <w:proofErr w:type="gramEnd"/>
            <w:r w:rsidR="00FD335E">
              <w:rPr>
                <w:rFonts w:ascii="微軟正黑體" w:eastAsia="微軟正黑體" w:hAnsi="微軟正黑體" w:hint="eastAsia"/>
              </w:rPr>
              <w:t>腹部也有輕微腫大</w:t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 w:val="restart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94432D">
              <w:rPr>
                <w:rFonts w:ascii="微軟正黑體" w:eastAsia="微軟正黑體" w:hAnsi="微軟正黑體" w:hint="eastAsia"/>
              </w:rPr>
              <w:t>Lab finding</w:t>
            </w:r>
          </w:p>
        </w:tc>
        <w:tc>
          <w:tcPr>
            <w:tcW w:w="2879" w:type="dxa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94432D">
              <w:rPr>
                <w:rFonts w:ascii="微軟正黑體" w:eastAsia="微軟正黑體" w:hAnsi="微軟正黑體" w:hint="eastAsia"/>
              </w:rPr>
              <w:t>CBC</w:t>
            </w:r>
          </w:p>
        </w:tc>
        <w:tc>
          <w:tcPr>
            <w:tcW w:w="4048" w:type="dxa"/>
            <w:gridSpan w:val="5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proofErr w:type="spellStart"/>
            <w:r w:rsidRPr="0094432D">
              <w:rPr>
                <w:rFonts w:ascii="微軟正黑體" w:eastAsia="微軟正黑體" w:hAnsi="微軟正黑體" w:hint="eastAsia"/>
              </w:rPr>
              <w:t>H</w:t>
            </w:r>
            <w:r w:rsidRPr="0094432D">
              <w:rPr>
                <w:rFonts w:ascii="微軟正黑體" w:eastAsia="微軟正黑體" w:hAnsi="微軟正黑體"/>
              </w:rPr>
              <w:t>b</w:t>
            </w:r>
            <w:proofErr w:type="spellEnd"/>
            <w:r w:rsidRPr="0094432D">
              <w:rPr>
                <w:rFonts w:ascii="微軟正黑體" w:eastAsia="微軟正黑體" w:hAnsi="微軟正黑體" w:hint="eastAsia"/>
              </w:rPr>
              <w:t>異常偏低</w:t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肝腎功能</w:t>
            </w:r>
          </w:p>
        </w:tc>
        <w:tc>
          <w:tcPr>
            <w:tcW w:w="4048" w:type="dxa"/>
            <w:gridSpan w:val="5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4432D">
              <w:rPr>
                <w:rFonts w:ascii="微軟正黑體" w:eastAsia="微軟正黑體" w:hAnsi="微軟正黑體" w:hint="eastAsia"/>
              </w:rPr>
              <w:t>AST</w:t>
            </w:r>
            <w:r w:rsidRPr="0094432D">
              <w:rPr>
                <w:rFonts w:ascii="微軟正黑體" w:eastAsia="微軟正黑體" w:hAnsi="微軟正黑體"/>
              </w:rPr>
              <w:t>, ALT</w:t>
            </w:r>
            <w:r w:rsidRPr="0094432D">
              <w:rPr>
                <w:rFonts w:ascii="微軟正黑體" w:eastAsia="微軟正黑體" w:hAnsi="微軟正黑體" w:hint="eastAsia"/>
              </w:rPr>
              <w:t>異常偏高</w:t>
            </w:r>
          </w:p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94432D">
              <w:rPr>
                <w:rFonts w:ascii="微軟正黑體" w:eastAsia="微軟正黑體" w:hAnsi="微軟正黑體"/>
              </w:rPr>
              <w:t>A</w:t>
            </w:r>
            <w:r w:rsidRPr="0094432D">
              <w:rPr>
                <w:rFonts w:ascii="微軟正黑體" w:eastAsia="微軟正黑體" w:hAnsi="微軟正黑體" w:hint="eastAsia"/>
              </w:rPr>
              <w:t>lbumin異常偏低</w:t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94432D">
              <w:rPr>
                <w:rFonts w:ascii="微軟正黑體" w:eastAsia="微軟正黑體" w:hAnsi="微軟正黑體" w:hint="eastAsia"/>
              </w:rPr>
              <w:t>CXR</w:t>
            </w:r>
          </w:p>
        </w:tc>
        <w:tc>
          <w:tcPr>
            <w:tcW w:w="4048" w:type="dxa"/>
            <w:gridSpan w:val="5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94432D">
              <w:rPr>
                <w:rFonts w:ascii="微軟正黑體" w:eastAsia="微軟正黑體" w:hAnsi="微軟正黑體" w:hint="eastAsia"/>
              </w:rPr>
              <w:t>正常</w:t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94432D">
              <w:rPr>
                <w:rFonts w:ascii="微軟正黑體" w:eastAsia="微軟正黑體" w:hAnsi="微軟正黑體" w:hint="eastAsia"/>
              </w:rPr>
              <w:t>腹部超音波</w:t>
            </w:r>
          </w:p>
        </w:tc>
        <w:tc>
          <w:tcPr>
            <w:tcW w:w="4048" w:type="dxa"/>
            <w:gridSpan w:val="5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94432D">
              <w:rPr>
                <w:rFonts w:ascii="微軟正黑體" w:eastAsia="微軟正黑體" w:hAnsi="微軟正黑體"/>
              </w:rPr>
              <w:t>L</w:t>
            </w:r>
            <w:r w:rsidRPr="0094432D">
              <w:rPr>
                <w:rFonts w:ascii="微軟正黑體" w:eastAsia="微軟正黑體" w:hAnsi="微軟正黑體" w:hint="eastAsia"/>
              </w:rPr>
              <w:t>iver,</w:t>
            </w:r>
            <w:r w:rsidRPr="0094432D">
              <w:rPr>
                <w:rFonts w:ascii="微軟正黑體" w:eastAsia="微軟正黑體" w:hAnsi="微軟正黑體"/>
              </w:rPr>
              <w:t xml:space="preserve"> spleen</w:t>
            </w:r>
            <w:r w:rsidRPr="0094432D">
              <w:rPr>
                <w:rFonts w:ascii="微軟正黑體" w:eastAsia="微軟正黑體" w:hAnsi="微軟正黑體" w:hint="eastAsia"/>
              </w:rPr>
              <w:t>輕微腫大</w:t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 w:hint="eastAsia"/>
              </w:rPr>
              <w:t>IgM anti-HAV</w:t>
            </w:r>
            <w:r w:rsidRPr="00734BC4">
              <w:rPr>
                <w:rFonts w:ascii="微軟正黑體" w:eastAsia="微軟正黑體" w:hAnsi="微軟正黑體"/>
              </w:rPr>
              <w:t xml:space="preserve">, </w:t>
            </w:r>
            <w:proofErr w:type="spellStart"/>
            <w:r w:rsidRPr="00734BC4">
              <w:rPr>
                <w:rFonts w:ascii="微軟正黑體" w:eastAsia="微軟正黑體" w:hAnsi="微軟正黑體" w:hint="eastAsia"/>
              </w:rPr>
              <w:t>HBsAg</w:t>
            </w:r>
            <w:proofErr w:type="spellEnd"/>
            <w:r w:rsidRPr="00734BC4">
              <w:rPr>
                <w:rFonts w:ascii="微軟正黑體" w:eastAsia="微軟正黑體" w:hAnsi="微軟正黑體"/>
              </w:rPr>
              <w:t>…</w:t>
            </w:r>
            <w:r w:rsidRPr="00734BC4">
              <w:rPr>
                <w:rFonts w:ascii="微軟正黑體" w:eastAsia="微軟正黑體" w:hAnsi="微軟正黑體" w:hint="eastAsia"/>
              </w:rPr>
              <w:t>等肝炎病毒</w:t>
            </w:r>
            <w:r>
              <w:rPr>
                <w:rFonts w:ascii="微軟正黑體" w:eastAsia="微軟正黑體" w:hAnsi="微軟正黑體" w:hint="eastAsia"/>
              </w:rPr>
              <w:t>抗體</w:t>
            </w:r>
          </w:p>
        </w:tc>
        <w:tc>
          <w:tcPr>
            <w:tcW w:w="4048" w:type="dxa"/>
            <w:gridSpan w:val="5"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均正常</w:t>
            </w:r>
          </w:p>
        </w:tc>
      </w:tr>
      <w:tr w:rsidR="00734BC4" w:rsidRPr="0094432D" w:rsidTr="00734BC4">
        <w:trPr>
          <w:trHeight w:val="413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  <w:vMerge w:val="restart"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 w:hint="eastAsia"/>
              </w:rPr>
              <w:t>深入的PE</w:t>
            </w:r>
          </w:p>
        </w:tc>
        <w:tc>
          <w:tcPr>
            <w:tcW w:w="4048" w:type="dxa"/>
            <w:gridSpan w:val="5"/>
          </w:tcPr>
          <w:p w:rsidR="00734BC4" w:rsidRPr="00734BC4" w:rsidRDefault="00734BC4" w:rsidP="00734BC4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 w:hint="eastAsia"/>
              </w:rPr>
              <w:t>眼睛</w:t>
            </w:r>
            <w:r w:rsidR="00FD335E">
              <w:rPr>
                <w:rFonts w:ascii="微軟正黑體" w:eastAsia="微軟正黑體" w:hAnsi="微軟正黑體" w:hint="eastAsia"/>
              </w:rPr>
              <w:t>(轉</w:t>
            </w:r>
            <w:proofErr w:type="gramStart"/>
            <w:r w:rsidR="00FD335E">
              <w:rPr>
                <w:rFonts w:ascii="微軟正黑體" w:eastAsia="微軟正黑體" w:hAnsi="微軟正黑體" w:hint="eastAsia"/>
              </w:rPr>
              <w:t>介</w:t>
            </w:r>
            <w:proofErr w:type="gramEnd"/>
            <w:r w:rsidR="00FD335E">
              <w:rPr>
                <w:rFonts w:ascii="微軟正黑體" w:eastAsia="微軟正黑體" w:hAnsi="微軟正黑體" w:hint="eastAsia"/>
              </w:rPr>
              <w:t>眼科, 使用slit-lamp)</w:t>
            </w:r>
          </w:p>
        </w:tc>
      </w:tr>
      <w:tr w:rsidR="00FD335E" w:rsidRPr="0094432D" w:rsidTr="00734BC4">
        <w:trPr>
          <w:trHeight w:val="413"/>
        </w:trPr>
        <w:tc>
          <w:tcPr>
            <w:tcW w:w="1369" w:type="dxa"/>
            <w:vMerge/>
          </w:tcPr>
          <w:p w:rsidR="00FD335E" w:rsidRPr="0094432D" w:rsidRDefault="00FD335E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  <w:vMerge/>
          </w:tcPr>
          <w:p w:rsidR="00FD335E" w:rsidRPr="00734BC4" w:rsidRDefault="00FD335E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4048" w:type="dxa"/>
            <w:gridSpan w:val="5"/>
          </w:tcPr>
          <w:p w:rsidR="00FD335E" w:rsidRDefault="00FD335E" w:rsidP="00734BC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396523" cy="11906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-1.jpe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3" t="9306" r="17149" b="2303"/>
                          <a:stretch/>
                        </pic:blipFill>
                        <pic:spPr bwMode="auto">
                          <a:xfrm>
                            <a:off x="0" y="0"/>
                            <a:ext cx="1401380" cy="119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335E" w:rsidRPr="00734BC4" w:rsidRDefault="00FD335E" w:rsidP="00734BC4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390650" cy="119062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-1-2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7" t="22442" r="21712" b="12317"/>
                          <a:stretch/>
                        </pic:blipFill>
                        <pic:spPr bwMode="auto">
                          <a:xfrm>
                            <a:off x="0" y="0"/>
                            <a:ext cx="139065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BC4" w:rsidRPr="0094432D" w:rsidTr="00734BC4">
        <w:trPr>
          <w:trHeight w:val="412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  <w:vMerge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4048" w:type="dxa"/>
            <w:gridSpan w:val="5"/>
          </w:tcPr>
          <w:p w:rsidR="00734BC4" w:rsidRPr="00734BC4" w:rsidRDefault="00734BC4" w:rsidP="00734BC4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 w:hint="eastAsia"/>
              </w:rPr>
              <w:t>發現</w:t>
            </w:r>
            <w:r w:rsidRPr="00734BC4">
              <w:rPr>
                <w:rFonts w:ascii="微軟正黑體" w:eastAsia="微軟正黑體" w:hAnsi="微軟正黑體"/>
              </w:rPr>
              <w:t>Descemet's membrane</w:t>
            </w:r>
            <w:r w:rsidRPr="00734BC4">
              <w:rPr>
                <w:rFonts w:ascii="微軟正黑體" w:eastAsia="微軟正黑體" w:hAnsi="微軟正黑體" w:hint="eastAsia"/>
              </w:rPr>
              <w:t>有灰綠色環狀沉積物(</w:t>
            </w:r>
            <w:proofErr w:type="spellStart"/>
            <w:r w:rsidRPr="00734BC4">
              <w:rPr>
                <w:rFonts w:ascii="微軟正黑體" w:eastAsia="微軟正黑體" w:hAnsi="微軟正黑體"/>
              </w:rPr>
              <w:t>Kayser</w:t>
            </w:r>
            <w:proofErr w:type="spellEnd"/>
            <w:r w:rsidRPr="00734BC4">
              <w:rPr>
                <w:rFonts w:ascii="微軟正黑體" w:eastAsia="微軟正黑體" w:hAnsi="微軟正黑體"/>
              </w:rPr>
              <w:t>-Fleischer rings</w:t>
            </w:r>
            <w:r w:rsidRPr="00734BC4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734BC4" w:rsidRPr="0094432D" w:rsidTr="00734BC4">
        <w:trPr>
          <w:gridAfter w:val="1"/>
          <w:wAfter w:w="79" w:type="dxa"/>
          <w:trHeight w:val="210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  <w:vMerge w:val="restart"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 w:hint="eastAsia"/>
              </w:rPr>
              <w:t>深入的血液、尿液檢查</w:t>
            </w:r>
          </w:p>
        </w:tc>
        <w:tc>
          <w:tcPr>
            <w:tcW w:w="1276" w:type="dxa"/>
          </w:tcPr>
          <w:p w:rsidR="00734BC4" w:rsidRPr="00734BC4" w:rsidRDefault="00734BC4" w:rsidP="0094432D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/>
              </w:rPr>
              <w:t xml:space="preserve">Serum </w:t>
            </w:r>
            <w:proofErr w:type="spellStart"/>
            <w:r w:rsidRPr="00734BC4">
              <w:rPr>
                <w:rFonts w:ascii="微軟正黑體" w:eastAsia="微軟正黑體" w:hAnsi="微軟正黑體"/>
              </w:rPr>
              <w:t>cerulopla</w:t>
            </w:r>
            <w:r w:rsidRPr="00734BC4">
              <w:rPr>
                <w:rFonts w:ascii="微軟正黑體" w:eastAsia="微軟正黑體" w:hAnsi="微軟正黑體"/>
              </w:rPr>
              <w:lastRenderedPageBreak/>
              <w:t>smin</w:t>
            </w:r>
            <w:proofErr w:type="spellEnd"/>
            <w:r w:rsidRPr="00734BC4">
              <w:rPr>
                <w:rFonts w:ascii="微軟正黑體" w:eastAsia="微軟正黑體" w:hAnsi="微軟正黑體" w:hint="eastAsia"/>
              </w:rPr>
              <w:t xml:space="preserve"> </w:t>
            </w:r>
            <w:r w:rsidRPr="00734BC4">
              <w:rPr>
                <w:rFonts w:ascii="微軟正黑體" w:eastAsia="微軟正黑體" w:hAnsi="微軟正黑體"/>
              </w:rPr>
              <w:t>level</w:t>
            </w:r>
          </w:p>
        </w:tc>
        <w:tc>
          <w:tcPr>
            <w:tcW w:w="1417" w:type="dxa"/>
            <w:gridSpan w:val="2"/>
          </w:tcPr>
          <w:p w:rsidR="00734BC4" w:rsidRPr="00734BC4" w:rsidRDefault="00734BC4" w:rsidP="0094432D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</w:rPr>
            </w:pPr>
            <w:r w:rsidRPr="00734BC4">
              <w:rPr>
                <w:rFonts w:ascii="微軟正黑體" w:eastAsia="微軟正黑體" w:hAnsi="微軟正黑體"/>
              </w:rPr>
              <w:lastRenderedPageBreak/>
              <w:t xml:space="preserve">24-hour urinary </w:t>
            </w:r>
            <w:r w:rsidRPr="00734BC4">
              <w:rPr>
                <w:rFonts w:ascii="微軟正黑體" w:eastAsia="微軟正黑體" w:hAnsi="微軟正黑體"/>
              </w:rPr>
              <w:lastRenderedPageBreak/>
              <w:t>copper excretion </w:t>
            </w:r>
          </w:p>
        </w:tc>
        <w:tc>
          <w:tcPr>
            <w:tcW w:w="1276" w:type="dxa"/>
          </w:tcPr>
          <w:p w:rsidR="00734BC4" w:rsidRPr="00734BC4" w:rsidRDefault="00734BC4" w:rsidP="0094432D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</w:rPr>
            </w:pPr>
            <w:hyperlink r:id="rId6" w:history="1">
              <w:r w:rsidRPr="00734BC4">
                <w:rPr>
                  <w:rFonts w:ascii="微軟正黑體" w:eastAsia="微軟正黑體" w:hAnsi="微軟正黑體"/>
                </w:rPr>
                <w:t>penicillamine</w:t>
              </w:r>
            </w:hyperlink>
            <w:r w:rsidRPr="00734BC4">
              <w:rPr>
                <w:rFonts w:ascii="微軟正黑體" w:eastAsia="微軟正黑體" w:hAnsi="微軟正黑體"/>
              </w:rPr>
              <w:t> cha</w:t>
            </w:r>
            <w:r w:rsidRPr="00734BC4">
              <w:rPr>
                <w:rFonts w:ascii="微軟正黑體" w:eastAsia="微軟正黑體" w:hAnsi="微軟正黑體"/>
              </w:rPr>
              <w:lastRenderedPageBreak/>
              <w:t>llenge</w:t>
            </w:r>
          </w:p>
        </w:tc>
        <w:bookmarkStart w:id="0" w:name="_GoBack"/>
        <w:bookmarkEnd w:id="0"/>
      </w:tr>
      <w:tr w:rsidR="00734BC4" w:rsidRPr="0094432D" w:rsidTr="00734BC4">
        <w:trPr>
          <w:gridAfter w:val="1"/>
          <w:wAfter w:w="79" w:type="dxa"/>
          <w:trHeight w:val="210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  <w:vMerge/>
          </w:tcPr>
          <w:p w:rsidR="00734BC4" w:rsidRPr="00734BC4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417" w:type="dxa"/>
            <w:gridSpan w:val="2"/>
          </w:tcPr>
          <w:p w:rsidR="00734BC4" w:rsidRPr="00734BC4" w:rsidRDefault="00734BC4" w:rsidP="0094432D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34BC4">
              <w:rPr>
                <w:rFonts w:ascii="微軟正黑體" w:eastAsia="微軟正黑體" w:hAnsi="微軟正黑體" w:hint="eastAsia"/>
              </w:rPr>
              <w:t>1.8mg/</w:t>
            </w:r>
            <w:proofErr w:type="spellStart"/>
            <w:r w:rsidRPr="00734BC4">
              <w:rPr>
                <w:rFonts w:ascii="微軟正黑體" w:eastAsia="微軟正黑體" w:hAnsi="微軟正黑體" w:hint="eastAsia"/>
              </w:rPr>
              <w:t>dL</w:t>
            </w:r>
            <w:proofErr w:type="spellEnd"/>
            <w:r w:rsidRPr="00734BC4">
              <w:rPr>
                <w:rFonts w:ascii="微軟正黑體" w:eastAsia="微軟正黑體" w:hAnsi="微軟正黑體" w:hint="eastAsia"/>
              </w:rPr>
              <w:t>(偏低)</w:t>
            </w:r>
          </w:p>
        </w:tc>
        <w:tc>
          <w:tcPr>
            <w:tcW w:w="2552" w:type="dxa"/>
            <w:gridSpan w:val="2"/>
          </w:tcPr>
          <w:p w:rsidR="00734BC4" w:rsidRPr="00734BC4" w:rsidRDefault="00734BC4" w:rsidP="0094432D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34BC4">
              <w:rPr>
                <w:rFonts w:ascii="微軟正黑體" w:eastAsia="微軟正黑體" w:hAnsi="微軟正黑體" w:hint="eastAsia"/>
              </w:rPr>
              <w:t>偏高</w:t>
            </w:r>
          </w:p>
        </w:tc>
      </w:tr>
      <w:tr w:rsidR="00FD335E" w:rsidRPr="0094432D" w:rsidTr="00C97F08">
        <w:trPr>
          <w:gridAfter w:val="1"/>
          <w:wAfter w:w="79" w:type="dxa"/>
          <w:trHeight w:val="210"/>
        </w:trPr>
        <w:tc>
          <w:tcPr>
            <w:tcW w:w="1369" w:type="dxa"/>
            <w:vMerge/>
          </w:tcPr>
          <w:p w:rsidR="00FD335E" w:rsidRPr="0094432D" w:rsidRDefault="00FD335E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FD335E" w:rsidRPr="00734BC4" w:rsidRDefault="00FD335E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A</w:t>
            </w:r>
            <w:r>
              <w:rPr>
                <w:rFonts w:ascii="微軟正黑體" w:eastAsia="微軟正黑體" w:hAnsi="微軟正黑體" w:hint="eastAsia"/>
              </w:rPr>
              <w:t xml:space="preserve">bdominal </w:t>
            </w:r>
            <w:r>
              <w:rPr>
                <w:rFonts w:ascii="微軟正黑體" w:eastAsia="微軟正黑體" w:hAnsi="微軟正黑體"/>
              </w:rPr>
              <w:t>CT</w:t>
            </w:r>
          </w:p>
        </w:tc>
        <w:tc>
          <w:tcPr>
            <w:tcW w:w="3969" w:type="dxa"/>
            <w:gridSpan w:val="4"/>
          </w:tcPr>
          <w:p w:rsidR="00FD335E" w:rsidRPr="00734BC4" w:rsidRDefault="00FD335E" w:rsidP="0094432D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2483048" cy="16573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-3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89" b="20064"/>
                          <a:stretch/>
                        </pic:blipFill>
                        <pic:spPr bwMode="auto">
                          <a:xfrm>
                            <a:off x="0" y="0"/>
                            <a:ext cx="2484100" cy="165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BC4" w:rsidRPr="0094432D" w:rsidTr="00734BC4">
        <w:trPr>
          <w:trHeight w:val="175"/>
        </w:trPr>
        <w:tc>
          <w:tcPr>
            <w:tcW w:w="1369" w:type="dxa"/>
            <w:vMerge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879" w:type="dxa"/>
          </w:tcPr>
          <w:p w:rsidR="00734BC4" w:rsidRPr="0094432D" w:rsidRDefault="00734BC4" w:rsidP="0094432D">
            <w:pPr>
              <w:spacing w:line="0" w:lineRule="atLeast"/>
              <w:rPr>
                <w:rFonts w:ascii="微軟正黑體" w:eastAsia="微軟正黑體" w:hAnsi="微軟正黑體" w:cs="Times New Roman" w:hint="eastAsia"/>
                <w:bCs/>
                <w:szCs w:val="24"/>
              </w:rPr>
            </w:pPr>
            <w:r w:rsidRPr="0094432D">
              <w:rPr>
                <w:rFonts w:ascii="微軟正黑體" w:eastAsia="微軟正黑體" w:hAnsi="微軟正黑體" w:cs="Times New Roman" w:hint="eastAsia"/>
                <w:bCs/>
                <w:szCs w:val="24"/>
              </w:rPr>
              <w:t>B</w:t>
            </w:r>
            <w:r w:rsidR="00FD335E">
              <w:rPr>
                <w:rFonts w:ascii="微軟正黑體" w:eastAsia="微軟正黑體" w:hAnsi="微軟正黑體" w:cs="Times New Roman"/>
                <w:bCs/>
                <w:szCs w:val="24"/>
              </w:rPr>
              <w:t>rain imaging</w:t>
            </w:r>
          </w:p>
        </w:tc>
        <w:tc>
          <w:tcPr>
            <w:tcW w:w="4048" w:type="dxa"/>
            <w:gridSpan w:val="5"/>
          </w:tcPr>
          <w:p w:rsidR="00734BC4" w:rsidRPr="0094432D" w:rsidRDefault="00FD335E" w:rsidP="0094432D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noProof/>
                <w:sz w:val="28"/>
              </w:rPr>
              <w:drawing>
                <wp:inline distT="0" distB="0" distL="0" distR="0">
                  <wp:extent cx="2433320" cy="2589530"/>
                  <wp:effectExtent l="0" t="0" r="508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2D" w:rsidRPr="0094432D" w:rsidTr="00734BC4">
        <w:trPr>
          <w:trHeight w:val="1044"/>
        </w:trPr>
        <w:tc>
          <w:tcPr>
            <w:tcW w:w="1369" w:type="dxa"/>
          </w:tcPr>
          <w:p w:rsidR="0094432D" w:rsidRPr="0094432D" w:rsidRDefault="0094432D" w:rsidP="0094432D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94432D">
              <w:rPr>
                <w:rFonts w:ascii="微軟正黑體" w:eastAsia="微軟正黑體" w:hAnsi="微軟正黑體" w:hint="eastAsia"/>
              </w:rPr>
              <w:t>Diagnosis</w:t>
            </w:r>
          </w:p>
        </w:tc>
        <w:tc>
          <w:tcPr>
            <w:tcW w:w="6927" w:type="dxa"/>
            <w:gridSpan w:val="6"/>
          </w:tcPr>
          <w:p w:rsidR="0094432D" w:rsidRPr="0094432D" w:rsidRDefault="0094432D" w:rsidP="0094432D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94432D">
              <w:rPr>
                <w:rFonts w:ascii="微軟正黑體" w:eastAsia="微軟正黑體" w:hAnsi="微軟正黑體" w:hint="eastAsia"/>
                <w:b/>
                <w:sz w:val="28"/>
              </w:rPr>
              <w:t>Wilson</w:t>
            </w:r>
            <w:r w:rsidR="00FD335E">
              <w:rPr>
                <w:rFonts w:ascii="微軟正黑體" w:eastAsia="微軟正黑體" w:hAnsi="微軟正黑體"/>
                <w:b/>
                <w:sz w:val="28"/>
              </w:rPr>
              <w:t>’s</w:t>
            </w:r>
            <w:r w:rsidRPr="0094432D">
              <w:rPr>
                <w:rFonts w:ascii="微軟正黑體" w:eastAsia="微軟正黑體" w:hAnsi="微軟正黑體" w:hint="eastAsia"/>
                <w:b/>
                <w:sz w:val="28"/>
              </w:rPr>
              <w:t xml:space="preserve"> disease</w:t>
            </w:r>
          </w:p>
        </w:tc>
      </w:tr>
    </w:tbl>
    <w:p w:rsidR="00311A61" w:rsidRPr="0094432D" w:rsidRDefault="00311A61" w:rsidP="0094432D">
      <w:pPr>
        <w:spacing w:line="0" w:lineRule="atLeast"/>
        <w:rPr>
          <w:rFonts w:ascii="微軟正黑體" w:eastAsia="微軟正黑體" w:hAnsi="微軟正黑體"/>
        </w:rPr>
      </w:pPr>
    </w:p>
    <w:sectPr w:rsidR="00311A61" w:rsidRPr="00944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CB"/>
    <w:rsid w:val="00032C61"/>
    <w:rsid w:val="002F0CA6"/>
    <w:rsid w:val="00311A61"/>
    <w:rsid w:val="00734BC4"/>
    <w:rsid w:val="0094432D"/>
    <w:rsid w:val="00A406CB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98D0E-EAD1-45D9-B0C9-23B7AF12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4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todate.com/contents/penicillamine-drug-information?source=see_link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</dc:creator>
  <cp:keywords/>
  <dc:description/>
  <cp:lastModifiedBy>York</cp:lastModifiedBy>
  <cp:revision>1</cp:revision>
  <dcterms:created xsi:type="dcterms:W3CDTF">2017-10-02T16:26:00Z</dcterms:created>
  <dcterms:modified xsi:type="dcterms:W3CDTF">2017-10-03T00:16:00Z</dcterms:modified>
</cp:coreProperties>
</file>