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 w:eastAsia="Microsoft YaHei"/>
          <w:b w:val="0"/>
          <w:color w:val="000000"/>
          <w:sz w:val="52"/>
        </w:rPr>
        <w:t>Canva Grow 营销内容合规层调研</w:t>
      </w:r>
    </w:p>
    <w:p>
      <w:pPr>
        <w:spacing w:after="240"/>
      </w:pPr>
      <w:r>
        <w:rPr>
          <w:rFonts w:ascii="Arial" w:hAnsi="Arial" w:eastAsia="Microsoft YaHei"/>
          <w:color w:val="555555"/>
          <w:sz w:val="22"/>
        </w:rPr>
        <w:t>需求调研分析（简版）｜2026年8月</w:t>
      </w:r>
    </w:p>
    <w:p>
      <w:pPr>
        <w:spacing w:after="240"/>
      </w:pPr>
      <w:r>
        <w:rPr>
          <w:rFonts w:ascii="Arial" w:hAnsi="Arial" w:eastAsia="Microsoft YaHei"/>
          <w:b/>
          <w:color w:val="000000"/>
        </w:rPr>
        <w:t>执行摘要：</w:t>
      </w:r>
      <w:r>
        <w:rPr>
          <w:rFonts w:ascii="Arial" w:hAnsi="Arial" w:eastAsia="Microsoft YaHei"/>
          <w:color w:val="000000"/>
        </w:rPr>
        <w:t>本项目希望在 Canva Grow 的内容生成与发布之间增加一层澳洲营销合规检查。现阶段证据表明，现有工具要么只匹配敏感词，要么只覆盖平台政策，难以同时做到澳洲法规理解、低误杀和可直接使用的改写。建议先聚焦金融及健康美容两类高风险文案，做一个文本优先的MVP。</w:t>
      </w:r>
    </w:p>
    <w:p>
      <w:pPr>
        <w:pStyle w:val="Heading1"/>
      </w:pPr>
      <w:r>
        <w:t>1. 项目背景与研究设计</w:t>
      </w:r>
    </w:p>
    <w:p>
      <w:r>
        <w:rPr>
          <w:rFonts w:ascii="Arial" w:hAnsi="Arial" w:eastAsia="Microsoft YaHei"/>
          <w:color w:val="000000"/>
        </w:rPr>
        <w:t>Canva Grow 能快速生成营销内容，但广告发布责任仍由用户承担。澳洲营销内容同时受到消费者保护、信贷披露、治疗用品广告以及平台政策影响。中小企业通常没有专职法务，因此容易在“写得快”和“发得安全”之间出现缺口。</w:t>
      </w:r>
    </w:p>
    <w:p>
      <w:pPr>
        <w:pStyle w:val="Heading2"/>
      </w:pPr>
      <w:r>
        <w:t>研究目标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确认用户是否真的遇到广告合规问题，以及问题出现的频率和后果。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比较通用AI、中文词库、Meta政策检查器和Canva Grow的能力边界。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明确上线后应该观察的数据，并确定可执行的MVP切口。</w:t>
      </w:r>
    </w:p>
    <w:p>
      <w:pPr>
        <w:pStyle w:val="Heading2"/>
      </w:pPr>
      <w:r>
        <w:t>研究方法与证据边界</w:t>
      </w:r>
    </w:p>
    <w:p>
      <w:r>
        <w:rPr>
          <w:rFonts w:ascii="Arial" w:hAnsi="Arial" w:eastAsia="Microsoft YaHei"/>
          <w:color w:val="000000"/>
        </w:rPr>
        <w:t>本报告使用三类证据：官方资料桌面研究、6条统一文案的竞品实测、用户研究框架与典型画像推演。当前没有真实业务流量、留存、收入或真实访谈样本，因此用户结论属于待验证假设，不能当作已证实事实。</w:t>
      </w:r>
    </w:p>
    <w:p>
      <w:r>
        <w:rPr>
          <w:rFonts w:ascii="Arial" w:hAnsi="Arial" w:eastAsia="Microsoft YaHei"/>
          <w:color w:val="000000"/>
        </w:rPr>
        <w:t>报告结构沿用参考目录的完整逻辑，并压缩为五个核心部分：项目背景与摘要 → 管理问题与市场证据 → 研究方法与样本 → 问卷/任务及访谈画像 → 洞察、流程诊断与机会 → 竞品与现有能力 → 证据汇总、策略和商业论证 → 产品方案 → 试点与组织落地 → 附录。</w:t>
      </w:r>
    </w:p>
    <w:p>
      <w:pPr>
        <w:pStyle w:val="Heading1"/>
      </w:pPr>
      <w:r>
        <w:t>2. 需求调研分析</w:t>
      </w:r>
    </w:p>
    <w:p>
      <w:pPr>
        <w:pStyle w:val="Heading2"/>
      </w:pPr>
      <w:r>
        <w:t>2.1 竞品调研</w:t>
      </w:r>
    </w:p>
    <w:p>
      <w:r>
        <w:rPr>
          <w:rFonts w:ascii="Arial" w:hAnsi="Arial" w:eastAsia="Microsoft YaHei"/>
          <w:color w:val="000000"/>
        </w:rPr>
        <w:t>测试采用6条文案，其中4条应拦截、2条应通过。重点考察：能否识别风险、是否误杀正常文案、能否解释原因，以及是否提供合规改写。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1600"/>
        <w:gridCol w:w="2300"/>
        <w:gridCol w:w="39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竞品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实测结果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优点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主要不足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ChatGPT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5/6正确（83.3%）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语境理解和解释最完整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会过度谨慎，法规结论需核实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句无忧/零克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均为3/6正确（50%）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中文词面扫描快、结果直观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不懂澳洲语境；英文子串误报；误杀“最爱”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Meta Checker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5/6正确（83.3%）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渠道政策结构化，支持中文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偏Meta政策；把合规金融样本判得过严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Canva Grow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3/6正确（50%）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直接进入广告创意和生成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放行贷款披露缺失、14天效果承诺及中文绝对安全声明</w:t>
            </w:r>
          </w:p>
        </w:tc>
      </w:tr>
    </w:tbl>
    <w:p>
      <w:r>
        <w:rPr>
          <w:rFonts w:ascii="Arial" w:hAnsi="Arial" w:eastAsia="Microsoft YaHei"/>
          <w:color w:val="000000"/>
        </w:rPr>
        <w:t>竞品结论：现有产品各自解决了“快速扫描、语义解释、平台预检或内容生成”中的一部分，但没有把澳洲法律、平台政策、风险解释和最小改写整合在同一流程中。</w:t>
      </w:r>
    </w:p>
    <w:p>
      <w:pPr>
        <w:pStyle w:val="Heading2"/>
      </w:pPr>
      <w:r>
        <w:t>2.2 用户调研</w:t>
      </w:r>
    </w:p>
    <w:p>
      <w:r>
        <w:rPr>
          <w:rFonts w:ascii="Arial" w:hAnsi="Arial" w:eastAsia="Microsoft YaHei"/>
          <w:color w:val="000000"/>
        </w:rPr>
        <w:t>本阶段尚未完成真实访谈。以下三类对象是根据招募问卷和访谈提纲形成的研究假设，后续需要用5–8名真实用户验证。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2700"/>
        <w:gridCol w:w="2700"/>
        <w:gridCol w:w="21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典型用户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当前做法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核心期待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主要顾虑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贷款经纪人/金融营销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机构模板、ASIC资料、人工审批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自动发现comparison rate等披露缺失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法规更新、法律责任、误判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护肤/电商小企业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Google搜索、ChatGPT、Canva、偶尔咨询顾问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解释健康功效风险并给可用改写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破坏品牌语气、数据隐私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广告代理/自由营销人员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个人清单、Meta政策中心、客户审批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批量检查、证据留档、跨平台规则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误杀拖慢交付、难接入现有流程</w:t>
            </w:r>
          </w:p>
        </w:tc>
      </w:tr>
    </w:tbl>
    <w:p>
      <w:pPr>
        <w:pStyle w:val="Heading3"/>
      </w:pPr>
      <w:r>
        <w:t>用户研究的初步回答</w:t>
      </w:r>
    </w:p>
    <w:p>
      <w:r>
        <w:rPr>
          <w:rFonts w:ascii="Arial" w:hAnsi="Arial" w:eastAsia="Microsoft YaHei"/>
          <w:b/>
          <w:color w:val="000000"/>
        </w:rPr>
        <w:t>用户是否真的有问题：</w:t>
      </w:r>
      <w:r>
        <w:rPr>
          <w:rFonts w:ascii="Arial" w:hAnsi="Arial" w:eastAsia="Microsoft YaHei"/>
          <w:color w:val="000000"/>
        </w:rPr>
        <w:t>高风险行业存在明确问题，但需求频率和严重程度仍需真实访谈验证。</w:t>
      </w:r>
    </w:p>
    <w:p>
      <w:r>
        <w:rPr>
          <w:rFonts w:ascii="Arial" w:hAnsi="Arial" w:eastAsia="Microsoft YaHei"/>
          <w:b/>
          <w:color w:val="000000"/>
        </w:rPr>
        <w:t>替代方案：</w:t>
      </w:r>
      <w:r>
        <w:rPr>
          <w:rFonts w:ascii="Arial" w:hAnsi="Arial" w:eastAsia="Microsoft YaHei"/>
          <w:color w:val="000000"/>
        </w:rPr>
        <w:t>人工检查、官方网页、ChatGPT、敏感词工具和专业顾问已经存在，但流程分散。</w:t>
      </w:r>
    </w:p>
    <w:p>
      <w:r>
        <w:rPr>
          <w:rFonts w:ascii="Arial" w:hAnsi="Arial" w:eastAsia="Microsoft YaHei"/>
          <w:b/>
          <w:color w:val="000000"/>
        </w:rPr>
        <w:t>对AI的期待：</w:t>
      </w:r>
      <w:r>
        <w:rPr>
          <w:rFonts w:ascii="Arial" w:hAnsi="Arial" w:eastAsia="Microsoft YaHei"/>
          <w:color w:val="000000"/>
        </w:rPr>
        <w:t>准确发现风险、说清原因、给出仍有营销效果的最小改写。</w:t>
      </w:r>
    </w:p>
    <w:p>
      <w:r>
        <w:rPr>
          <w:rFonts w:ascii="Arial" w:hAnsi="Arial" w:eastAsia="Microsoft YaHei"/>
          <w:b/>
          <w:color w:val="000000"/>
        </w:rPr>
        <w:t>最担心：</w:t>
      </w:r>
      <w:r>
        <w:rPr>
          <w:rFonts w:ascii="Arial" w:hAnsi="Arial" w:eastAsia="Microsoft YaHei"/>
          <w:color w:val="000000"/>
        </w:rPr>
        <w:t>法规过期、漏检、误杀、责任边界和商业文案隐私。</w:t>
      </w:r>
    </w:p>
    <w:p>
      <w:pPr>
        <w:pStyle w:val="Heading2"/>
      </w:pPr>
      <w:r>
        <w:t>2.3 数据分析</w:t>
      </w:r>
    </w:p>
    <w:p>
      <w:r>
        <w:rPr>
          <w:rFonts w:ascii="Arial" w:hAnsi="Arial" w:eastAsia="Microsoft YaHei"/>
          <w:color w:val="000000"/>
        </w:rPr>
        <w:t>当前能使用的真实数字主要来自可复现的竞品测试。数据分析文档还设计了三条实验线：D1（300条盲法对照）、D2（6条竞品横评）和D3（49,431词条、10条试题）。本简报只引用已经复核的D2结果，不把尚未复核的实验结果写成业务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3300"/>
        <w:gridCol w:w="39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未来重点指标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说明的问题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为什么重要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首次检测完成率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用户是否理解并完成核心流程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验证首屏和操作是否清楚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高风险漏检率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危险文案被错误放行的比例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本产品最关键的安全护栏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合规文案误杀率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正常文案被错误拦截的比例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决定效率与用户信任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合规改写采用率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用户是否直接使用改写结果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判断建议是否真正可用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人工修正率/满意度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用户是否频繁修改及是否认可输出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衡量AI质量和品牌适配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7日/30日留存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用户是否在后续广告任务中回来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广告合规不是每日需求，比次日留存更合理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广告拒审率变化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使用前后平台拒审是否下降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验证产品是否产生真实业务结果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付费转化率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用户是否愿意为降风险和省时间付费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验证商业价值</w:t>
            </w:r>
          </w:p>
        </w:tc>
      </w:tr>
    </w:tbl>
    <w:p>
      <w:r>
        <w:rPr>
          <w:rFonts w:ascii="Arial" w:hAnsi="Arial" w:eastAsia="Microsoft YaHei"/>
          <w:color w:val="000000"/>
        </w:rPr>
        <w:t>建议北极星指标：每月“完成检查并被用户采用/导出的合规内容数”。护栏指标为漏检率、误杀率和法规引用覆盖率；不把警告数量或纯生成量当作成功。</w:t>
      </w:r>
    </w:p>
    <w:p>
      <w:r>
        <w:rPr>
          <w:rFonts w:ascii="Arial" w:hAnsi="Arial" w:eastAsia="Microsoft YaHei"/>
          <w:color w:val="000000"/>
        </w:rPr>
        <w:t>数据局限：目前没有真实访问、转化、留存和收入数据，所以本阶段只能做调研分析、竞品分析、市场资料分析和风险测试。</w:t>
      </w:r>
    </w:p>
    <w:p>
      <w:pPr>
        <w:pStyle w:val="Heading2"/>
      </w:pPr>
      <w:r>
        <w:t>2.4 市场分析</w:t>
      </w:r>
    </w:p>
    <w:p>
      <w:r>
        <w:rPr>
          <w:rFonts w:ascii="Arial" w:hAnsi="Arial" w:eastAsia="Microsoft YaHei"/>
          <w:color w:val="000000"/>
        </w:rPr>
        <w:t>市场需求来自规则复杂与AI生成规模扩大之间的矛盾。ACCC要求商业宣传真实、准确并有合理依据；ASIC要求特定固定期限消费信贷广告展示comparison rate；TGA要求治疗用品广告准确、平衡、有证据，并明确禁止“无副作用”等绝对安全表述。平台还会执行自己的广告政策。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市场层级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优先对象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9FA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机会判断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首要市场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澳洲贷款经纪人、金融营销人员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规则清晰、错误代价高，适合从comparison rate切入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第二市场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护肤、保健品、健康美容小企业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功效与天然声明多，用户需要证据提示和改写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扩展市场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广告代理、自由营销人员及跨境团队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需要批量检查、客户报告和多平台适配</w:t>
            </w:r>
          </w:p>
        </w:tc>
      </w:tr>
    </w:tbl>
    <w:p>
      <w:pPr>
        <w:pStyle w:val="Heading3"/>
      </w:pPr>
      <w:r>
        <w:t>市场机会与风险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机会：在Canva生成和发布之间增加“发布前预检”，比独立网站更贴近工作流。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差异化：同时输出澳洲法规层、平台政策层、风险理由、官方来源和最小改写。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风险：不能承诺法律正确；规则需要持续更新；高风险结论必须允许人工复核。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本阶段不估算市场规模或收入，因为缺少可靠的产品使用和付费数据。</w:t>
      </w:r>
    </w:p>
    <w:p>
      <w:pPr>
        <w:pStyle w:val="Heading2"/>
      </w:pPr>
      <w:r>
        <w:t>2.5 调研结论</w:t>
      </w:r>
    </w:p>
    <w:p>
      <w:r>
        <w:rPr>
          <w:rFonts w:ascii="Arial" w:hAnsi="Arial" w:eastAsia="Microsoft YaHei"/>
          <w:color w:val="000000"/>
        </w:rPr>
        <w:t>方向值得继续，但应以小范围MVP验证，而不是直接做“全行业、全平台、全法规”的通用系统。最合适的切口是澳洲金融与健康美容的文本广告检查。</w:t>
      </w:r>
    </w:p>
    <w:p>
      <w:pPr>
        <w:pStyle w:val="Heading3"/>
      </w:pPr>
      <w:r>
        <w:t>建议的MVP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输入一段广告文案，并选择行业、投放国家和平台。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输出风险等级、命中句、通俗原因和官方来源。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提供保留营销意图的最小改写，并标明改了什么。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高风险或信息不足时提问，而不是直接猜测。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保存用户确认与修改记录，支持后续复核。</w:t>
      </w:r>
    </w:p>
    <w:p>
      <w:pPr>
        <w:pStyle w:val="Heading3"/>
      </w:pPr>
      <w:r>
        <w:t>试点与商业验证</w:t>
      </w:r>
    </w:p>
    <w:p>
      <w:r>
        <w:rPr>
          <w:rFonts w:ascii="Arial" w:hAnsi="Arial" w:eastAsia="Microsoft YaHei"/>
          <w:color w:val="000000"/>
        </w:rPr>
        <w:t>先访谈5–8名真实目标用户，再邀请10–15名用户进行2周试点。重点验证：高风险召回、误杀、改写采用率、处理时间和付费意愿。建议把“高风险召回率≥90%、误杀率≤15%、改写采用率≥40%”作为试点目标，而不是当前已实现结果。</w:t>
      </w:r>
    </w:p>
    <w:p>
      <w:r>
        <w:rPr>
          <w:rFonts w:ascii="Arial" w:hAnsi="Arial" w:eastAsia="Microsoft YaHei"/>
          <w:color w:val="000000"/>
        </w:rPr>
        <w:t>最终判断：如果用户愿意在发布前主动使用，且工具能显著减少漏检和返工，就继续扩展平台和行业；如果使用频率低或用户仍完全依赖人工，则应转为面向代理机构的批量审核/报告工具。</w:t>
      </w:r>
    </w:p>
    <w:p>
      <w:pPr>
        <w:pStyle w:val="Heading1"/>
      </w:pPr>
      <w:r>
        <w:t>附录：资料来源与说明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ACCC，False or misleading claims：https://www.accc.gov.au/consumers/advertising-and-promotions/false-or-misleading-claims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ASIC，National Credit Code - Comparison rates：https://asic.gov.au/regulatory-resources/credit/credit-general-conduct-obligations/national-credit-code/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TGA，General requirements for advertising therapeutic goods：https://www.tga.gov.au/products/regulations-all-products/advertising/applying-advertising-code/general-requirements-advertising-therapeutic-goods-public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Meta，Advertising Standards：https://transparency.meta.com/policies/ad-standards/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color w:val="000000"/>
        </w:rPr>
        <w:t>项目内部资料：竞品实测工作表、用户研究工具包、数据分析文档。</w:t>
      </w:r>
    </w:p>
    <w:p>
      <w:r>
        <w:rPr>
          <w:rFonts w:ascii="Arial" w:hAnsi="Arial" w:eastAsia="Microsoft YaHei"/>
          <w:color w:val="000000"/>
        </w:rPr>
        <w:t>说明：本文是产品需求调研，不构成法律意见。用户研究部分为典型画像与研究假设，必须在作品集或汇报中明确标注，不能伪装成真实受访者证言。</w:t>
      </w:r>
    </w:p>
    <w:sectPr w:rsidR="00FC693F" w:rsidRPr="0006063C" w:rsidSect="00034616">
      <w:pgSz w:w="12240" w:h="15840"/>
      <w:pgMar w:top="1224" w:right="1296" w:bottom="1224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 Grow 营销内容合规层调研 - 需求调研分析</dc:title>
  <dc:subject>竞品、用户、数据、市场与MVP结论</dc:subject>
  <dc:creator/>
  <cp:keywords>Canva Grow, 广告合规, 澳洲, 需求调研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