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6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PRODUCT REQUIREMENTS DOCUMENT</w:t>
      </w:r>
    </w:p>
    <w:p>
      <w:pPr>
        <w:keepNext w:val="0"/>
        <w:spacing w:before="6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54"/>
        </w:rPr>
        <w:t>Canva Grow</w:t>
        <w:br/>
        <w:t>营销内容合规层</w:t>
      </w:r>
    </w:p>
    <w:p>
      <w:pPr>
        <w:keepNext w:val="0"/>
        <w:spacing w:before="0" w:after="200" w:line="274" w:lineRule="auto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25"/>
        </w:rPr>
        <w:t>让品牌在 Canva 中更快生成、修复并发布可解释的合规营销内容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项目对 Canva 的价值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778000"/>
            <wp:docPr id="1" name="Picture 1" descr="value chain" title="value ch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3E8FF"/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7D2AE8"/>
                <w:sz w:val="36"/>
              </w:rPr>
              <w:t>↑</w:t>
            </w:r>
            <w:r>
              <w:br/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191F"/>
                <w:sz w:val="17"/>
              </w:rPr>
              <w:t>发布转化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667085"/>
                <w:sz w:val="14"/>
              </w:rPr>
              <w:t>减少末端返工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7FAFA"/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A9B5"/>
                <w:sz w:val="36"/>
              </w:rPr>
              <w:t>↓</w:t>
            </w:r>
            <w:r>
              <w:br/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191F"/>
                <w:sz w:val="17"/>
              </w:rPr>
              <w:t>合规成本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667085"/>
                <w:sz w:val="14"/>
              </w:rPr>
              <w:t>把检查前移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AF7F0"/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7A55"/>
                <w:sz w:val="36"/>
              </w:rPr>
              <w:t>+</w:t>
            </w:r>
            <w:r>
              <w:br/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191F"/>
                <w:sz w:val="17"/>
              </w:rPr>
              <w:t>行业覆盖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667085"/>
                <w:sz w:val="14"/>
              </w:rPr>
              <w:t>从 Beauty 起步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9A6700"/>
                <w:sz w:val="36"/>
              </w:rPr>
              <w:t>↻</w:t>
            </w:r>
            <w:r>
              <w:br/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191F"/>
                <w:sz w:val="17"/>
              </w:rPr>
              <w:t>知识复利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667085"/>
                <w:sz w:val="14"/>
              </w:rPr>
              <w:t>争议驱动迭代</w:t>
            </w:r>
          </w:p>
        </w:tc>
      </w:tr>
    </w:tbl>
    <w:p>
      <w:pPr>
        <w:shd w:fill="E7FAFA"/>
        <w:keepNext w:val="0"/>
        <w:pBdr>
          <w:left w:val="single" w:sz="18" w:space="8" w:color="00A9B5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00A9B5"/>
          <w:sz w:val="19"/>
        </w:rPr>
        <w:t xml:space="preserve">核心判断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这不是一个独立法务工具，而是嵌入 Canva Grow 创作-发布链路的决策层：能检查时给出可执行结果，不能检查时明确边界并阻止错误的“可发布”暗示。</w:t>
      </w:r>
    </w:p>
    <w:p>
      <w:pPr>
        <w:keepNext w:val="0"/>
        <w:spacing w:before="0" w:after="0" w:line="274" w:lineRule="auto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Owner  AI Product · Risk &amp; Compliance     |     Status  Draft for alignment     |     Scope  AU · Beauty · Text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01 · CONTEXT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1. 文档信息与项目背景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828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产品名称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Canva Grow Compliance Layer（营销内容合规层）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产品定位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创作时自动判断营销文案是否可在当前覆盖范围内继续发布，并提供修复、追问或边界披露。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目标用户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品牌营销人员、中小企业主、代理商创作者；运营端为法规专家、内容政策与风险团队。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本期范围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Australia · Beauty · Text；Cosmetic 与 AUST L Listed Medicine。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非目标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不替代法律意见；不声称覆盖 Meta 平台政策、图片、落地页或未发布市场知识包。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1.1 为什么现在做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900"/>
        <w:gridCol w:w="3700"/>
        <w:gridCol w:w="448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用户旅程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当前断点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产品机会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生成文案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AI 能写，但用户不知道是否满足市场/品类义务。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生成后立即校验，问题与修复同屏。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准备发布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合规常在末端介入，返工或等待人工。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把必要声明、禁用表达和证据要求前移。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跨市场复用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用户易把局部规则误认为全市场覆盖。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按国家×行业×产品×格式披露精确覆盖。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规则变化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来源、规则、模型和界面解释容易漂移。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知识包版本化，评测通过后再发布。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1.2 用户与 Jobs-to-be-done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3800"/>
        <w:gridCol w:w="448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核心任务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成功体验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创作者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快速产出并发布广告文案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少跳转；问题清楚；可一键修复。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品牌/法务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控制违规风险与证据链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可追溯规则版本、来源与处理记录。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知识运营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维护多市场合规知识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覆盖矩阵清晰，变更有审核与回归评测。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shd w:fill="FFF7D6"/>
        <w:keepNext w:val="0"/>
        <w:pBdr>
          <w:left w:val="single" w:sz="18" w:space="8" w:color="9A6700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9A6700"/>
          <w:sz w:val="19"/>
        </w:rPr>
        <w:t xml:space="preserve">前提假设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本 PRD 以演示站点中的 AU Beauty Text 能力为 P0 基线；所有控制台数字均为 Demo data，不代表 Canva 真实生产指标。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02 · GOALS &amp; SCOPE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2. 产品目标、成功指标与优先级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2.1 北极星与护栏指标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000"/>
        <w:gridCol w:w="3300"/>
        <w:gridCol w:w="1800"/>
        <w:gridCol w:w="298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定义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试点建议目标*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合规发布完成率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进入检查后，以有效 Ready 状态继续的会话占比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建立基线后提升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北极星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关键遗漏召回率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必填声明/明确禁用项被识别的比例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≥95%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安全护栏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误拦截率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真实可用文案被判 Fix 的比例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≤8%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体验护栏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覆盖披露率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每次结果展示 checked/not checked 的比例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100%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透明度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P95 决策耗时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从内容稳定到结果可用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≤4s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性能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修复后完成率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点击修复后通过重检并继续的比例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≥60%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价值验证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80" w:line="274" w:lineRule="auto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5"/>
        </w:rPr>
        <w:t>* 为 PRD 阶段建议阈值，需由影子模式和人工复核结果校准；不得作为现状数据对外传播。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2.2 范围优先级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74136"/>
            <wp:docPr id="2" name="Picture 2" descr="priority matrix" title="priority matr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300"/>
        <w:gridCol w:w="4780"/>
        <w:gridCol w:w="400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4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包含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明确不包含</w:t>
            </w:r>
          </w:p>
        </w:tc>
      </w:tr>
      <w:t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P0</w:t>
            </w:r>
          </w:p>
        </w:tc>
        <w:tc>
          <w:tcPr>
            <w:tcW w:type="dxa" w:w="4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文本校验、上下文补全、四态结果、修复与重检、覆盖披露、知识版本、争议/评测门禁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图片、落地页、Meta 平台政策</w:t>
            </w:r>
          </w:p>
        </w:tc>
      </w:tr>
      <w:t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P1</w:t>
            </w:r>
          </w:p>
        </w:tc>
        <w:tc>
          <w:tcPr>
            <w:tcW w:type="dxa" w:w="4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图片与落地页检查、平台政策包、多轮上下文、更多 AU 品类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自动扩展为所有市场</w:t>
            </w:r>
          </w:p>
        </w:tc>
      </w:tr>
      <w:t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P2</w:t>
            </w:r>
          </w:p>
        </w:tc>
        <w:tc>
          <w:tcPr>
            <w:tcW w:type="dxa" w:w="4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视频/音频、多市场自助接入、创作前预防式指导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无审核的自动法规发布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03 · CORE EXPERIENCE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3. 核心体验：同屏检查、修复与边界说明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900"/>
        <w:gridCol w:w="3300"/>
        <w:gridCol w:w="3000"/>
        <w:gridCol w:w="188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结果状态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触发条件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用户动作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发布权限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Ready to run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上下文完整、范围受支持、无明确问题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查看证据与覆盖范围后继续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允许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Fix before running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发现必填缺失或明确风险表达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一键修复/手改后自动重检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阻止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Need your input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产品分类、证据或上下文不足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补充信息，不做猜测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阻止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Outside scope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市场/行业/产品/格式不在已发布范围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展示未检查项与替代路径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阻止绿色结论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3.1 差异化结果示意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5B21B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需修复：缺少强制声明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5B21B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可发布：当前范围内未发现明确问题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2651760" cy="4675472"/>
                  <wp:docPr id="3" name="Picture 3" descr="demo issue crop" title="demo issue cro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_issue_cr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4675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2651760" cy="4675472"/>
                  <wp:docPr id="4" name="Picture 4" descr="demo pass crop" title="demo pass cro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_pass_cr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4675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0" w:after="100" w:line="274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5"/>
        </w:rPr>
        <w:t>图 1  Canva Grow 演示：同一创作界面根据内容与上下文给出不同决策。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3.2 关键交互要求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5330"/>
        <w:gridCol w:w="295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要求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验收信号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自动触发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内容或上下文稳定后检查；编辑即使结果过期并重跑。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旧结果不可继续使用。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问题卡片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指出原文片段、问题类型、可能规则与下一步。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用户无需离开画布理解。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Magic rewrite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仅改必要片段；保留品牌语气；修改后重检。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不把修复本身当作通过。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解释与反馈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展示 checked/not checked、知识版本、trace_id；可报告结果。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支持审计与争议回流。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04 · END-TO-END FLOW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4. 产品整体流程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5538216"/>
            <wp:docPr id="5" name="Picture 5" descr="图 2  用户侧端到端流程；每个否定分支都有明确兜底，不以模型猜测补齐。" title="图 2  用户侧端到端流程；每个否定分支都有明确兜底，不以模型猜测补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3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2  用户侧端到端流程；每个否定分支都有明确兜底，不以模型猜测补齐。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4.1 三类必须覆盖的异常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4200"/>
        <w:gridCol w:w="358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异常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系统行为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用户文案原则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意图/分类不确定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进入 Need your input；给最少必要追问。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说明缺什么，不假装确定。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范围不支持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Outside scope；列出已检查与未检查项。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不使用“合规/安全”绝对措辞。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服务/规则执行失败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结果失效并阻止继续；支持重试与人工路径。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透明说明暂时不可用。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05 · KNOWLEDGE OPERATIONS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5. 合规知识控制台与治理闭环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054190"/>
            <wp:docPr id="6" name="Picture 6" descr="图 3  演示控制台总览：市场、规则、待审核与争议状态集中呈现。" title="图 3  演示控制台总览：市场、规则、待审核与争议状态集中呈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onso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05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3  演示控制台总览：市场、规则、待审核与争议状态集中呈现。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1835912"/>
            <wp:docPr id="7" name="Picture 7" descr="图 4  从官方来源到在线决策，再由争议回流到更新迭代。" title="图 4  从官方来源到在线决策，再由争议回流到更新迭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83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4  从官方来源到在线决策，再由争议回流到更新迭代。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5.1 后台能力模块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4700"/>
        <w:gridCol w:w="358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核心能力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关键权限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知识包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市场/行业/产品/格式组合；版本与生效期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知识管理员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来源与规则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来源快照、条款映射、结构化条件/结论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法规专家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审核与争议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双人复核、用户反馈、判例沉淀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审核员/法务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评测与发布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回归集、阈值、门禁、回滚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发布管理员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06 · COVERAGE &amp; REQUIREMENTS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6. 覆盖矩阵与功能范围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672114"/>
            <wp:docPr id="8" name="Picture 8" descr="图 5  覆盖必须精确到 Country × Industry × Product × Format；状态不可被用户误读为全市场。" title="图 5  覆盖必须精确到 Country × Industry × Product × Format；状态不可被用户误读为全市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67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5  覆盖必须精确到 Country × Industry × Product × Format；状态不可被用户误读为全市场。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6.1 P0 功能清单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50"/>
        <w:gridCol w:w="2100"/>
        <w:gridCol w:w="713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功能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P0 验收标准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F01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上下文采集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市场、行业、产品、格式至少可追溯；缺失时追问。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F02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知识包路由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仅命中已发布且在有效期内的版本。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F03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文本决策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输出 Ready/Fix/Need input/Outside scope 之一。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F04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问题定位与修复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返回问题片段、依据摘要、建议改法；修复后重检。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F05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覆盖披露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所有结果展示 checked/not checked 与知识版本。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F06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发布门禁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非有效 Ready 不得继续；内容变化立即使结果失效。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F07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决策日志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记录输入哈希、上下文、结果、版本、耗时与 trace_id。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F08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争议反馈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用户可报告结果，进入队列并关联原决策。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shd w:fill="FFF0EB"/>
        <w:keepNext w:val="0"/>
        <w:pBdr>
          <w:left w:val="single" w:sz="18" w:space="8" w:color="D94B2B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D94B2B"/>
          <w:sz w:val="19"/>
        </w:rPr>
        <w:t xml:space="preserve">边界原则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“Unsupported”不是失败，而是可信产品的必要输出。任何未覆盖组合都不得通过通用模型生成绿色结论。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07 · SYSTEM &amp; DATA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7. 系统架构与决策契约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459988"/>
            <wp:docPr id="9" name="Picture 9" descr="图 6  规则确定性、模型理解能力与知识治理分层，避免把法规事实塞入不可审计的提示词。" title="图 6  规则确定性、模型理解能力与知识治理分层，避免把法规事实塞入不可审计的提示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59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6  规则确定性、模型理解能力与知识治理分层，避免把法规事实塞入不可审计的提示词。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7.1 决策输出结构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100"/>
        <w:gridCol w:w="5050"/>
        <w:gridCol w:w="293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示例/规则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status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READY / FIX / NEED_INPUT / OUTSIDE_SCOPE / ERROR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统一前端状态机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issues[]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span、issue_type、severity、message、suggestion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定位与修复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evidence[]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source_id、rule_id、excerpt_hash、effective_at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解释与审计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coverage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checked、not_checked、jurisdiction、format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边界披露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knowledge_version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AU-BEA-TEXT v1.4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重现与回滚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trace_id / latency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唯一链路 ID / 分阶段耗时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争议定位与观测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7.2 模型使用边界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适合模型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必须由规则/知识决定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意图分类、实体抽取、原文片段定位、解释改写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法规是否生效、覆盖范围、强制声明、发布门禁、版本选择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对不完整表达提出澄清问题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不得用参数记忆替代官方来源或填补未知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08 · EVALUATION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8. 评测体系与发布门禁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81211"/>
            <wp:docPr id="10" name="Picture 10" descr="图 7  演示评测中心：未运行真实基准前不展示虚构准确率，发布状态保持 Blocked。" title="图 7  演示评测中心：未运行真实基准前不展示虚构准确率，发布状态保持 Blocked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cen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8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7  演示评测中心：未运行真实基准前不展示虚构准确率，发布状态保持 Blocked。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58568"/>
            <wp:docPr id="11" name="Picture 11" descr="图 8  演示数据集 AU-BEA-0.3 的三类样本分布。" title="图 8  演示数据集 AU-BEA-0.3 的三类样本分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datas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8  演示数据集 AU-BEA-0.3 的三类样本分布。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8.1 核心评测维度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700"/>
        <w:gridCol w:w="4150"/>
        <w:gridCol w:w="42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发布门禁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安全性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关键遗漏召回、严重违规漏放率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严重漏放为 0；召回达到包阈值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可用性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误拦截率、修复后通过率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不劣于当前生产版本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边界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缺上下文/不支持组合识别率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不得输出 Ready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可解释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证据可追溯率、错误 rule_id 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证据覆盖 100%；无错误映射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稳定性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P95 延迟、超时率、版本一致性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满足 SLO；可回滚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09 · ROLLOUT &amp; RISK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9. 上线计划、风险与依赖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1943907"/>
            <wp:docPr id="12" name="Picture 12" descr="图 9  每个知识包独立通过影子模式、人工复核和回归评测，不以一次上线覆盖所有市场。" title="图 9  每个知识包独立通过影子模式、人工复核和回归评测，不以一次上线覆盖所有市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o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94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9  每个知识包独立通过影子模式、人工复核和回归评测，不以一次上线覆盖所有市场。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9.1 风险清单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50"/>
        <w:gridCol w:w="2450"/>
        <w:gridCol w:w="3730"/>
        <w:gridCol w:w="1550"/>
      </w:tblGrid>
      <w:tr>
        <w:trPr>
          <w:tblHeader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风险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影响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控制措施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Owner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漏放严重违规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品牌/监管风险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强规则优先、关键召回门禁、人工复核抽样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Risk + ML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误拦截过多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发布转化下降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Hard negative 集、分级严重度、可解释反馈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Product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规则过期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错误结论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来源 last-checked、到期告警、紧急下线/回滚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Knowledge Ops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覆盖误解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用户把局部当全局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所有结果固定展示 checked/not checked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Design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生成修复引入新问题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循环返工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修复后必重检；限制修改范围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ML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争议积压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知识无法闭环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SLA、优先级、判例复用与趋势告警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Ops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隐私与数据滥用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客户信任受损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最小化日志、内容哈希、访问控制、保留期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Security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9.2 关键依赖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00"/>
        <w:gridCol w:w="788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依赖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进入 P0 前需要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法规与法务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确认 AU Beauty Text 的官方来源、适用范围和免责声明。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Canva Grow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提供活动上下文、编辑事件、发布门禁与版本状态。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数据/ML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建立经专家标注的基准集与错误分级。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平台/安全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决策日志、访问控制、告警、回滚与数据保留策略。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10 · ACCEPTANCE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10. 验收标准与待决问题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10.1 P0 端到端验收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900"/>
        <w:gridCol w:w="4100"/>
        <w:gridCol w:w="408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Given / When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Then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缺少必填声明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AUST L 文案缺少 mandatory statement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Fix；定位缺失；可一键补充；重检后才允许继续。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产品分类未知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用户未提供 Cosmetic 或 Listed Medicine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Need input；不选择默认分类。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范围不支持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AU Fitness Text 或 Cosmetic Image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Outside scope；列出未检查项；不显示 Ready。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检查通过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AU Cosmetic Text 且无明确问题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显示 Ready、覆盖范围、规则版本与解释；内容变更后失效。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系统失败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规则服务超时或知识包不可用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Error；阻止继续；支持重试与人工路径。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用户争议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用户报告错误结果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争议记录包含 trace_id、内容哈希、上下文和知识版本。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10.2 立项前必须回答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300"/>
        <w:gridCol w:w="678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建议决策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P0 是否硬阻断发布？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仅对高置信强制义务硬阻断；其余按风险等级与市场策略处理。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谁拥有规则最终解释权？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法规专家负责规则，产品负责体验，发布管理员负责上线门禁。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哪些内容可用于模型改进？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默认不使用客户原文训练；仅在明确授权和去标识后进入数据集。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如何表述“Ready”？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固定附带“在当前已检查范围内”与 not checked 列表。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首个真实试点群体？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建议 AU Beauty 内部/白名单品牌，先影子模式再受控发布。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10.3 文档依据</w:t>
      </w:r>
    </w:p>
    <w:p>
      <w:pPr>
        <w:keepNext w:val="0"/>
        <w:spacing w:before="0" w:after="100" w:line="274" w:lineRule="auto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7"/>
        </w:rPr>
        <w:t>结构与篇幅参考：《AI工具助手PRD.pdf》（11 页）。产品界面依据：Canva Grow Compliance Demo 与 Compliance Knowledge Console，访问日期 2026-08-30。控制台数字标注为演示数据。</w:t>
      </w:r>
    </w:p>
    <w:p>
      <w:pPr>
        <w:shd w:fill="F3E8FF"/>
        <w:keepNext w:val="0"/>
        <w:pBdr>
          <w:left w:val="single" w:sz="18" w:space="8" w:color="7D2AE8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7D2AE8"/>
          <w:sz w:val="19"/>
        </w:rPr>
        <w:t xml:space="preserve">最终建议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以 AU Beauty Text 为最小可信闭环：先证明“能准确识别边界、能修复、能解释、能回流”，再扩图片、平台政策和新市场。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2" w:right="912" w:bottom="912" w:left="912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i w:val="0"/>
        <w:color w:val="667085"/>
        <w:sz w:val="16"/>
      </w:rPr>
      <w:t xml:space="preserve">Draft v0.9  ·  2026-08-30  ·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Microsoft YaHei" w:hAnsi="Microsoft YaHei" w:eastAsia="Microsoft YaHei" w:cs="Microsoft YaHei"/>
        <w:b/>
        <w:i w:val="0"/>
        <w:color w:val="667085"/>
        <w:sz w:val="16"/>
      </w:rPr>
      <w:t>CANVA GROW  ·  营销内容合规层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Microsoft YaHei" w:hAnsi="Microsoft YaHei" w:eastAsia="Microsoft YaHei"/>
      <w:color w:val="1819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19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21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19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90" w:hanging="259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90" w:hanging="259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