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2.png" ContentType="image/jpeg"/>
  <Override PartName="/word/media/image1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PRODUCT REQUIREMENTS DOCUMENT</w:t>
      </w:r>
    </w:p>
    <w:p>
      <w:pPr>
        <w:keepNext w:val="0"/>
        <w:spacing w:before="6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54"/>
        </w:rPr>
        <w:t>Canva Grow</w:t>
        <w:br/>
        <w:t>营销内容合规层</w:t>
      </w:r>
    </w:p>
    <w:p>
      <w:pPr>
        <w:keepNext w:val="0"/>
        <w:spacing w:before="0" w:after="20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25"/>
        </w:rPr>
        <w:t>让品牌在 Canva 中更快生成、修复并发布可解释的合规营销内容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项目对 Canva 的价值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778000"/>
            <wp:docPr id="1" name="Picture 1" descr="value chain" title="value ch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3E8FF"/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7D2AE8"/>
                <w:sz w:val="36"/>
              </w:rPr>
              <w:t>↑</w:t>
            </w:r>
            <w:r>
              <w:br/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191F"/>
                <w:sz w:val="17"/>
              </w:rPr>
              <w:t>发布转化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667085"/>
                <w:sz w:val="14"/>
              </w:rPr>
              <w:t>减少末端返工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7FAFA"/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A9B5"/>
                <w:sz w:val="36"/>
              </w:rPr>
              <w:t>↓</w:t>
            </w:r>
            <w:r>
              <w:br/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191F"/>
                <w:sz w:val="17"/>
              </w:rPr>
              <w:t>合规成本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667085"/>
                <w:sz w:val="14"/>
              </w:rPr>
              <w:t>把检查前移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AF7F0"/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67A55"/>
                <w:sz w:val="36"/>
              </w:rPr>
              <w:t>+</w:t>
            </w:r>
            <w:r>
              <w:br/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191F"/>
                <w:sz w:val="17"/>
              </w:rPr>
              <w:t>行业覆盖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667085"/>
                <w:sz w:val="14"/>
              </w:rPr>
              <w:t>从 Beauty 起步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9A6700"/>
                <w:sz w:val="36"/>
              </w:rPr>
              <w:t>↻</w:t>
            </w:r>
            <w:r>
              <w:br/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191F"/>
                <w:sz w:val="17"/>
              </w:rPr>
              <w:t>知识复利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667085"/>
                <w:sz w:val="14"/>
              </w:rPr>
              <w:t>争议驱动迭代</w:t>
            </w:r>
          </w:p>
        </w:tc>
      </w:tr>
    </w:tbl>
    <w:p>
      <w:pPr>
        <w:shd w:fill="E7FAFA"/>
        <w:keepNext w:val="0"/>
        <w:pBdr>
          <w:left w:val="single" w:sz="18" w:space="8" w:color="00A9B5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00A9B5"/>
          <w:sz w:val="19"/>
        </w:rPr>
        <w:t xml:space="preserve">核心判断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这不是一个独立法务工具，而是嵌入 Canva Grow 创作-发布链路的决策层：能检查时给出可执行结果，不能检查时明确边界并阻止错误的“可发布”暗示。</w:t>
      </w:r>
    </w:p>
    <w:p>
      <w:pPr>
        <w:keepNext w:val="0"/>
        <w:spacing w:before="0" w:after="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Owner  AI Product · Risk &amp; Compliance     |     Status  Draft for alignment     |     Scope  AU · Beauty · Text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01 · CONTEXT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1. 文档信息与项目背景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828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产品名称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Canva Grow Compliance Layer（营销内容合规层）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产品定位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创作时自动判断营销文案是否可在当前覆盖范围内继续发布，并提供修复、追问或边界披露。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目标用户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品牌营销人员、中小企业主、代理商创作者；运营端为法规专家、内容政策与风险团队。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本期范围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Australia · Beauty · Text；Cosmetic 与 AUST L Listed Medicine。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非目标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不替代法律意见；不声称覆盖 Meta 平台政策、图片、落地页或未发布市场知识包。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1.1 为什么现在做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900"/>
        <w:gridCol w:w="3700"/>
        <w:gridCol w:w="448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用户旅程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当前断点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产品机会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生成文案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AI 能写，但用户不知道是否满足市场/品类义务。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生成后立即校验，问题与修复同屏。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准备发布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合规常在末端介入，返工或等待人工。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把必要声明、禁用表达和证据要求前移。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跨市场复用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用户易把局部规则误认为全市场覆盖。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按国家×行业×产品×格式披露精确覆盖。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规则变化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来源、规则、模型和界面解释容易漂移。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知识包版本化，评测通过后再发布。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1.2 用户与 Jobs-to-be-done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3800"/>
        <w:gridCol w:w="448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核心任务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成功体验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创作者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快速产出并发布广告文案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少跳转；问题清楚；可一键修复。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品牌/法务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控制违规风险与证据链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可追溯规则版本、来源与处理记录。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知识运营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维护多市场合规知识</w:t>
            </w:r>
          </w:p>
        </w:tc>
        <w:tc>
          <w:tcPr>
            <w:tcW w:type="dxa" w:w="4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7"/>
              </w:rPr>
              <w:t>覆盖矩阵清晰，变更有审核与回归评测。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shd w:fill="FFF7D6"/>
        <w:keepNext w:val="0"/>
        <w:pBdr>
          <w:left w:val="single" w:sz="18" w:space="8" w:color="9A6700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9A6700"/>
          <w:sz w:val="19"/>
        </w:rPr>
        <w:t xml:space="preserve">前提假设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本 PRD 以演示站点中的 AU Beauty Text 能力为 P0 基线；所有控制台数字均为 Demo data，不代表 Canva 真实生产指标。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02 · GOALS &amp; SCOPE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2. 产品目标、成功指标与优先级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2.1 北极星与护栏指标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000"/>
        <w:gridCol w:w="3300"/>
        <w:gridCol w:w="1800"/>
        <w:gridCol w:w="298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定义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试点建议目标*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合规发布完成率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进入检查后，以有效 Ready 状态继续的会话占比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建立基线后提升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北极星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关键遗漏召回率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必填声明/明确禁用项被识别的比例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≥95%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安全护栏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误拦截率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真实可用文案被判 Fix 的比例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≤8%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体验护栏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覆盖披露率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每次结果展示 checked/not checked 的比例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100%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透明度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P95 决策耗时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从内容稳定到结果可用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≤4s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性能</w:t>
            </w:r>
          </w:p>
        </w:tc>
      </w:tr>
      <w:t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修复后完成率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点击修复后通过重检并继续的比例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≥60%</w:t>
            </w:r>
          </w:p>
        </w:tc>
        <w:tc>
          <w:tcPr>
            <w:tcW w:type="dxa" w:w="29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价值验证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8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5"/>
        </w:rPr>
        <w:t>* 为 PRD 阶段建议阈值，需由影子模式和人工复核结果校准；不得作为现状数据对外传播。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2.2 范围优先级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74136"/>
            <wp:docPr id="2" name="Picture 2" descr="priority matrix" title="priority matr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300"/>
        <w:gridCol w:w="4780"/>
        <w:gridCol w:w="400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4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包含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明确不包含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P0</w:t>
            </w:r>
          </w:p>
        </w:tc>
        <w:tc>
          <w:tcPr>
            <w:tcW w:type="dxa" w:w="4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文本校验、上下文补全、四态结果、修复与重检、覆盖披露、知识版本、争议/评测门禁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图片、落地页、Meta 平台政策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P1</w:t>
            </w:r>
          </w:p>
        </w:tc>
        <w:tc>
          <w:tcPr>
            <w:tcW w:type="dxa" w:w="4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图片与落地页检查、平台政策包、多轮上下文、更多 AU 品类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自动扩展为所有市场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P2</w:t>
            </w:r>
          </w:p>
        </w:tc>
        <w:tc>
          <w:tcPr>
            <w:tcW w:type="dxa" w:w="4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视频/音频、多市场自助接入、创作前预防式指导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无审核的自动法规发布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03 · CORE EXPERIENCE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3. 核心体验：同屏检查、修复与边界说明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900"/>
        <w:gridCol w:w="3300"/>
        <w:gridCol w:w="3000"/>
        <w:gridCol w:w="188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结果状态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触发条件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用户动作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发布权限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Ready to run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上下文完整、范围受支持、无明确问题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查看证据与覆盖范围后继续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允许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Fix before running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发现必填缺失或明确风险表达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一键修复/手改后自动重检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阻止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Need your input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产品分类、证据或上下文不足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补充信息，不做猜测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阻止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Outside scope</w:t>
            </w:r>
          </w:p>
        </w:tc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市场/行业/产品/格式不在已发布范围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展示未检查项与替代路径</w:t>
            </w:r>
          </w:p>
        </w:tc>
        <w:tc>
          <w:tcPr>
            <w:tcW w:type="dxa" w:w="1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阻止绿色结论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3.1 差异化结果示意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5B21B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需修复：缺少强制声明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5B21B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可发布：当前范围内未发现明确问题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2651760" cy="4403317"/>
                  <wp:docPr id="3" name="Picture 3" descr="demo issue crop" title="demo issue cro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_issue_cr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44033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2651760" cy="4403317"/>
                  <wp:docPr id="4" name="Picture 4" descr="demo pass crop" title="demo pass cro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_pass_cr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44033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0" w:after="100" w:line="274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5"/>
        </w:rPr>
        <w:t>图 1  Canva Grow 演示：同一创作界面根据内容与上下文给出不同决策。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03 · INTERACTION RULES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3.2 关键交互要求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5330"/>
        <w:gridCol w:w="295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要求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验收信号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自动触发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内容或上下文稳定后检查；编辑即使结果过期并重跑。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旧结果不可继续使用。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问题卡片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指出原文片段、问题类型、可能规则与下一步。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用户无需离开画布理解。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Magic rewrite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仅改必要片段；保留品牌语气；修改后重检。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不把修复本身当作通过。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解释与反馈</w:t>
            </w:r>
          </w:p>
        </w:tc>
        <w:tc>
          <w:tcPr>
            <w:tcW w:type="dxa" w:w="5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展示 checked/not checked、知识版本、trace_id；可报告结果。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支持审计与争议回流。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3.2.1 发布门禁与信息保留</w:t>
      </w:r>
    </w:p>
    <w:p>
      <w:pPr>
        <w:shd w:fill="FFF7D6"/>
        <w:keepNext w:val="0"/>
        <w:pBdr>
          <w:left w:val="single" w:sz="18" w:space="8" w:color="9A6700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9A6700"/>
          <w:sz w:val="19"/>
        </w:rPr>
        <w:t xml:space="preserve">交互边界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后三个阻止状态只禁用该条 AI 结果上的下载、发布、继续等推进操作；用户仍可在对话框中继续聊天、补充信息和修改文案。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4800"/>
        <w:gridCol w:w="5280"/>
      </w:tblGrid>
      <w:tr>
        <w:trPr>
          <w:tblHeader w:val="true"/>
        </w:trPr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任何尺寸下都必须保留</w:t>
            </w:r>
          </w:p>
        </w:tc>
        <w:tc>
          <w:tcPr>
            <w:tcW w:type="dxa" w:w="5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产品理由</w:t>
            </w:r>
          </w:p>
        </w:tc>
      </w:tr>
      <w:tr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四个状态齐全，尤其是“需要你补充信息”和“不在覆盖范围”</w:t>
            </w:r>
          </w:p>
        </w:tc>
        <w:tc>
          <w:tcPr>
            <w:tcW w:type="dxa" w:w="5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避免把未知或未覆盖误呈现为绿色结论。</w:t>
            </w:r>
          </w:p>
        </w:tc>
      </w:tr>
      <w:tr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每次结果都展示“已检查 / 未检查”</w:t>
            </w:r>
          </w:p>
        </w:tc>
        <w:tc>
          <w:tcPr>
            <w:tcW w:type="dxa" w:w="5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让用户理解结论边界，而不是误认为覆盖整个平台或整条营销链路。</w:t>
            </w:r>
          </w:p>
        </w:tc>
      </w:tr>
      <w:tr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知识包版本号与 trace_id</w:t>
            </w:r>
          </w:p>
        </w:tc>
        <w:tc>
          <w:tcPr>
            <w:tcW w:type="dxa" w:w="5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支持复现、审计、争议定位和规则回滚。</w:t>
            </w:r>
          </w:p>
        </w:tc>
      </w:tr>
      <w:tr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免责声明：本助手帮助你做出合规判断，不提供法律意见</w:t>
            </w:r>
          </w:p>
        </w:tc>
        <w:tc>
          <w:tcPr>
            <w:tcW w:type="dxa" w:w="5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明确产品价值与责任边界。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03 · TRIGGER &amp; ENTRY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3.3 AI 文案审核的触发方式与入口</w:t>
      </w:r>
    </w:p>
    <w:p>
      <w:pPr>
        <w:shd w:fill="E7FAFA"/>
        <w:keepNext w:val="0"/>
        <w:pBdr>
          <w:left w:val="single" w:sz="18" w:space="8" w:color="00A9B5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00A9B5"/>
          <w:sz w:val="19"/>
        </w:rPr>
        <w:t xml:space="preserve">产品原则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Automatic ≠ Everywhere。只有当营销内容已形成，并即将进入选择、编辑、使用、导出或继续发布阶段时，才自动介入完整 Compliance Check；概念探索阶段保持克制。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050"/>
        <w:gridCol w:w="3970"/>
        <w:gridCol w:w="4060"/>
      </w:tblGrid>
      <w:tr>
        <w:trPr>
          <w:tblHeader w:val="true"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触发时机</w:t>
            </w:r>
          </w:p>
        </w:tc>
        <w:tc>
          <w:tcPr>
            <w:tcW w:type="dxa" w:w="39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判定条件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系统动作</w:t>
            </w:r>
          </w:p>
        </w:tc>
      </w:tr>
      <w:t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首次生成可使用文案</w:t>
            </w:r>
          </w:p>
        </w:tc>
        <w:tc>
          <w:tcPr>
            <w:tcW w:type="dxa" w:w="39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内容已可直接采用或继续编辑，格式在支持范围内，且没有有效检查结果。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确认必要 Context 后自动检查。</w:t>
            </w:r>
          </w:p>
        </w:tc>
      </w:tr>
      <w:t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文案发生实质性修改</w:t>
            </w:r>
          </w:p>
        </w:tc>
        <w:tc>
          <w:tcPr>
            <w:tcW w:type="dxa" w:w="39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用户停止编辑或确认修改后，内容哈希与上次结果不一致。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旧结果标记为 Check outdated；debounce 后重检。</w:t>
            </w:r>
          </w:p>
        </w:tc>
      </w:tr>
      <w:t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关键 Context 变化</w:t>
            </w:r>
          </w:p>
        </w:tc>
        <w:tc>
          <w:tcPr>
            <w:tcW w:type="dxa" w:w="39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Country、Industry、Product Type、Product Regulation、Channel 或 Content Format 变化。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重新路由知识包并重检，即使广告文本未变化。</w:t>
            </w:r>
          </w:p>
        </w:tc>
      </w:tr>
      <w:t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采用推荐改写</w:t>
            </w:r>
          </w:p>
        </w:tc>
        <w:tc>
          <w:tcPr>
            <w:tcW w:type="dxa" w:w="39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用户点击 Apply recommended rewrite。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更新文案后执行完整重检；改写成功不等于通过。</w:t>
            </w:r>
          </w:p>
        </w:tc>
      </w:tr>
      <w:t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准备继续使用</w:t>
            </w:r>
          </w:p>
        </w:tc>
        <w:tc>
          <w:tcPr>
            <w:tcW w:type="dxa" w:w="39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下载、发布、导出、Use this copy 或进入下一步时，结果不存在、失效、失败或规则版本过期。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在继续前执行 Pre-use Compliance Gate。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03 · IN-PRODUCT ENTRY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3.3.1 Canva AI 对话页入口</w:t>
      </w:r>
    </w:p>
    <w:p>
      <w:pPr>
        <w:keepNext w:val="0"/>
        <w:spacing w:before="0" w:after="10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18191F"/>
          <w:sz w:val="18"/>
        </w:rPr>
        <w:t>入口不做独立页面或右侧常驻面板。Canva AI 生成营销文案后，在该条生成结果消息下沿展示同宽的窄提示条，随对话流移动；收起态不超过 72px。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00600" cy="5201134"/>
            <wp:docPr id="5" name="Picture 5" descr="图 2  审核入口紧贴 AI 生成结果下沿；Context 缺失时可在原对话中补齐。" title="图 2  审核入口紧贴 AI 生成结果下沿；Context 缺失时可在原对话中补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_trigger_entry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20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2  审核入口紧贴 AI 生成结果下沿；Context 缺失时可在原对话中补齐。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收起态固定信息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展开后信息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状态徽章 + 一句话 + 一个主操作；另有“已检查 / 未检查”覆盖说明。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被标记原文、问题类型、可能适用规则、最小改写、覆盖两列、知识包版本、trace_id 与争议入口。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四态：可以发布 / 发布前需修改 / 需要你补充信息 / 不在覆盖范围。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后三态禁用该条结果的下载、发布、继续等推进操作，但不阻断继续对话和修改。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03 · TRIGGER CASES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3.4 触发案例与重检闭环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5B21B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案例 A · 发布前需修改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5B21B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案例 B · 需要你补充信息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2788920" cy="3020778"/>
                  <wp:docPr id="6" name="Picture 6" descr="prd side fix" title="prd side fi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d_side_fix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020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2788920" cy="3020778"/>
                  <wp:docPr id="7" name="Picture 7" descr="prd need input" title="prd need inpu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d_need_inp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020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0" w:after="120" w:line="274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5"/>
        </w:rPr>
        <w:t>图 3  AUST L 文案缺少强制声明时返回 Fix；监管身份选择“不确定”且含功效声称时返回 Need your input。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50"/>
        <w:gridCol w:w="4330"/>
        <w:gridCol w:w="4800"/>
      </w:tblGrid>
      <w:tr>
        <w:trPr>
          <w:tblHeader w:val="true"/>
        </w:trPr>
        <w:tc>
          <w:tcPr>
            <w:tcW w:type="dxa" w:w="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案例</w:t>
            </w:r>
          </w:p>
        </w:tc>
        <w:tc>
          <w:tcPr>
            <w:tcW w:type="dxa" w:w="4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输入与上下文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结果与下一步</w:t>
            </w:r>
          </w:p>
        </w:tc>
      </w:tr>
      <w:tr>
        <w:tc>
          <w:tcPr>
            <w:tcW w:type="dxa" w:w="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 · 强制声明缺失</w:t>
            </w:r>
          </w:p>
        </w:tc>
        <w:tc>
          <w:tcPr>
            <w:tcW w:type="dxa" w:w="4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Australia · Beauty · AUST L Listed Medicine · Text；文案未包含“Always read the label and follow the directions for use”。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Fix before running；定位为披露缺失，建议补充声明，应用改写后自动重检。</w:t>
            </w:r>
          </w:p>
        </w:tc>
      </w:tr>
      <w:tr>
        <w:tc>
          <w:tcPr>
            <w:tcW w:type="dxa" w:w="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B · 监管身份不确定</w:t>
            </w:r>
          </w:p>
        </w:tc>
        <w:tc>
          <w:tcPr>
            <w:tcW w:type="dxa" w:w="4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Product regulation = Not sure；文案含功效声称。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Need your input；询问产品是 Cosmetic 还是 AUST L，不允许模型自行猜测。</w:t>
            </w:r>
          </w:p>
        </w:tc>
      </w:tr>
      <w:tr>
        <w:tc>
          <w:tcPr>
            <w:tcW w:type="dxa" w:w="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C · 看过但不拦</w:t>
            </w:r>
          </w:p>
        </w:tc>
        <w:tc>
          <w:tcPr>
            <w:tcW w:type="dxa" w:w="43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文案含“我们团队最爱的一款配方”，只表达主观偏好，不构成功效或客观验证声称。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Ready to run；展开处显示“看过这句，判定无需修改”，并持续披露已检查/未检查范围。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3.4.1 内容或 Context 改变后的状态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60520" cy="4507649"/>
            <wp:docPr id="8" name="Picture 8" descr="图 4  Context 改变后旧结论立即失效，Knowledge Routing 与 Compliance Check 重新执行。" title="图 4  Context 改变后旧结论立即失效，Knowledge Routing 与 Compliance Check 重新执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_re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50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4  Context 改变后旧结论立即失效，Knowledge Routing 与 Compliance Check 重新执行。</w:t>
      </w:r>
    </w:p>
    <w:p>
      <w:pPr>
        <w:shd w:fill="FFF7D6"/>
        <w:keepNext w:val="0"/>
        <w:pBdr>
          <w:left w:val="single" w:sz="18" w:space="8" w:color="9A6700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9A6700"/>
          <w:sz w:val="19"/>
        </w:rPr>
        <w:t xml:space="preserve">失效规则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Content Hash、Context、Rule Version 三者与最近一次有效结果完全一致时复用结果；任一变化都不得沿用旧结果。检查失败或版本失效时，同样由 Pre-use Gate 阻止继续。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04 · END-TO-END FLOW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4. 产品整体流程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5748528"/>
            <wp:docPr id="9" name="Picture 9" descr="图 2  用户侧端到端流程；每个否定分支都有明确兜底，不以模型猜测补齐。" title="图 2  用户侧端到端流程；每个否定分支都有明确兜底，不以模型猜测补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4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2  用户侧端到端流程；每个否定分支都有明确兜底，不以模型猜测补齐。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4.1 三类必须覆盖的异常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4200"/>
        <w:gridCol w:w="358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异常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系统行为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用户文案原则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意图/分类不确定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进入 Need your input；给最少必要追问。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说明缺什么，不假装确定。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范围不支持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Outside scope；列出已检查与未检查项。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不使用“合规/安全”绝对措辞。</w:t>
            </w:r>
          </w:p>
        </w:tc>
      </w:tr>
      <w:t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服务/规则执行失败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结果失效并阻止继续；支持重试与人工路径。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透明说明暂时不可用。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05 · KNOWLEDGE OPERATIONS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5. 合规知识控制台与治理闭环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054190"/>
            <wp:docPr id="10" name="Picture 10" descr="图 3  演示控制台总览：市场、规则、待审核与争议状态集中呈现。" title="图 3  演示控制台总览：市场、规则、待审核与争议状态集中呈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ons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05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3  演示控制台总览：市场、规则、待审核与争议状态集中呈现。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1835912"/>
            <wp:docPr id="11" name="Picture 11" descr="图 4  从官方来源到在线决策，再由争议回流到更新迭代。" title="图 4  从官方来源到在线决策，再由争议回流到更新迭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lifecyc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83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4  从官方来源到在线决策，再由争议回流到更新迭代。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5.1 后台能力模块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4700"/>
        <w:gridCol w:w="358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核心能力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关键权限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知识包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市场/行业/产品/格式组合；版本与生效期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知识管理员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来源与规则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来源快照、条款映射、结构化条件/结论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法规专家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审核与争议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双人复核、用户反馈、判例沉淀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审核员/法务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评测与发布</w:t>
            </w:r>
          </w:p>
        </w:tc>
        <w:tc>
          <w:tcPr>
            <w:tcW w:type="dxa" w:w="4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回归集、阈值、门禁、回滚</w:t>
            </w:r>
          </w:p>
        </w:tc>
        <w:tc>
          <w:tcPr>
            <w:tcW w:type="dxa" w:w="35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发布管理员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06 · COVERAGE &amp; REQUIREMENTS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6. 覆盖矩阵与功能范围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672114"/>
            <wp:docPr id="12" name="Picture 12" descr="图 5  覆盖必须精确到 Country × Industry × Product × Format；状态不可被用户误读为全市场。" title="图 5  覆盖必须精确到 Country × Industry × Product × Format；状态不可被用户误读为全市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matri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67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5  覆盖必须精确到 Country × Industry × Product × Format；状态不可被用户误读为全市场。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6.1 P0 功能清单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50"/>
        <w:gridCol w:w="2100"/>
        <w:gridCol w:w="713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功能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P0 验收标准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F01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上下文采集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市场、行业、产品、格式至少可追溯；缺失时追问。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F02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知识包路由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仅命中已发布且在有效期内的版本。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F03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文本决策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输出 Ready/Fix/Need input/Outside scope 之一。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F04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问题定位与修复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返回问题片段、依据摘要、建议改法；修复后重检。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F05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覆盖披露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所有结果展示 checked/not checked 与知识版本。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F06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发布门禁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非有效 Ready 不得继续；内容变化立即使结果失效。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F07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决策日志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记录输入哈希、上下文、结果、版本、耗时与 trace_id。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F08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争议反馈</w:t>
            </w:r>
          </w:p>
        </w:tc>
        <w:tc>
          <w:tcPr>
            <w:tcW w:type="dxa" w:w="71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用户可报告结果，进入队列并关联原决策。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shd w:fill="FFF0EB"/>
        <w:keepNext w:val="0"/>
        <w:pBdr>
          <w:left w:val="single" w:sz="18" w:space="8" w:color="D94B2B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D94B2B"/>
          <w:sz w:val="19"/>
        </w:rPr>
        <w:t xml:space="preserve">边界原则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“Unsupported”不是失败，而是可信产品的必要输出。任何未覆盖组合都不得通过通用模型生成绿色结论。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07 · SYSTEM &amp; DATA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7. 系统架构与决策契约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459988"/>
            <wp:docPr id="13" name="Picture 13" descr="图 6  规则确定性、模型理解能力与知识治理分层，避免把法规事实塞入不可审计的提示词。" title="图 6  规则确定性、模型理解能力与知识治理分层，避免把法规事实塞入不可审计的提示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59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6  规则确定性、模型理解能力与知识治理分层，避免把法规事实塞入不可审计的提示词。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7.1 决策输出结构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100"/>
        <w:gridCol w:w="5050"/>
        <w:gridCol w:w="293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示例/规则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status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READY / FIX / NEED_INPUT / OUTSIDE_SCOPE / ERROR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统一前端状态机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issues[]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span、issue_type、severity、message、suggestion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定位与修复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evidence[]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source_id、rule_id、excerpt_hash、effective_at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解释与审计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coverage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checked、not_checked、jurisdiction、format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边界披露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knowledge_version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AU-BEA-TEXT v1.4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重现与回滚</w:t>
            </w:r>
          </w:p>
        </w:tc>
      </w:tr>
      <w:t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trace_id / latency</w:t>
            </w:r>
          </w:p>
        </w:tc>
        <w:tc>
          <w:tcPr>
            <w:tcW w:type="dxa" w:w="5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唯一链路 ID / 分阶段耗时</w:t>
            </w:r>
          </w:p>
        </w:tc>
        <w:tc>
          <w:tcPr>
            <w:tcW w:type="dxa" w:w="29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争议定位与观测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7.2 模型使用边界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适合模型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必须由规则/知识决定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意图分类、实体抽取、原文片段定位、解释改写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法规是否生效、覆盖范围、强制声明、发布门禁、版本选择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对不完整表达提出澄清问题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不得用参数记忆替代官方来源或填补未知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08 · EVALUATION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8. 评测体系与发布门禁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81211"/>
            <wp:docPr id="14" name="Picture 14" descr="图 7  演示评测中心：未运行真实基准前不展示虚构准确率，发布状态保持 Blocked。" title="图 7  演示评测中心：未运行真实基准前不展示虚构准确率，发布状态保持 Blocked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cen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8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7  演示评测中心：未运行真实基准前不展示虚构准确率，发布状态保持 Blocked。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58568"/>
            <wp:docPr id="15" name="Picture 15" descr="图 8  演示数据集 AU-BEA-0.3 的三类样本分布。" title="图 8  演示数据集 AU-BEA-0.3 的三类样本分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datas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8  演示数据集 AU-BEA-0.3 的三类样本分布。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08 · EVALUATION GATE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8.1 核心评测维度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700"/>
        <w:gridCol w:w="4150"/>
        <w:gridCol w:w="42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发布门禁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安全性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关键遗漏召回、严重违规漏放率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严重漏放为 0；召回达到包阈值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可用性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误拦截率、修复后通过率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不劣于当前生产版本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边界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缺上下文/不支持组合识别率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不得输出 Ready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可解释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证据可追溯率、错误 rule_id 率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证据覆盖 100%；无错误映射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稳定性</w:t>
            </w:r>
          </w:p>
        </w:tc>
        <w:tc>
          <w:tcPr>
            <w:tcW w:type="dxa" w:w="4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P95 延迟、超时率、版本一致性</w:t>
            </w:r>
          </w:p>
        </w:tc>
        <w:tc>
          <w:tcPr>
            <w:tcW w:type="dxa" w:w="4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满足 SLO；可回滚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09 · ROLLOUT &amp; RISK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9. 上线计划、风险与依赖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1943907"/>
            <wp:docPr id="16" name="Picture 16" descr="图 9  每个知识包独立通过影子模式、人工复核和回归评测，不以一次上线覆盖所有市场。" title="图 9  每个知识包独立通过影子模式、人工复核和回归评测，不以一次上线覆盖所有市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o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94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6"/>
        </w:rPr>
        <w:t>图 9  每个知识包独立通过影子模式、人工复核和回归评测，不以一次上线覆盖所有市场。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9.1 风险清单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50"/>
        <w:gridCol w:w="2450"/>
        <w:gridCol w:w="3730"/>
        <w:gridCol w:w="1550"/>
      </w:tblGrid>
      <w:tr>
        <w:trPr>
          <w:tblHeader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风险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影响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控制措施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Owner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漏放严重违规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品牌/监管风险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强规则优先、关键召回门禁、人工复核抽样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Risk + ML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误拦截过多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发布转化下降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Hard negative 集、分级严重度、可解释反馈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Product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规则过期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错误结论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来源 last-checked、到期告警、紧急下线/回滚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Knowledge Ops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覆盖误解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用户把局部当全局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所有结果固定展示 checked/not checked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Design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生成修复引入新问题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循环返工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修复后必重检；限制修改范围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ML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争议积压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知识无法闭环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SLA、优先级、判例复用与趋势告警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Ops</w:t>
            </w:r>
          </w:p>
        </w:tc>
      </w:tr>
      <w:t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隐私与数据滥用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客户信任受损</w:t>
            </w:r>
          </w:p>
        </w:tc>
        <w:tc>
          <w:tcPr>
            <w:tcW w:type="dxa" w:w="3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最小化日志、内容哈希、访问控制、保留期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5"/>
              </w:rPr>
              <w:t>Security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9.2 关键依赖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788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依赖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进入 P0 前需要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法规与法务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确认 AU Beauty Text 的官方来源、适用范围和免责声明。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Canva Grow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提供活动上下文、编辑事件、发布门禁与版本状态。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数据/ML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建立经专家标注的基准集与错误分级。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平台/安全</w:t>
            </w:r>
          </w:p>
        </w:tc>
        <w:tc>
          <w:tcPr>
            <w:tcW w:type="dxa" w:w="7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决策日志、访问控制、告警、回滚与数据保留策略。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7D2AE8"/>
          <w:sz w:val="16"/>
        </w:rPr>
        <w:t>10 · ACCEPTANCE</w:t>
      </w:r>
    </w:p>
    <w:p>
      <w:pPr>
        <w:pStyle w:val="Heading1"/>
        <w:keepNext/>
        <w:spacing w:before="120" w:after="120" w:line="240" w:lineRule="auto"/>
      </w:pPr>
      <w:r>
        <w:rPr>
          <w:rFonts w:ascii="Microsoft YaHei" w:hAnsi="Microsoft YaHei" w:eastAsia="Microsoft YaHei" w:cs="Microsoft YaHei"/>
          <w:b/>
          <w:i w:val="0"/>
          <w:color w:val="18191F"/>
          <w:sz w:val="32"/>
        </w:rPr>
        <w:t>10. 验收标准与待决问题</w:t>
      </w: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10.1 P0 端到端验收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900"/>
        <w:gridCol w:w="4100"/>
        <w:gridCol w:w="408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Given / When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5B21B6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Then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缺少必填声明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AUST L 文案缺少 mandatory statement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Fix；定位缺失；可一键补充；重检后才允许继续。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产品分类未知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用户未提供 Cosmetic 或 Listed Medicine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Need input；不选择默认分类。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范围不支持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 Fitness Text 或 Cosmetic Image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Outside scope；列出未检查项；不显示 Ready。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检查通过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AU Cosmetic Text 且无明确问题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显示 Ready、覆盖范围、规则版本与解释；内容变更后失效。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系统失败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规则服务超时或知识包不可用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返回 Error；阻止继续；支持重试与人工路径。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用户争议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用户报告错误结果</w:t>
            </w:r>
          </w:p>
        </w:tc>
        <w:tc>
          <w:tcPr>
            <w:tcW w:type="dxa" w:w="4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争议记录包含 trace_id、内容哈希、上下文和知识版本。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10.2 立项前必须回答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300"/>
        <w:gridCol w:w="678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0A9B5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建议决策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P0 是否硬阻断发布？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仅对高置信强制义务硬阻断；其余按风险等级与市场策略处理。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谁拥有规则最终解释权？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法规专家负责规则，产品负责体验，发布管理员负责上线门禁。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哪些内容可用于模型改进？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默认不使用客户原文训练；仅在明确授权和去标识后进入数据集。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如何表述“Ready”？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7FA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固定附带“在当前已检查范围内”与 not checked 列表。</w:t>
            </w:r>
          </w:p>
        </w:tc>
      </w:tr>
      <w:t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首个真实试点群体？</w:t>
            </w:r>
          </w:p>
        </w:tc>
        <w:tc>
          <w:tcPr>
            <w:tcW w:type="dxa" w:w="67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191F"/>
                <w:sz w:val="16"/>
              </w:rPr>
              <w:t>建议 AU Beauty 内部/白名单品牌，先影子模式再受控发布。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  <w:keepNext/>
        <w:spacing w:before="10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5B21B6"/>
          <w:sz w:val="25"/>
        </w:rPr>
        <w:t>10.3 文档依据</w:t>
      </w:r>
    </w:p>
    <w:p>
      <w:pPr>
        <w:keepNext w:val="0"/>
        <w:spacing w:before="0" w:after="100" w:line="274" w:lineRule="auto"/>
      </w:pPr>
      <w:r>
        <w:rPr>
          <w:rFonts w:ascii="Microsoft YaHei" w:hAnsi="Microsoft YaHei" w:eastAsia="Microsoft YaHei" w:cs="Microsoft YaHei"/>
          <w:b w:val="0"/>
          <w:i w:val="0"/>
          <w:color w:val="667085"/>
          <w:sz w:val="17"/>
        </w:rPr>
        <w:t>结构与篇幅参考：《AI工具助手PRD.pdf》（11 页）。产品界面依据：Canva Grow Compliance Demo 与 Compliance Knowledge Console，访问日期 2026-08-30。控制台数字标注为演示数据。</w:t>
      </w:r>
    </w:p>
    <w:p>
      <w:pPr>
        <w:shd w:fill="F3E8FF"/>
        <w:keepNext w:val="0"/>
        <w:pBdr>
          <w:left w:val="single" w:sz="18" w:space="8" w:color="7D2AE8"/>
        </w:pBdr>
        <w:spacing w:before="80" w:after="120" w:line="276" w:lineRule="auto"/>
        <w:ind w:left="180" w:right="140"/>
      </w:pPr>
      <w:r>
        <w:rPr>
          <w:rFonts w:ascii="Microsoft YaHei" w:hAnsi="Microsoft YaHei" w:eastAsia="Microsoft YaHei" w:cs="Microsoft YaHei"/>
          <w:b/>
          <w:i w:val="0"/>
          <w:color w:val="7D2AE8"/>
          <w:sz w:val="19"/>
        </w:rPr>
        <w:t xml:space="preserve">最终建议  </w:t>
      </w:r>
      <w:r>
        <w:rPr>
          <w:rFonts w:ascii="Microsoft YaHei" w:hAnsi="Microsoft YaHei" w:eastAsia="Microsoft YaHei" w:cs="Microsoft YaHei"/>
          <w:b w:val="0"/>
          <w:i w:val="0"/>
          <w:color w:val="18191F"/>
          <w:sz w:val="19"/>
        </w:rPr>
        <w:t>以 AU Beauty Text 为最小可信闭环：先证明“能准确识别边界、能修复、能解释、能回流”，再扩图片、平台政策和新市场。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2" w:right="912" w:bottom="912" w:left="912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i w:val="0"/>
        <w:color w:val="667085"/>
        <w:sz w:val="16"/>
      </w:rPr>
      <w:t xml:space="preserve">Draft v1.0  ·  2026-09-02  ·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Microsoft YaHei" w:hAnsi="Microsoft YaHei" w:eastAsia="Microsoft YaHei" w:cs="Microsoft YaHei"/>
        <w:b/>
        <w:i w:val="0"/>
        <w:color w:val="667085"/>
        <w:sz w:val="16"/>
      </w:rPr>
      <w:t>CANVA GROW  ·  营销内容合规层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Microsoft YaHei" w:hAnsi="Microsoft YaHei" w:eastAsia="Microsoft YaHei"/>
      <w:color w:val="1819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19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21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19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90" w:hanging="259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90" w:hanging="259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