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A0BC" w14:textId="257E230B" w:rsidR="00D40168" w:rsidRDefault="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CLASSIFICATION, INDUSTRY CONCENTRATION AND EXPECTED STOCK RETURNS</w:t>
      </w:r>
    </w:p>
    <w:p w14:paraId="3F7076B2" w14:textId="77777777" w:rsidR="00E90084" w:rsidRPr="00E90084" w:rsidRDefault="00E90084"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90084">
        <w:t xml:space="preserve">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使用從</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CRSP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下載的月度股票報酬資料，以及從</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COMPUSTAT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下載的年度公司基本面資料。在</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CRSP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中有兩種產業分類系統：北美產業分類（</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NAIC</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）與標準產業分類代碼（</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SICCD</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）。由於</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NAIC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系統始於</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1997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年，而我的研究範圍是</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1963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年至</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2016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年，加上與此研究相關的文獻僅使用</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SICCD</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，因此我選擇使用</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SICCD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來將其研究結果與我的進行比較與分析。對於缺少</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SICCD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的公司，我將其排除在樣本之外，這僅使樣本量減少</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。此外，若將這</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的公司歸類為「其他產業」而非刪除，也完全不會影響分析結果。</w:t>
      </w:r>
    </w:p>
    <w:p w14:paraId="588662A1" w14:textId="77777777" w:rsidR="00E90084" w:rsidRDefault="00E90084"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以下公式顯示如何計算赫芬達爾產業集中度／競爭水準（以下簡稱</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ICL</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2A4C8A" w14:textId="6E20E9A4" w:rsidR="00E90084" w:rsidRPr="00E90084" w:rsidRDefault="00E90084" w:rsidP="00E90084">
      <w:pP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B02D17" wp14:editId="436F22E8">
            <wp:extent cx="4963218" cy="971686"/>
            <wp:effectExtent l="0" t="0" r="0" b="0"/>
            <wp:docPr id="312741218" name="圖片 1" descr="一張含有 字型, 文字,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1218" name="圖片 1" descr="一張含有 字型, 文字, 白色, 行 的圖片&#10;&#10;AI 產生的內容可能不正確。"/>
                    <pic:cNvPicPr/>
                  </pic:nvPicPr>
                  <pic:blipFill>
                    <a:blip r:embed="rId5"/>
                    <a:stretch>
                      <a:fillRect/>
                    </a:stretch>
                  </pic:blipFill>
                  <pic:spPr>
                    <a:xfrm>
                      <a:off x="0" y="0"/>
                      <a:ext cx="4963218" cy="971686"/>
                    </a:xfrm>
                    <a:prstGeom prst="rect">
                      <a:avLst/>
                    </a:prstGeom>
                  </pic:spPr>
                </pic:pic>
              </a:graphicData>
            </a:graphic>
          </wp:inline>
        </w:drawing>
      </w:r>
    </w:p>
    <w:p w14:paraId="4BEB5BE4" w14:textId="77777777" w:rsidR="00E90084" w:rsidRDefault="00E90084"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ICL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可以透過任何代表企業市場力量的變數來計算。</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Hou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Robinson</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2006</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）主要使用</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COMPUSTAT </w:t>
      </w:r>
      <w:r w:rsidRPr="00E900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淨銷售額，他們同時也使用資產與股東權益作為替代變數，並得到一致的結果。然而，我主張僅以產品市場的銷售表現並不能充分反映股票市場上的資源競爭。投資人的決策並非完全基於企業的產品或服務市佔率，而銷售收入本身也無法提供有關獲利能力（通常以每股盈餘衡量）的資訊，而這正是預測公司潛在成長的重要指標。</w:t>
      </w:r>
    </w:p>
    <w:p w14:paraId="6A9A9E82" w14:textId="77777777" w:rsidR="00E90084" w:rsidRDefault="00E90084"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515F6" w14:textId="71DF626A" w:rsidR="00E90084" w:rsidRDefault="00E90084"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662BC" w:rsidRPr="000662BC">
        <w:t xml:space="preserve"> </w:t>
      </w:r>
      <w:r w:rsidR="000662BC"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concentration, stock returns and asset pricing: The UK evidence</w:t>
      </w:r>
    </w:p>
    <w:p w14:paraId="7A87B95A" w14:textId="08C794E3" w:rsidR="002D64BC" w:rsidRPr="002D64BC" w:rsidRDefault="002D64BC" w:rsidP="002D64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D64BC">
        <w:rPr>
          <w:rFonts w:ascii="新細明體" w:eastAsia="新細明體" w:hAnsi="新細明體" w:cs="新細明體"/>
          <w:kern w:val="0"/>
          <w14:ligatures w14:val="none"/>
        </w:rPr>
        <w:t xml:space="preserve">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為了檢視熊彼得（</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Schumpeter, 1912</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）的理論與我們的數據是否一致，我們也報告了研發強度（</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R&amp;D intensiveness</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）的衡量結果。我們發現，</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研發支出與資產比率（</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R&amp;D/A</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隨著產業集中度的提高而單調下降：在產業集中度最低的五分位數中為</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，而在產業集中度最高的五分位數中僅為</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。這顯示低產業集中度的企業比高產業集中度的企業更積極投入研發活動。</w:t>
      </w:r>
    </w:p>
    <w:p w14:paraId="43DEB006" w14:textId="77777777" w:rsidR="002D64BC" w:rsidRPr="002D64BC" w:rsidRDefault="002D64BC" w:rsidP="002D64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在表</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中，我們報告了</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Fama </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MacBeth (1973</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，以下簡稱</w:t>
      </w:r>
      <w:r w:rsidRPr="002D64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FM)</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迴歸結果，該迴歸將產業集中度衡量值對應於產業平均特徵的橫斷面關係。我們估計</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的方程式如下：</w:t>
      </w:r>
    </w:p>
    <w:p w14:paraId="40DFA60C" w14:textId="46A81124" w:rsidR="008970EF" w:rsidRDefault="008970EF" w:rsidP="002D64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0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235F5C" wp14:editId="40CEEEBA">
            <wp:extent cx="3991532" cy="962159"/>
            <wp:effectExtent l="0" t="0" r="9525" b="9525"/>
            <wp:docPr id="832194810" name="圖片 1" descr="一張含有 文字, 字型, 白色,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4810" name="圖片 1" descr="一張含有 文字, 字型, 白色, 圖形 的圖片&#10;&#10;AI 產生的內容可能不正確。"/>
                    <pic:cNvPicPr/>
                  </pic:nvPicPr>
                  <pic:blipFill>
                    <a:blip r:embed="rId6"/>
                    <a:stretch>
                      <a:fillRect/>
                    </a:stretch>
                  </pic:blipFill>
                  <pic:spPr>
                    <a:xfrm>
                      <a:off x="0" y="0"/>
                      <a:ext cx="3991532" cy="962159"/>
                    </a:xfrm>
                    <a:prstGeom prst="rect">
                      <a:avLst/>
                    </a:prstGeom>
                  </pic:spPr>
                </pic:pic>
              </a:graphicData>
            </a:graphic>
          </wp:inline>
        </w:drawing>
      </w:r>
      <w:r w:rsidR="000774A2" w:rsidRPr="00077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A66C5E" wp14:editId="23561183">
            <wp:extent cx="5274310" cy="3477895"/>
            <wp:effectExtent l="0" t="0" r="2540" b="8255"/>
            <wp:docPr id="119856033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60338" name="圖片 1" descr="一張含有 文字, 螢幕擷取畫面, 字型, 數字 的圖片&#10;&#10;AI 產生的內容可能不正確。"/>
                    <pic:cNvPicPr/>
                  </pic:nvPicPr>
                  <pic:blipFill>
                    <a:blip r:embed="rId7"/>
                    <a:stretch>
                      <a:fillRect/>
                    </a:stretch>
                  </pic:blipFill>
                  <pic:spPr>
                    <a:xfrm>
                      <a:off x="0" y="0"/>
                      <a:ext cx="5274310" cy="3477895"/>
                    </a:xfrm>
                    <a:prstGeom prst="rect">
                      <a:avLst/>
                    </a:prstGeom>
                  </pic:spPr>
                </pic:pic>
              </a:graphicData>
            </a:graphic>
          </wp:inline>
        </w:drawing>
      </w:r>
    </w:p>
    <w:p w14:paraId="7CC470EE" w14:textId="5DA93EEB" w:rsidR="002D64BC" w:rsidRPr="002D64BC" w:rsidRDefault="002D64BC" w:rsidP="002D64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其中，</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XjtX_{jt}Xjt</w:t>
      </w:r>
      <w:r w:rsidRPr="002D64B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表示產業平均特徵；</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nnn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NNN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分別代表特徵的編號與特徵總數。迴歸對象涵蓋</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1991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至</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2007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年的每一年，並報告年度橫斷面迴歸係數的時間序列平均值以及其</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統計值。此方法允許進行多變量相關性分析，且對跨橫斷面的誤差相關性具穩健性。因此，所得迴歸係數可以解釋為產業集中度與產業平均特徵之間的簡單或條件相關性，並可據此對關係的強度做出適當的統計推論。</w:t>
      </w:r>
    </w:p>
    <w:p w14:paraId="172D63CF" w14:textId="77777777" w:rsidR="002D64BC" w:rsidRPr="002D64BC" w:rsidRDefault="002D64BC" w:rsidP="002D64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在標註為「</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」的部分，報告的是集中度對各特徵單獨進行</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FM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單變量迴歸的結果，因此一行中會有九個分開的單變量迴歸結果。而在標註為「</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」的部分，每一行則對應於一個同時納入多個產業特徵作為自變數的迴歸結果，提供的是</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H(Equity) </w:t>
      </w:r>
      <w:r w:rsidRPr="002D64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與產業特徵之間的條件相關性。</w:t>
      </w:r>
    </w:p>
    <w:p w14:paraId="1E63E282" w14:textId="39A88D5C" w:rsidR="003F41D1" w:rsidRPr="003F41D1" w:rsidRDefault="000774A2" w:rsidP="003F41D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F41D1" w:rsidRPr="003F41D1">
        <w:rPr>
          <w:rFonts w:ascii="新細明體" w:eastAsia="新細明體" w:hAnsi="新細明體" w:cs="新細明體"/>
          <w:b/>
          <w:bCs/>
          <w:kern w:val="0"/>
          <w14:ligatures w14:val="none"/>
        </w:rPr>
        <w:t xml:space="preserve"> </w:t>
      </w:r>
      <w:r w:rsidR="003F41D1" w:rsidRPr="003F41D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產業集中溢酬的時間序列變化</w:t>
      </w:r>
    </w:p>
    <w:p w14:paraId="78F55849" w14:textId="77777777" w:rsidR="003F41D1" w:rsidRPr="003F41D1" w:rsidRDefault="003F41D1" w:rsidP="003F41D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在本節中，我們的目標是回答：在納入既有風險因子後，產業集中溢酬是否仍</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具有顯著性。表</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報告了以下時間序列迴歸的結果，該迴歸將每月的產業集中溢酬作為應變數，回歸於風險因子與經濟指標：</w:t>
      </w:r>
    </w:p>
    <w:p w14:paraId="41B6A99B" w14:textId="77777777" w:rsidR="007F5265" w:rsidRDefault="007F5265" w:rsidP="003F41D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526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B2F32F" wp14:editId="1F4C0021">
            <wp:extent cx="3791479" cy="914528"/>
            <wp:effectExtent l="0" t="0" r="0" b="0"/>
            <wp:docPr id="849336580" name="圖片 1" descr="一張含有 字型, 文字, 白色, 筆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6580" name="圖片 1" descr="一張含有 字型, 文字, 白色, 筆跡 的圖片&#10;&#10;AI 產生的內容可能不正確。"/>
                    <pic:cNvPicPr/>
                  </pic:nvPicPr>
                  <pic:blipFill>
                    <a:blip r:embed="rId8"/>
                    <a:stretch>
                      <a:fillRect/>
                    </a:stretch>
                  </pic:blipFill>
                  <pic:spPr>
                    <a:xfrm>
                      <a:off x="0" y="0"/>
                      <a:ext cx="3791479" cy="914528"/>
                    </a:xfrm>
                    <a:prstGeom prst="rect">
                      <a:avLst/>
                    </a:prstGeom>
                  </pic:spPr>
                </pic:pic>
              </a:graphicData>
            </a:graphic>
          </wp:inline>
        </w:drawing>
      </w:r>
    </w:p>
    <w:p w14:paraId="40998F9C" w14:textId="41ADC04A" w:rsidR="003F41D1" w:rsidRPr="003F41D1" w:rsidRDefault="003F41D1" w:rsidP="003F41D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其中：</w:t>
      </w:r>
    </w:p>
    <w:p w14:paraId="5E27311B" w14:textId="299DBBC2" w:rsidR="003F41D1" w:rsidRPr="003F41D1" w:rsidRDefault="00625B1A" w:rsidP="003F41D1">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5B1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338BF5F" wp14:editId="53125FD6">
            <wp:extent cx="333422" cy="381053"/>
            <wp:effectExtent l="0" t="0" r="9525" b="0"/>
            <wp:docPr id="1484744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482" name=""/>
                    <pic:cNvPicPr/>
                  </pic:nvPicPr>
                  <pic:blipFill>
                    <a:blip r:embed="rId9"/>
                    <a:stretch>
                      <a:fillRect/>
                    </a:stretch>
                  </pic:blipFill>
                  <pic:spPr>
                    <a:xfrm>
                      <a:off x="0" y="0"/>
                      <a:ext cx="333422" cy="381053"/>
                    </a:xfrm>
                    <a:prstGeom prst="rect">
                      <a:avLst/>
                    </a:prstGeom>
                  </pic:spPr>
                </pic:pic>
              </a:graphicData>
            </a:graphic>
          </wp:inline>
        </w:drawing>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表示在月份</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ttt </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的「因子模擬投資組合」（</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 mimicking portfolio</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）的報酬率；</w:t>
      </w:r>
    </w:p>
    <w:p w14:paraId="2093C60E" w14:textId="1617F581" w:rsidR="003F41D1" w:rsidRPr="003F41D1" w:rsidRDefault="000E42DB" w:rsidP="003F41D1">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D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321C13" wp14:editId="0D6BBFF3">
            <wp:extent cx="381053" cy="285790"/>
            <wp:effectExtent l="0" t="0" r="0" b="0"/>
            <wp:docPr id="12142438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43886" name=""/>
                    <pic:cNvPicPr/>
                  </pic:nvPicPr>
                  <pic:blipFill>
                    <a:blip r:embed="rId10"/>
                    <a:stretch>
                      <a:fillRect/>
                    </a:stretch>
                  </pic:blipFill>
                  <pic:spPr>
                    <a:xfrm>
                      <a:off x="0" y="0"/>
                      <a:ext cx="381053" cy="285790"/>
                    </a:xfrm>
                    <a:prstGeom prst="rect">
                      <a:avLst/>
                    </a:prstGeom>
                  </pic:spPr>
                </pic:pic>
              </a:graphicData>
            </a:graphic>
          </wp:inline>
        </w:drawing>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表示在月份</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ttt </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的商業循環指標（</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cycle indicators</w:t>
      </w:r>
      <w:r w:rsidR="003F41D1"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21DA7B" w14:textId="7BCF7516" w:rsidR="003F41D1" w:rsidRPr="003F41D1" w:rsidRDefault="003F41D1" w:rsidP="003F41D1">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應變數</w:t>
      </w:r>
      <w:r w:rsidR="000E42DB" w:rsidRPr="000E42D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CBBD02" wp14:editId="031EE4D9">
            <wp:extent cx="276264" cy="333422"/>
            <wp:effectExtent l="0" t="0" r="9525" b="9525"/>
            <wp:docPr id="2401276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7683" name=""/>
                    <pic:cNvPicPr/>
                  </pic:nvPicPr>
                  <pic:blipFill>
                    <a:blip r:embed="rId11"/>
                    <a:stretch>
                      <a:fillRect/>
                    </a:stretch>
                  </pic:blipFill>
                  <pic:spPr>
                    <a:xfrm>
                      <a:off x="0" y="0"/>
                      <a:ext cx="276264" cy="333422"/>
                    </a:xfrm>
                    <a:prstGeom prst="rect">
                      <a:avLst/>
                    </a:prstGeom>
                  </pic:spPr>
                </pic:pic>
              </a:graphicData>
            </a:graphic>
          </wp:inline>
        </w:drawing>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41D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H(Equity) </w:t>
      </w:r>
      <w:r w:rsidRPr="003F41D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風險溢酬</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的時間序列，此溢酬來自表</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最後一行所報告的</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FM </w:t>
      </w:r>
      <w:r w:rsidRPr="003F41D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迴歸結果，在該迴歸中，個別股票報酬的橫斷面被回歸於產業集中度，並控制了其他公司特徵。</w:t>
      </w:r>
    </w:p>
    <w:p w14:paraId="5625C9B8" w14:textId="0DC780E5" w:rsidR="000662BC" w:rsidRDefault="000662BC" w:rsidP="00E900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F7608" w14:textId="18C715AA" w:rsidR="000662BC" w:rsidRP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662BC">
        <w:rPr>
          <w:rFonts w:ascii="新細明體" w:eastAsia="新細明體" w:hAnsi="新細明體" w:cs="新細明體"/>
          <w:b/>
          <w:bCs/>
          <w:kern w:val="0"/>
          <w14:ligatures w14:val="none"/>
        </w:rPr>
        <w:t xml:space="preserve"> </w:t>
      </w:r>
      <w:r w:rsidRPr="000662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產業集中溢酬是否能解釋投資組合報酬與現有因子？</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由於表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顯示關於產業集中溢酬是否已被現有資產定價因子吸收的結果不一致，我們進行兩種類型的檢驗，以釐清不同風險因子所包含的資訊內容。首先，我們檢驗在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Fama-French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三因子模型中加入</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因子，是否能更有效地解釋英國投資組合的報酬。其次，我們檢驗產業集中溢酬在多大程度上能解釋現有的資產定價因子。</w:t>
      </w:r>
    </w:p>
    <w:p w14:paraId="0D8FE6C7" w14:textId="77777777" w:rsidR="000662BC" w:rsidRP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為了達成第一個目標，我們在每年六月底依據公司之</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62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H(Equity)</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分數，將公司劃分為兩個投資組合，據此構建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62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 </w:t>
      </w:r>
      <w:r w:rsidRPr="000662B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。接著，我們計算該零投資組合的月度加權報酬率，其中多頭持有高度競爭產業的公司，空頭持有低度競爭產業的公司。接下來，我們對</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個依規模與帳面市值比排序的投資組合進行時間序列迴歸，分別檢驗在有無</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因子的情況下，風險因子對投資組合報酬的解釋能力。若</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因子是一個風險因子，它應該能解釋投資組合報酬。</w:t>
      </w:r>
    </w:p>
    <w:p w14:paraId="649519E9" w14:textId="77777777" w:rsid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修正後的</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Fama-French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四因子模型如下：</w:t>
      </w:r>
    </w:p>
    <w:p w14:paraId="47493F66" w14:textId="031DBFC4" w:rsid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7526A97" wp14:editId="16C82F31">
            <wp:extent cx="5274310" cy="251460"/>
            <wp:effectExtent l="0" t="0" r="2540" b="0"/>
            <wp:docPr id="643218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18699" name=""/>
                    <pic:cNvPicPr/>
                  </pic:nvPicPr>
                  <pic:blipFill>
                    <a:blip r:embed="rId12"/>
                    <a:stretch>
                      <a:fillRect/>
                    </a:stretch>
                  </pic:blipFill>
                  <pic:spPr>
                    <a:xfrm>
                      <a:off x="0" y="0"/>
                      <a:ext cx="5274310" cy="251460"/>
                    </a:xfrm>
                    <a:prstGeom prst="rect">
                      <a:avLst/>
                    </a:prstGeom>
                  </pic:spPr>
                </pic:pic>
              </a:graphicData>
            </a:graphic>
          </wp:inline>
        </w:drawing>
      </w:r>
    </w:p>
    <w:p w14:paraId="3BDD2C32" w14:textId="2ADE3B97" w:rsidR="000662BC" w:rsidRPr="000662BC" w:rsidRDefault="000662BC" w:rsidP="000662BC">
      <w:pP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A0D77D" wp14:editId="06CAB581">
            <wp:extent cx="5274310" cy="2705100"/>
            <wp:effectExtent l="0" t="0" r="2540" b="0"/>
            <wp:docPr id="78330137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01376" name="圖片 1" descr="一張含有 文字, 螢幕擷取畫面, 字型, 數字 的圖片&#10;&#10;AI 產生的內容可能不正確。"/>
                    <pic:cNvPicPr/>
                  </pic:nvPicPr>
                  <pic:blipFill>
                    <a:blip r:embed="rId13"/>
                    <a:stretch>
                      <a:fillRect/>
                    </a:stretch>
                  </pic:blipFill>
                  <pic:spPr>
                    <a:xfrm>
                      <a:off x="0" y="0"/>
                      <a:ext cx="5274310" cy="2705100"/>
                    </a:xfrm>
                    <a:prstGeom prst="rect">
                      <a:avLst/>
                    </a:prstGeom>
                  </pic:spPr>
                </pic:pic>
              </a:graphicData>
            </a:graphic>
          </wp:inline>
        </w:drawing>
      </w:r>
    </w:p>
    <w:p w14:paraId="4A026E95" w14:textId="77777777" w:rsidR="000662BC" w:rsidRP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為了檢驗虛無假設（</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因子無法解釋投資組合報酬的時間序列變異），我們檢驗公式</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βIC\beta_{IC}βIC</w:t>
      </w:r>
      <w:r w:rsidRPr="000662B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的聯合顯著性。表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面板</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的時間序列迴歸結果顯示，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Fama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French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的因子對解釋投資組合報酬是顯著的。而表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面板</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檢定顯示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βIC\beta_{IC}βIC</w:t>
      </w:r>
      <w:r w:rsidRPr="000662B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的聯合顯著性為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4.49</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，且在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顯著水準下具有統計顯著性。因此，我們拒絕虛無假設，並指出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因子在解釋英國投資組合報酬方面具有重要性。</w:t>
      </w:r>
    </w:p>
    <w:p w14:paraId="5A593713" w14:textId="77777777" w:rsidR="000662BC" w:rsidRDefault="000662BC"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此外，四因子模型的調整後</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R2R^2R2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值普遍高於</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Fama-French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三因子模型，這表示納入反映產品市場結構的風險因子，能提升</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Fama-French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三因子模型的定價能力。同時，表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面板</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最值得注意的結論是，</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因子對</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SMB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HML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因子是獨立且具增量解釋力的，這與表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FM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迴歸的結果一致。</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因子在</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HML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因子存在的情況下，對</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個交叉投資組合中的</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個顯著載荷，這顯示</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IC </w:t>
      </w:r>
      <w:r w:rsidRPr="000662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因子捕捉到與價值因子不同的資訊。</w:t>
      </w:r>
    </w:p>
    <w:p w14:paraId="23D200F4" w14:textId="77777777" w:rsidR="00B73F48" w:rsidRDefault="00B73F48"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F99D5" w14:textId="6C03516D" w:rsidR="00B73F48" w:rsidRDefault="00B73F48" w:rsidP="000662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7E60C7" w:rsidRPr="007E60C7">
        <w:t xml:space="preserve"> </w:t>
      </w:r>
      <w:r w:rsidR="007E60C7" w:rsidRPr="007E60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effects of industry characteristics on stock price synchronicity around IFRS adoption</w:t>
      </w:r>
    </w:p>
    <w:p w14:paraId="7261935A" w14:textId="2468F452" w:rsidR="006C1B39" w:rsidRPr="006C1B39" w:rsidRDefault="007E60C7" w:rsidP="006C1B3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sidR="006C1B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C1B39" w:rsidRPr="006C1B39">
        <w:rPr>
          <w:rFonts w:ascii="新細明體" w:eastAsia="新細明體" w:hAnsi="新細明體" w:cs="新細明體"/>
          <w:kern w:val="0"/>
          <w14:ligatures w14:val="none"/>
        </w:rPr>
        <w:t xml:space="preserve"> </w:t>
      </w:r>
      <w:r w:rsidR="006C1B39"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作者建立一個研究模型來檢驗假設：</w:t>
      </w:r>
    </w:p>
    <w:p w14:paraId="63D8E8A6" w14:textId="3D09D39F" w:rsidR="006C1B39" w:rsidRPr="006C1B39" w:rsidRDefault="002F0F0B" w:rsidP="006C1B3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0F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D084BC2" wp14:editId="3B2F00EA">
            <wp:extent cx="5274310" cy="838200"/>
            <wp:effectExtent l="0" t="0" r="2540" b="0"/>
            <wp:docPr id="24049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86" name=""/>
                    <pic:cNvPicPr/>
                  </pic:nvPicPr>
                  <pic:blipFill>
                    <a:blip r:embed="rId14"/>
                    <a:stretch>
                      <a:fillRect/>
                    </a:stretch>
                  </pic:blipFill>
                  <pic:spPr>
                    <a:xfrm>
                      <a:off x="0" y="0"/>
                      <a:ext cx="5274310" cy="838200"/>
                    </a:xfrm>
                    <a:prstGeom prst="rect">
                      <a:avLst/>
                    </a:prstGeom>
                  </pic:spPr>
                </pic:pic>
              </a:graphicData>
            </a:graphic>
          </wp:inline>
        </w:drawing>
      </w:r>
      <w:r w:rsidR="006C1B39"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DC31BE3">
          <v:rect id="_x0000_i1043" style="width:0;height:1.5pt" o:hralign="center" o:hrstd="t" o:hr="t" fillcolor="#a0a0a0" stroked="f"/>
        </w:pict>
      </w:r>
    </w:p>
    <w:p w14:paraId="13621C72" w14:textId="77777777" w:rsidR="006C1B39" w:rsidRPr="006C1B39" w:rsidRDefault="006C1B39" w:rsidP="006C1B39">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各變數定義</w:t>
      </w:r>
    </w:p>
    <w:p w14:paraId="35EA09B9"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公司層級股票報酬與市場、產業以及美國股市報酬的同步性（依據模型</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計算）。</w:t>
      </w:r>
    </w:p>
    <w:p w14:paraId="6E83BC8B"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產業特性，可為產業集中度或產業同質性。</w:t>
      </w:r>
    </w:p>
    <w:p w14:paraId="4EE5257E" w14:textId="77777777" w:rsidR="006C1B39" w:rsidRPr="006C1B39" w:rsidRDefault="006C1B39" w:rsidP="006C1B39">
      <w:pPr>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產業集中度分位數，以銷售額為基礎計算的</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Herfindahl-Hirschman Index (HHI)</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DC3C7F" w14:textId="77777777" w:rsidR="006C1B39" w:rsidRPr="006C1B39" w:rsidRDefault="006C1B39" w:rsidP="006C1B39">
      <w:pPr>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HGN</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產業同質性，定義為同產業所有公司營業費用年度變動率之相關係數的平均值（</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2006–2015</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9B94A"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IFRS</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國際財務報導準則採用虛擬變數，若屬於</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IFRS</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採用期間則</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，否則</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162DF6"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公司規模，以</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市值</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測量。</w:t>
      </w:r>
    </w:p>
    <w:p w14:paraId="1CEE2DA8"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TBQL</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萊格（</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Tobin’s q</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5A4019"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財務槓桿，定義為</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總負債</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總資產</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59F685" w14:textId="4D936DAF"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年化股票報酬波動度，計算方式為</w:t>
      </w:r>
      <w:r w:rsidR="007B3EEA" w:rsidRPr="007B3E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E3B661" wp14:editId="618C318F">
            <wp:extent cx="3553321" cy="562053"/>
            <wp:effectExtent l="0" t="0" r="9525" b="9525"/>
            <wp:docPr id="1005946990" name="圖片 1" descr="一張含有 文字, 字型,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46990" name="圖片 1" descr="一張含有 文字, 字型, 白色, 行 的圖片&#10;&#10;AI 產生的內容可能不正確。"/>
                    <pic:cNvPicPr/>
                  </pic:nvPicPr>
                  <pic:blipFill>
                    <a:blip r:embed="rId15"/>
                    <a:stretch>
                      <a:fillRect/>
                    </a:stretch>
                  </pic:blipFill>
                  <pic:spPr>
                    <a:xfrm>
                      <a:off x="0" y="0"/>
                      <a:ext cx="3553321" cy="562053"/>
                    </a:xfrm>
                    <a:prstGeom prst="rect">
                      <a:avLst/>
                    </a:prstGeom>
                  </pic:spPr>
                </pic:pic>
              </a:graphicData>
            </a:graphic>
          </wp:inline>
        </w:drawing>
      </w:r>
    </w:p>
    <w:p w14:paraId="4D453CB9"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BETA</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股票</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值。</w:t>
      </w:r>
    </w:p>
    <w:p w14:paraId="74376C15"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STDROA</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前五年</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ROA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標準差</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3A4A88"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外國投資人持股比例。</w:t>
      </w:r>
    </w:p>
    <w:p w14:paraId="104A0246"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MTB</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市價淨值比</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(market-to-book ratio of equity)</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45FA1F"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交易量</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流通在外股數。</w:t>
      </w:r>
    </w:p>
    <w:p w14:paraId="51991DB3"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產業規模，以</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產業內公司數量</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測量。</w:t>
      </w:r>
    </w:p>
    <w:p w14:paraId="7A153CD5" w14:textId="77777777" w:rsidR="006C1B39" w:rsidRPr="006C1B39" w:rsidRDefault="006C1B39" w:rsidP="006C1B39">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year</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年度虛擬變數</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(year dummies)</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CBC24C" w14:textId="77777777" w:rsidR="006C1B39" w:rsidRPr="006C1B39" w:rsidRDefault="006C1B39" w:rsidP="006C1B3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111B2A0">
          <v:rect id="_x0000_i1044" style="width:0;height:1.5pt" o:hralign="center" o:hrstd="t" o:hr="t" fillcolor="#a0a0a0" stroked="f"/>
        </w:pict>
      </w:r>
    </w:p>
    <w:p w14:paraId="72E9AE74" w14:textId="77777777" w:rsidR="006C1B39" w:rsidRPr="006C1B39" w:rsidRDefault="006C1B39" w:rsidP="006C1B39">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控制方法</w:t>
      </w:r>
    </w:p>
    <w:p w14:paraId="09D697F9" w14:textId="77777777" w:rsidR="006C1B39" w:rsidRPr="006C1B39" w:rsidRDefault="006C1B39" w:rsidP="006C1B39">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極端值處理</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：所有連續變數於</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與</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99%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分位數進行</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Winsorization</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，以控制離群值影響。</w:t>
      </w:r>
    </w:p>
    <w:p w14:paraId="0890DA71" w14:textId="77777777" w:rsidR="006C1B39" w:rsidRPr="006C1B39" w:rsidRDefault="006C1B39" w:rsidP="006C1B39">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誤差修正</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：使用</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依產業聚類</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(industry-clustered) </w:t>
      </w:r>
      <w:r w:rsidRPr="006C1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的標準誤</w:t>
      </w: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，以控制除產業集中度與產業同質性以外的其他產業效果。</w:t>
      </w:r>
    </w:p>
    <w:p w14:paraId="3818D042" w14:textId="77777777" w:rsidR="006C1B39" w:rsidRPr="006C1B39" w:rsidRDefault="006C1B39" w:rsidP="006C1B3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EFE71D4">
          <v:rect id="_x0000_i1045" style="width:0;height:1.5pt" o:hralign="center" o:hrstd="t" o:hr="t" fillcolor="#a0a0a0" stroked="f"/>
        </w:pict>
      </w:r>
    </w:p>
    <w:p w14:paraId="762AE741" w14:textId="670F380E" w:rsidR="00C046E9" w:rsidRPr="00C046E9" w:rsidRDefault="007B3EEA"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變數</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046E9" w:rsidRPr="00C046E9">
        <w:rPr>
          <w:rFonts w:ascii="新細明體" w:eastAsia="新細明體" w:hAnsi="新細明體" w:cs="新細明體"/>
          <w:b/>
          <w:bCs/>
          <w:kern w:val="0"/>
          <w14:ligatures w14:val="none"/>
        </w:rPr>
        <w:t xml:space="preserve"> </w:t>
      </w:r>
      <w:r w:rsidR="00C046E9" w:rsidRPr="00C046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股票價格同步性（</w:t>
      </w:r>
      <w:r w:rsidR="00C046E9" w:rsidRPr="00C046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 price synchronicity</w:t>
      </w:r>
      <w:r w:rsidR="00C046E9" w:rsidRPr="00C046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F68FCA" w14:textId="77777777" w:rsidR="00C046E9" w:rsidRPr="00C046E9" w:rsidRDefault="00C046E9"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股票報酬的同步性以</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R2R^2R2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衡量，反映市場與產業資訊在公司股價中的涵蓋程度。</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CAPM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模型下，公司的預期報酬是預期市場報酬的線性函數，這意味著市場報酬是驗證資本資產定價模型（</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CAPM</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）實證有效性的重要指標（</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1988</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F716DF" w14:textId="77777777" w:rsidR="00C046E9" w:rsidRPr="00C046E9" w:rsidRDefault="00C046E9"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自從</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Durnev et al. (2003)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以及</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Piotroski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Roulstone (2004)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發展並提供了基於資產定價模型的同步性模型以來，許多研究使用</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R2R^2R2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來衡量同步性，即反映公司特定資訊被資本化到公司股價的程度。</w:t>
      </w:r>
    </w:p>
    <w:p w14:paraId="71351E5C" w14:textId="77777777" w:rsidR="00C046E9" w:rsidRPr="00C046E9" w:rsidRDefault="00C046E9"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具體來說，與先前研究（</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Kim &amp; Shi, 2012</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Shin &amp; Choi, 2013</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）類似，每家公司－年度的同步性是透過市場模型的</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R2R^2R2 </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衡量。研究者利用下式</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，將各公司的股票報酬迴歸於當期與前一期的加權市場報酬（</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MKTRET</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）、當期與前一期的加權產業報酬（</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INDRET</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）。此外，由於韓國股市受到美國股市影響，因此也納入美國股市的當期與前一期報酬（</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USRET</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）。若某公司在某年度的週報酬觀測值少於</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，則會被排除。</w:t>
      </w:r>
    </w:p>
    <w:p w14:paraId="77B6D247" w14:textId="77777777" w:rsidR="000C5E0F" w:rsidRDefault="008229C6"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9C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163A92C" wp14:editId="176A85C2">
            <wp:extent cx="5274310" cy="229870"/>
            <wp:effectExtent l="0" t="0" r="2540" b="0"/>
            <wp:docPr id="575591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1849" name=""/>
                    <pic:cNvPicPr/>
                  </pic:nvPicPr>
                  <pic:blipFill>
                    <a:blip r:embed="rId16"/>
                    <a:stretch>
                      <a:fillRect/>
                    </a:stretch>
                  </pic:blipFill>
                  <pic:spPr>
                    <a:xfrm>
                      <a:off x="0" y="0"/>
                      <a:ext cx="5274310" cy="229870"/>
                    </a:xfrm>
                    <a:prstGeom prst="rect">
                      <a:avLst/>
                    </a:prstGeom>
                  </pic:spPr>
                </pic:pic>
              </a:graphicData>
            </a:graphic>
          </wp:inline>
        </w:drawing>
      </w:r>
    </w:p>
    <w:p w14:paraId="18AA5751" w14:textId="77777777" w:rsidR="000C5E0F" w:rsidRDefault="000C5E0F"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AFB19" w14:textId="77777777" w:rsidR="000C5E0F" w:rsidRDefault="000C5E0F"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A11A2" w14:textId="77777777" w:rsidR="000C5E0F" w:rsidRDefault="000C5E0F"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2449CE" w14:textId="003ADAE3" w:rsidR="000C5E0F" w:rsidRDefault="00C046E9" w:rsidP="00C046E9">
      <w:pP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我們使用對數轉換（</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log-transformation</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）來處理變數的對數常態分佈公式如下</w:t>
      </w:r>
      <w:r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5E0F" w:rsidRPr="000C5E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1AA4E2" wp14:editId="307CC9D4">
            <wp:extent cx="2838846" cy="924054"/>
            <wp:effectExtent l="0" t="0" r="0" b="9525"/>
            <wp:docPr id="1157065870" name="圖片 1" descr="一張含有 字型, 文字,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65870" name="圖片 1" descr="一張含有 字型, 文字, 白色, 行 的圖片&#10;&#10;AI 產生的內容可能不正確。"/>
                    <pic:cNvPicPr/>
                  </pic:nvPicPr>
                  <pic:blipFill>
                    <a:blip r:embed="rId17"/>
                    <a:stretch>
                      <a:fillRect/>
                    </a:stretch>
                  </pic:blipFill>
                  <pic:spPr>
                    <a:xfrm>
                      <a:off x="0" y="0"/>
                      <a:ext cx="2838846" cy="924054"/>
                    </a:xfrm>
                    <a:prstGeom prst="rect">
                      <a:avLst/>
                    </a:prstGeom>
                  </pic:spPr>
                </pic:pic>
              </a:graphicData>
            </a:graphic>
          </wp:inline>
        </w:drawing>
      </w:r>
    </w:p>
    <w:p w14:paraId="65B38B5C" w14:textId="5D63363A" w:rsidR="00C046E9" w:rsidRPr="00C046E9" w:rsidRDefault="00342C84" w:rsidP="00C046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2C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7AB22ED" wp14:editId="130A4FED">
            <wp:extent cx="5274310" cy="3318510"/>
            <wp:effectExtent l="0" t="0" r="2540" b="0"/>
            <wp:docPr id="33546444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4446" name="圖片 1" descr="一張含有 文字, 螢幕擷取畫面, 字型, 數字 的圖片&#10;&#10;AI 產生的內容可能不正確。"/>
                    <pic:cNvPicPr/>
                  </pic:nvPicPr>
                  <pic:blipFill>
                    <a:blip r:embed="rId18"/>
                    <a:stretch>
                      <a:fillRect/>
                    </a:stretch>
                  </pic:blipFill>
                  <pic:spPr>
                    <a:xfrm>
                      <a:off x="0" y="0"/>
                      <a:ext cx="5274310" cy="3318510"/>
                    </a:xfrm>
                    <a:prstGeom prst="rect">
                      <a:avLst/>
                    </a:prstGeom>
                  </pic:spPr>
                </pic:pic>
              </a:graphicData>
            </a:graphic>
          </wp:inline>
        </w:drawing>
      </w:r>
      <w:r w:rsidR="00C046E9" w:rsidRPr="00C04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2AA10A" w14:textId="2BA2B1CA" w:rsidR="000662BC" w:rsidRPr="00E90084" w:rsidRDefault="000662BC" w:rsidP="00E90084">
      <w:pP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77FDB" w14:textId="1F31250E" w:rsidR="00E90084" w:rsidRPr="00E90084" w:rsidRDefault="00E90084">
      <w:pP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90084" w:rsidRPr="00E9008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3D16"/>
    <w:multiLevelType w:val="multilevel"/>
    <w:tmpl w:val="503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15B39"/>
    <w:multiLevelType w:val="multilevel"/>
    <w:tmpl w:val="D944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C7549"/>
    <w:multiLevelType w:val="multilevel"/>
    <w:tmpl w:val="8FC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713658">
    <w:abstractNumId w:val="0"/>
  </w:num>
  <w:num w:numId="2" w16cid:durableId="760026389">
    <w:abstractNumId w:val="1"/>
  </w:num>
  <w:num w:numId="3" w16cid:durableId="190267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84"/>
    <w:rsid w:val="00010F0A"/>
    <w:rsid w:val="000662BC"/>
    <w:rsid w:val="000774A2"/>
    <w:rsid w:val="000C5E0F"/>
    <w:rsid w:val="000E42DB"/>
    <w:rsid w:val="002B03B6"/>
    <w:rsid w:val="002D64BC"/>
    <w:rsid w:val="002F0F0B"/>
    <w:rsid w:val="00342C84"/>
    <w:rsid w:val="003F41D1"/>
    <w:rsid w:val="004D3D0D"/>
    <w:rsid w:val="00625B1A"/>
    <w:rsid w:val="006C1B39"/>
    <w:rsid w:val="007B3EEA"/>
    <w:rsid w:val="007E60C7"/>
    <w:rsid w:val="007F5265"/>
    <w:rsid w:val="008229C6"/>
    <w:rsid w:val="008970EF"/>
    <w:rsid w:val="00B73F48"/>
    <w:rsid w:val="00C046E9"/>
    <w:rsid w:val="00D10DEE"/>
    <w:rsid w:val="00D40168"/>
    <w:rsid w:val="00E900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1C34"/>
  <w15:chartTrackingRefBased/>
  <w15:docId w15:val="{171AF080-C02F-496F-8BB0-B45B812C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00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00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008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9008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900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008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9008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008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9008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9008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9008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9008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9008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90084"/>
    <w:rPr>
      <w:rFonts w:eastAsiaTheme="majorEastAsia" w:cstheme="majorBidi"/>
      <w:color w:val="0F4761" w:themeColor="accent1" w:themeShade="BF"/>
    </w:rPr>
  </w:style>
  <w:style w:type="character" w:customStyle="1" w:styleId="60">
    <w:name w:val="標題 6 字元"/>
    <w:basedOn w:val="a0"/>
    <w:link w:val="6"/>
    <w:uiPriority w:val="9"/>
    <w:semiHidden/>
    <w:rsid w:val="00E90084"/>
    <w:rPr>
      <w:rFonts w:eastAsiaTheme="majorEastAsia" w:cstheme="majorBidi"/>
      <w:color w:val="595959" w:themeColor="text1" w:themeTint="A6"/>
    </w:rPr>
  </w:style>
  <w:style w:type="character" w:customStyle="1" w:styleId="70">
    <w:name w:val="標題 7 字元"/>
    <w:basedOn w:val="a0"/>
    <w:link w:val="7"/>
    <w:uiPriority w:val="9"/>
    <w:semiHidden/>
    <w:rsid w:val="00E90084"/>
    <w:rPr>
      <w:rFonts w:eastAsiaTheme="majorEastAsia" w:cstheme="majorBidi"/>
      <w:color w:val="595959" w:themeColor="text1" w:themeTint="A6"/>
    </w:rPr>
  </w:style>
  <w:style w:type="character" w:customStyle="1" w:styleId="80">
    <w:name w:val="標題 8 字元"/>
    <w:basedOn w:val="a0"/>
    <w:link w:val="8"/>
    <w:uiPriority w:val="9"/>
    <w:semiHidden/>
    <w:rsid w:val="00E90084"/>
    <w:rPr>
      <w:rFonts w:eastAsiaTheme="majorEastAsia" w:cstheme="majorBidi"/>
      <w:color w:val="272727" w:themeColor="text1" w:themeTint="D8"/>
    </w:rPr>
  </w:style>
  <w:style w:type="character" w:customStyle="1" w:styleId="90">
    <w:name w:val="標題 9 字元"/>
    <w:basedOn w:val="a0"/>
    <w:link w:val="9"/>
    <w:uiPriority w:val="9"/>
    <w:semiHidden/>
    <w:rsid w:val="00E90084"/>
    <w:rPr>
      <w:rFonts w:eastAsiaTheme="majorEastAsia" w:cstheme="majorBidi"/>
      <w:color w:val="272727" w:themeColor="text1" w:themeTint="D8"/>
    </w:rPr>
  </w:style>
  <w:style w:type="paragraph" w:styleId="a3">
    <w:name w:val="Title"/>
    <w:basedOn w:val="a"/>
    <w:next w:val="a"/>
    <w:link w:val="a4"/>
    <w:uiPriority w:val="10"/>
    <w:qFormat/>
    <w:rsid w:val="00E900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900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0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900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0084"/>
    <w:pPr>
      <w:spacing w:before="160"/>
      <w:jc w:val="center"/>
    </w:pPr>
    <w:rPr>
      <w:i/>
      <w:iCs/>
      <w:color w:val="404040" w:themeColor="text1" w:themeTint="BF"/>
    </w:rPr>
  </w:style>
  <w:style w:type="character" w:customStyle="1" w:styleId="a8">
    <w:name w:val="引文 字元"/>
    <w:basedOn w:val="a0"/>
    <w:link w:val="a7"/>
    <w:uiPriority w:val="29"/>
    <w:rsid w:val="00E90084"/>
    <w:rPr>
      <w:i/>
      <w:iCs/>
      <w:color w:val="404040" w:themeColor="text1" w:themeTint="BF"/>
    </w:rPr>
  </w:style>
  <w:style w:type="paragraph" w:styleId="a9">
    <w:name w:val="List Paragraph"/>
    <w:basedOn w:val="a"/>
    <w:uiPriority w:val="34"/>
    <w:qFormat/>
    <w:rsid w:val="00E90084"/>
    <w:pPr>
      <w:ind w:left="720"/>
      <w:contextualSpacing/>
    </w:pPr>
  </w:style>
  <w:style w:type="character" w:styleId="aa">
    <w:name w:val="Intense Emphasis"/>
    <w:basedOn w:val="a0"/>
    <w:uiPriority w:val="21"/>
    <w:qFormat/>
    <w:rsid w:val="00E90084"/>
    <w:rPr>
      <w:i/>
      <w:iCs/>
      <w:color w:val="0F4761" w:themeColor="accent1" w:themeShade="BF"/>
    </w:rPr>
  </w:style>
  <w:style w:type="paragraph" w:styleId="ab">
    <w:name w:val="Intense Quote"/>
    <w:basedOn w:val="a"/>
    <w:next w:val="a"/>
    <w:link w:val="ac"/>
    <w:uiPriority w:val="30"/>
    <w:qFormat/>
    <w:rsid w:val="00E90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90084"/>
    <w:rPr>
      <w:i/>
      <w:iCs/>
      <w:color w:val="0F4761" w:themeColor="accent1" w:themeShade="BF"/>
    </w:rPr>
  </w:style>
  <w:style w:type="character" w:styleId="ad">
    <w:name w:val="Intense Reference"/>
    <w:basedOn w:val="a0"/>
    <w:uiPriority w:val="32"/>
    <w:qFormat/>
    <w:rsid w:val="00E90084"/>
    <w:rPr>
      <w:b/>
      <w:bCs/>
      <w:smallCaps/>
      <w:color w:val="0F4761" w:themeColor="accent1" w:themeShade="BF"/>
      <w:spacing w:val="5"/>
    </w:rPr>
  </w:style>
  <w:style w:type="paragraph" w:styleId="Web">
    <w:name w:val="Normal (Web)"/>
    <w:basedOn w:val="a"/>
    <w:uiPriority w:val="99"/>
    <w:semiHidden/>
    <w:unhideWhenUsed/>
    <w:rsid w:val="00E900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陳力瑋</dc:creator>
  <cp:keywords/>
  <dc:description/>
  <cp:lastModifiedBy>陳力瑋</cp:lastModifiedBy>
  <cp:revision>17</cp:revision>
  <dcterms:created xsi:type="dcterms:W3CDTF">2025-09-21T15:57:00Z</dcterms:created>
  <dcterms:modified xsi:type="dcterms:W3CDTF">2025-09-21T16:43:00Z</dcterms:modified>
</cp:coreProperties>
</file>