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標題"/>
        <w:rPr>
          <w:sz w:val="21"/>
          <w:szCs w:val="21"/>
        </w:rPr>
      </w:pPr>
      <w:r>
        <w:rPr>
          <w:sz w:val="21"/>
          <w:szCs w:val="21"/>
        </w:rP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0</wp:posOffset>
            </wp:positionV>
            <wp:extent cx="950822" cy="950822"/>
            <wp:effectExtent l="0" t="0" r="0" b="0"/>
            <wp:wrapNone/>
            <wp:docPr id="1073741825" name="officeArt object" descr="貼上的影片.png"/>
            <wp:cNvGraphicFramePr/>
            <a:graphic xmlns:a="http://schemas.openxmlformats.org/drawingml/2006/main">
              <a:graphicData uri="http://schemas.openxmlformats.org/drawingml/2006/picture">
                <pic:pic xmlns:pic="http://schemas.openxmlformats.org/drawingml/2006/picture">
                  <pic:nvPicPr>
                    <pic:cNvPr id="1073741825" name="貼上的影片.png" descr="貼上的影片.png"/>
                    <pic:cNvPicPr>
                      <a:picLocks noChangeAspect="1"/>
                    </pic:cNvPicPr>
                  </pic:nvPicPr>
                  <pic:blipFill>
                    <a:blip r:embed="rId4">
                      <a:extLst/>
                    </a:blip>
                    <a:stretch>
                      <a:fillRect/>
                    </a:stretch>
                  </pic:blipFill>
                  <pic:spPr>
                    <a:xfrm>
                      <a:off x="0" y="0"/>
                      <a:ext cx="950822" cy="950822"/>
                    </a:xfrm>
                    <a:prstGeom prst="rect">
                      <a:avLst/>
                    </a:prstGeom>
                    <a:ln w="12700" cap="flat">
                      <a:noFill/>
                      <a:miter lim="400000"/>
                    </a:ln>
                    <a:effectLst/>
                  </pic:spPr>
                </pic:pic>
              </a:graphicData>
            </a:graphic>
          </wp:anchor>
        </w:drawing>
      </w:r>
    </w:p>
    <w:p>
      <w:pPr>
        <w:pStyle w:val="標題"/>
        <w:rPr>
          <w:sz w:val="21"/>
          <w:szCs w:val="21"/>
        </w:rPr>
      </w:pPr>
    </w:p>
    <w:p>
      <w:pPr>
        <w:pStyle w:val="標題"/>
        <w:rPr>
          <w:sz w:val="21"/>
          <w:szCs w:val="21"/>
        </w:rPr>
      </w:pPr>
    </w:p>
    <w:p>
      <w:pPr>
        <w:pStyle w:val="標題"/>
        <w:spacing w:line="240" w:lineRule="auto"/>
        <w:rPr>
          <w:rFonts w:ascii="Times New Roman" w:hAnsi="Times New Roman"/>
          <w:b w:val="1"/>
          <w:bCs w:val="1"/>
          <w:sz w:val="21"/>
          <w:szCs w:val="21"/>
        </w:rPr>
      </w:pPr>
    </w:p>
    <w:p>
      <w:pPr>
        <w:pStyle w:val="標題"/>
        <w:spacing w:line="240" w:lineRule="auto"/>
        <w:rPr>
          <w:rFonts w:ascii="Times New Roman" w:hAnsi="Times New Roman"/>
          <w:b w:val="1"/>
          <w:bCs w:val="1"/>
          <w:sz w:val="21"/>
          <w:szCs w:val="21"/>
        </w:rPr>
      </w:pPr>
    </w:p>
    <w:p>
      <w:pPr>
        <w:pStyle w:val="標題"/>
        <w:spacing w:line="240" w:lineRule="auto"/>
        <w:rPr>
          <w:rFonts w:ascii="Times New Roman" w:hAnsi="Times New Roman"/>
          <w:b w:val="1"/>
          <w:bCs w:val="1"/>
          <w:sz w:val="21"/>
          <w:szCs w:val="21"/>
        </w:rPr>
      </w:pPr>
    </w:p>
    <w:p>
      <w:pPr>
        <w:pStyle w:val="標題"/>
        <w:spacing w:line="240" w:lineRule="auto"/>
        <w:rPr>
          <w:rFonts w:ascii="Times New Roman" w:hAnsi="Times New Roman"/>
          <w:b w:val="1"/>
          <w:bCs w:val="1"/>
          <w:sz w:val="21"/>
          <w:szCs w:val="21"/>
        </w:rPr>
      </w:pPr>
    </w:p>
    <w:p>
      <w:pPr>
        <w:pStyle w:val="標題"/>
        <w:spacing w:line="240" w:lineRule="auto"/>
        <w:rPr>
          <w:rFonts w:ascii="Times New Roman" w:hAnsi="Times New Roman"/>
          <w:b w:val="1"/>
          <w:bCs w:val="1"/>
          <w:sz w:val="21"/>
          <w:szCs w:val="21"/>
        </w:rPr>
      </w:pPr>
    </w:p>
    <w:p>
      <w:pPr>
        <w:pStyle w:val="標題"/>
        <w:spacing w:line="240" w:lineRule="auto"/>
        <w:rPr>
          <w:rFonts w:ascii="Times New Roman" w:cs="Times New Roman" w:hAnsi="Times New Roman" w:eastAsia="Times New Roman"/>
          <w:b w:val="1"/>
          <w:bCs w:val="1"/>
          <w:sz w:val="21"/>
          <w:szCs w:val="21"/>
        </w:rPr>
      </w:pPr>
      <w:r>
        <w:rPr>
          <w:rFonts w:ascii="Times New Roman" w:hAnsi="Times New Roman"/>
          <w:b w:val="1"/>
          <w:bCs w:val="1"/>
          <w:sz w:val="21"/>
          <w:szCs w:val="21"/>
          <w:rtl w:val="0"/>
          <w:lang w:val="en-US"/>
        </w:rPr>
        <w:t>National Taiwan University</w:t>
      </w:r>
    </w:p>
    <w:p>
      <w:pPr>
        <w:pStyle w:val="內文 2"/>
        <w:spacing w:after="0" w:line="240" w:lineRule="auto"/>
        <w:rPr>
          <w:rFonts w:ascii="Times New Roman" w:cs="Times New Roman" w:hAnsi="Times New Roman" w:eastAsia="Times New Roman"/>
          <w:b w:val="1"/>
          <w:bCs w:val="1"/>
          <w:outline w:val="0"/>
          <w:color w:val="3a5570"/>
          <w:sz w:val="21"/>
          <w:szCs w:val="21"/>
          <w14:textFill>
            <w14:solidFill>
              <w14:srgbClr w14:val="3A5570"/>
            </w14:solidFill>
          </w14:textFill>
        </w:rPr>
      </w:pPr>
      <w:r>
        <w:rPr>
          <w:rFonts w:ascii="Times New Roman" w:hAnsi="Times New Roman"/>
          <w:b w:val="1"/>
          <w:bCs w:val="1"/>
          <w:outline w:val="0"/>
          <w:color w:val="3a5570"/>
          <w:sz w:val="21"/>
          <w:szCs w:val="21"/>
          <w:rtl w:val="0"/>
          <w:lang w:val="en-US"/>
          <w14:textFill>
            <w14:solidFill>
              <w14:srgbClr w14:val="3A5570"/>
            </w14:solidFill>
          </w14:textFill>
        </w:rPr>
        <w:t>Department of Computer Science &amp; Information Engineering</w:t>
      </w:r>
    </w:p>
    <w:p>
      <w:pPr>
        <w:pStyle w:val="內文 2"/>
        <w:spacing w:after="0" w:line="240" w:lineRule="auto"/>
        <w:rPr>
          <w:rFonts w:ascii="Times New Roman" w:cs="Times New Roman" w:hAnsi="Times New Roman" w:eastAsia="Times New Roman"/>
          <w:sz w:val="21"/>
          <w:szCs w:val="21"/>
        </w:rPr>
      </w:pPr>
      <w:r>
        <w:rPr>
          <w:rFonts w:ascii="Times New Roman" w:hAnsi="Times New Roman"/>
          <w:sz w:val="21"/>
          <w:szCs w:val="21"/>
          <w:rtl w:val="0"/>
          <w:lang w:val="it-IT"/>
        </w:rPr>
        <w:t xml:space="preserve">No. 1, Sec. 4, Roosevelt Rd., </w:t>
      </w:r>
    </w:p>
    <w:p>
      <w:pPr>
        <w:pStyle w:val="內文 2"/>
        <w:spacing w:after="0" w:line="240" w:lineRule="auto"/>
        <w:rPr>
          <w:rFonts w:ascii="Times New Roman" w:cs="Times New Roman" w:hAnsi="Times New Roman" w:eastAsia="Times New Roman"/>
          <w:sz w:val="21"/>
          <w:szCs w:val="21"/>
        </w:rPr>
      </w:pPr>
      <w:r>
        <w:rPr>
          <w:rFonts w:ascii="Times New Roman" w:hAnsi="Times New Roman"/>
          <w:sz w:val="21"/>
          <w:szCs w:val="21"/>
          <w:rtl w:val="0"/>
          <w:lang w:val="it-IT"/>
        </w:rPr>
        <w:t>Taipei 106319, Taiwan</w:t>
      </w:r>
      <w:r>
        <w:rPr>
          <w:rFonts w:ascii="Times New Roman" w:cs="Times New Roman" w:hAnsi="Times New Roman" w:eastAsia="Times New Roman"/>
          <w:sz w:val="21"/>
          <w:szCs w:val="21"/>
        </w:rPr>
        <w:br w:type="textWrapping"/>
      </w:r>
    </w:p>
    <w:p>
      <w:pPr>
        <w:pStyle w:val="內文 2"/>
        <w:spacing w:after="0" w:line="240" w:lineRule="auto"/>
        <w:rPr>
          <w:rFonts w:ascii="Times New Roman" w:cs="Times New Roman" w:hAnsi="Times New Roman" w:eastAsia="Times New Roman"/>
          <w:sz w:val="21"/>
          <w:szCs w:val="21"/>
        </w:rPr>
      </w:pPr>
      <w:r>
        <w:rPr>
          <w:rFonts w:ascii="Times New Roman" w:hAnsi="Times New Roman"/>
          <w:b w:val="1"/>
          <w:bCs w:val="1"/>
          <w:sz w:val="21"/>
          <w:szCs w:val="21"/>
          <w:rtl w:val="0"/>
          <w:lang w:val="en-US"/>
        </w:rPr>
        <w:t>Telephone</w:t>
      </w:r>
      <w:r>
        <w:rPr>
          <w:rFonts w:ascii="Times New Roman" w:hAnsi="Times New Roman"/>
          <w:sz w:val="21"/>
          <w:szCs w:val="21"/>
          <w:rtl w:val="0"/>
          <w:lang w:val="en-US"/>
        </w:rPr>
        <w:t>: (02) 33664888 ext. 510</w:t>
      </w:r>
    </w:p>
    <w:p>
      <w:pPr>
        <w:pStyle w:val="內文 2"/>
        <w:spacing w:after="0" w:line="240" w:lineRule="auto"/>
        <w:rPr>
          <w:rFonts w:ascii="Times New Roman" w:cs="Times New Roman" w:hAnsi="Times New Roman" w:eastAsia="Times New Roman"/>
          <w:sz w:val="21"/>
          <w:szCs w:val="21"/>
        </w:rPr>
      </w:pPr>
      <w:r>
        <w:rPr>
          <w:rFonts w:ascii="Times New Roman" w:hAnsi="Times New Roman"/>
          <w:b w:val="1"/>
          <w:bCs w:val="1"/>
          <w:sz w:val="21"/>
          <w:szCs w:val="21"/>
          <w:rtl w:val="0"/>
          <w:lang w:val="en-US"/>
        </w:rPr>
        <w:t>Email</w:t>
      </w:r>
      <w:r>
        <w:rPr>
          <w:rFonts w:ascii="Times New Roman" w:hAnsi="Times New Roman"/>
          <w:sz w:val="21"/>
          <w:szCs w:val="21"/>
          <w:rtl w:val="0"/>
          <w:lang w:val="en-US"/>
        </w:rPr>
        <w:t>: cylee@csie.ntu.edu.tw</w:t>
      </w:r>
    </w:p>
    <w:p>
      <w:pPr>
        <w:pStyle w:val="標題"/>
        <w:rPr>
          <w:sz w:val="21"/>
          <w:szCs w:val="21"/>
        </w:rPr>
      </w:pPr>
    </w:p>
    <w:p>
      <w:pPr>
        <w:pStyle w:val="標題"/>
        <w:jc w:val="right"/>
        <w:rPr>
          <w:rFonts w:ascii="Times New Roman" w:cs="Times New Roman" w:hAnsi="Times New Roman" w:eastAsia="Times New Roman"/>
          <w:outline w:val="0"/>
          <w:color w:val="434343"/>
          <w:sz w:val="21"/>
          <w:szCs w:val="21"/>
          <w14:textFill>
            <w14:solidFill>
              <w14:srgbClr w14:val="444444"/>
            </w14:solidFill>
          </w14:textFill>
        </w:rPr>
      </w:pPr>
      <w:r>
        <w:rPr>
          <w:rFonts w:ascii="Times New Roman" w:hAnsi="Times New Roman"/>
          <w:outline w:val="0"/>
          <w:color w:val="434343"/>
          <w:sz w:val="21"/>
          <w:szCs w:val="21"/>
          <w:rtl w:val="0"/>
          <w:lang w:val="en-US"/>
          <w14:textFill>
            <w14:solidFill>
              <w14:srgbClr w14:val="444444"/>
            </w14:solidFill>
          </w14:textFill>
        </w:rPr>
        <w:t>Feb. 22</w:t>
      </w:r>
      <w:r>
        <w:rPr>
          <w:rFonts w:ascii="Times New Roman" w:hAnsi="Times New Roman"/>
          <w:outline w:val="0"/>
          <w:color w:val="434343"/>
          <w:sz w:val="21"/>
          <w:szCs w:val="21"/>
          <w:vertAlign w:val="superscript"/>
          <w:rtl w:val="0"/>
          <w:lang w:val="en-US"/>
          <w14:textFill>
            <w14:solidFill>
              <w14:srgbClr w14:val="444444"/>
            </w14:solidFill>
          </w14:textFill>
        </w:rPr>
        <w:t>nd</w:t>
      </w:r>
      <w:r>
        <w:rPr>
          <w:rFonts w:ascii="Times New Roman" w:hAnsi="Times New Roman"/>
          <w:outline w:val="0"/>
          <w:color w:val="434343"/>
          <w:sz w:val="21"/>
          <w:szCs w:val="21"/>
          <w:rtl w:val="0"/>
          <w:lang w:val="en-US"/>
          <w14:textFill>
            <w14:solidFill>
              <w14:srgbClr w14:val="444444"/>
            </w14:solidFill>
          </w14:textFill>
        </w:rPr>
        <w:t>, 2026</w:t>
      </w:r>
    </w:p>
    <w:p>
      <w:pPr>
        <w:pStyle w:val="任意形式"/>
        <w:bidi w:val="0"/>
        <w:spacing w:line="288" w:lineRule="auto"/>
        <w:ind w:left="0" w:right="0" w:firstLine="0"/>
        <w:jc w:val="both"/>
        <w:rPr>
          <w:rFonts w:ascii="Times New Roman" w:cs="Times New Roman" w:hAnsi="Times New Roman" w:eastAsia="Times New Roman"/>
          <w:sz w:val="22"/>
          <w:szCs w:val="22"/>
          <w:rtl w:val="0"/>
        </w:rPr>
      </w:pPr>
    </w:p>
    <w:p>
      <w:pPr>
        <w:pStyle w:val="任意形式"/>
        <w:bidi w:val="0"/>
        <w:spacing w:line="312" w:lineRule="auto"/>
        <w:ind w:left="0" w:right="0" w:firstLine="0"/>
        <w:jc w:val="both"/>
        <w:rPr>
          <w:rFonts w:ascii="Times New Roman" w:cs="Times New Roman" w:hAnsi="Times New Roman" w:eastAsia="Times New Roman"/>
          <w:sz w:val="22"/>
          <w:szCs w:val="22"/>
          <w:rtl w:val="0"/>
        </w:rPr>
      </w:pPr>
      <w:r>
        <w:rPr>
          <w:rFonts w:ascii="Times New Roman" w:hAnsi="Times New Roman"/>
          <w:sz w:val="22"/>
          <w:szCs w:val="22"/>
          <w:rtl w:val="0"/>
          <w:lang w:val="en-US"/>
        </w:rPr>
        <w:t>To whom it may concern,</w:t>
      </w:r>
    </w:p>
    <w:p>
      <w:pPr>
        <w:pStyle w:val="任意形式"/>
        <w:bidi w:val="0"/>
        <w:spacing w:line="312" w:lineRule="auto"/>
        <w:ind w:left="0" w:right="0" w:firstLine="0"/>
        <w:jc w:val="both"/>
        <w:rPr>
          <w:rFonts w:ascii="Times New Roman" w:cs="Times New Roman" w:hAnsi="Times New Roman" w:eastAsia="Times New Roman"/>
          <w:sz w:val="22"/>
          <w:szCs w:val="22"/>
          <w:rtl w:val="0"/>
        </w:rPr>
      </w:pP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I am pleased to write this letter in strong support of Mr. Yan-Ting Chen's (</w:t>
      </w:r>
      <w:r>
        <w:rPr>
          <w:rFonts w:eastAsia="標楷體-繁" w:hint="eastAsia"/>
          <w:sz w:val="22"/>
          <w:szCs w:val="22"/>
          <w:rtl w:val="0"/>
          <w:lang w:val="zh-TW" w:eastAsia="zh-TW"/>
        </w:rPr>
        <w:t>陳彥廷</w:t>
      </w:r>
      <w:r>
        <w:rPr>
          <w:rFonts w:ascii="Times Roman" w:hAnsi="Times Roman"/>
          <w:sz w:val="22"/>
          <w:szCs w:val="22"/>
          <w:rtl w:val="0"/>
          <w:lang w:val="en-US"/>
        </w:rPr>
        <w:t xml:space="preserve">) application to </w:t>
      </w:r>
      <w:r>
        <w:rPr>
          <w:rFonts w:ascii="Times Roman" w:hAnsi="Times Roman"/>
          <w:b w:val="1"/>
          <w:bCs w:val="1"/>
          <w:sz w:val="22"/>
          <w:szCs w:val="22"/>
          <w:rtl w:val="0"/>
          <w:lang w:val="en-US"/>
        </w:rPr>
        <w:t>the NSTC Graduate Student International Conference Travel Grant.</w:t>
      </w:r>
      <w:r>
        <w:rPr>
          <w:rFonts w:ascii="Times Roman" w:hAnsi="Times Roman"/>
          <w:sz w:val="22"/>
          <w:szCs w:val="22"/>
          <w:rtl w:val="0"/>
          <w:lang w:val="en-US"/>
        </w:rPr>
        <w:t xml:space="preserve"> I am his M.S. advisor at the Department of Computer Science and Information Engineering, National Taiwan University, and have had the privilege of working closely with him since he joined our research group. Yan-Ting is the first author of a paper that has been accepted to </w:t>
      </w:r>
      <w:r>
        <w:rPr>
          <w:rFonts w:ascii="Times Roman" w:hAnsi="Times Roman"/>
          <w:b w:val="1"/>
          <w:bCs w:val="1"/>
          <w:outline w:val="0"/>
          <w:color w:val="941100"/>
          <w:sz w:val="22"/>
          <w:szCs w:val="22"/>
          <w:rtl w:val="0"/>
          <w14:textFill>
            <w14:solidFill>
              <w14:srgbClr w14:val="941100"/>
            </w14:solidFill>
          </w14:textFill>
        </w:rPr>
        <w:t>CVPR 2026</w:t>
      </w:r>
      <w:r>
        <w:rPr>
          <w:rFonts w:ascii="Times Roman" w:hAnsi="Times Roman"/>
          <w:sz w:val="22"/>
          <w:szCs w:val="22"/>
          <w:rtl w:val="0"/>
          <w:lang w:val="en-US"/>
        </w:rPr>
        <w:t xml:space="preserve"> (IEEE/CVF Conference on Computer Vision and Pattern Recognition), one of the most prestigious conferences in the field of computer vision. He wishes to attend </w:t>
      </w:r>
      <w:r>
        <w:rPr>
          <w:rFonts w:ascii="Times Roman" w:hAnsi="Times Roman"/>
          <w:b w:val="1"/>
          <w:bCs w:val="1"/>
          <w:outline w:val="0"/>
          <w:color w:val="941100"/>
          <w:sz w:val="22"/>
          <w:szCs w:val="22"/>
          <w:rtl w:val="0"/>
          <w14:textFill>
            <w14:solidFill>
              <w14:srgbClr w14:val="941100"/>
            </w14:solidFill>
          </w14:textFill>
        </w:rPr>
        <w:t>CVPR 2026</w:t>
      </w:r>
      <w:r>
        <w:rPr>
          <w:rFonts w:ascii="Times Roman" w:hAnsi="Times Roman"/>
          <w:sz w:val="22"/>
          <w:szCs w:val="22"/>
          <w:rtl w:val="0"/>
          <w:lang w:val="en-US"/>
        </w:rPr>
        <w:t xml:space="preserve"> in person to present this work and engage with the international research community. I have known him for over a year, during which time he has demonstrated exceptional research capabilities and unwavering dedication to advancing the field of computer vision and diffusion models.</w:t>
      </w: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 xml:space="preserve">Yan-Ting's academic journey began at National Tsing Hua University, where he excelled in the Department of Power Mechanical Engineering. His outstanding performance throughout his undergraduate years was recognized with </w:t>
      </w:r>
      <w:r>
        <w:rPr>
          <w:rFonts w:ascii="Times Roman" w:hAnsi="Times Roman"/>
          <w:b w:val="1"/>
          <w:bCs w:val="1"/>
          <w:outline w:val="0"/>
          <w:color w:val="941100"/>
          <w:sz w:val="22"/>
          <w:szCs w:val="22"/>
          <w:rtl w:val="0"/>
          <w:lang w:val="en-US"/>
          <w14:textFill>
            <w14:solidFill>
              <w14:srgbClr w14:val="941100"/>
            </w14:solidFill>
          </w14:textFill>
        </w:rPr>
        <w:t>the prestigious Dr. Mei Yi-Chi Memorial Prize (</w:t>
      </w:r>
      <w:r>
        <w:rPr>
          <w:rFonts w:eastAsia="標楷體-繁" w:hint="eastAsia"/>
          <w:outline w:val="0"/>
          <w:color w:val="941100"/>
          <w:sz w:val="22"/>
          <w:szCs w:val="22"/>
          <w:rtl w:val="0"/>
          <w:lang w:val="zh-TW" w:eastAsia="zh-TW"/>
          <w14:textFill>
            <w14:solidFill>
              <w14:srgbClr w14:val="941100"/>
            </w14:solidFill>
          </w14:textFill>
        </w:rPr>
        <w:t>梅貽琦獎章</w:t>
      </w:r>
      <w:r>
        <w:rPr>
          <w:rFonts w:ascii="Times Roman" w:hAnsi="Times Roman"/>
          <w:outline w:val="0"/>
          <w:color w:val="941100"/>
          <w:sz w:val="22"/>
          <w:szCs w:val="22"/>
          <w:rtl w:val="0"/>
          <w14:textFill>
            <w14:solidFill>
              <w14:srgbClr w14:val="941100"/>
            </w14:solidFill>
          </w14:textFill>
        </w:rPr>
        <w:t>)</w:t>
      </w:r>
      <w:r>
        <w:rPr>
          <w:rFonts w:ascii="Times Roman" w:hAnsi="Times Roman"/>
          <w:b w:val="1"/>
          <w:bCs w:val="1"/>
          <w:outline w:val="0"/>
          <w:color w:val="941100"/>
          <w:sz w:val="22"/>
          <w:szCs w:val="22"/>
          <w:rtl w:val="0"/>
          <w:lang w:val="en-US"/>
          <w14:textFill>
            <w14:solidFill>
              <w14:srgbClr w14:val="941100"/>
            </w14:solidFill>
          </w14:textFill>
        </w:rPr>
        <w:t>, the highest honor awarded to students at National Tsing Hua University</w:t>
      </w:r>
      <w:r>
        <w:rPr>
          <w:rFonts w:ascii="Times Roman" w:hAnsi="Times Roman"/>
          <w:sz w:val="22"/>
          <w:szCs w:val="22"/>
          <w:rtl w:val="0"/>
          <w:lang w:val="en-US"/>
        </w:rPr>
        <w:t>. This award is bestowed only upon students who demonstrate excellence not only in academics but also in extracurricular activities and contributions to the university community. Yan-Ting graduated with top honors from his department, which reflects his exceptional work ethic, intellectual capabilities, and dedication to academic excellence.</w:t>
      </w:r>
      <w:r>
        <w:rPr>
          <w:rFonts w:ascii="Times Roman" w:hAnsi="Times Roman"/>
          <w:sz w:val="22"/>
          <w:szCs w:val="22"/>
          <w:rtl w:val="0"/>
          <w:lang w:val="zh-TW" w:eastAsia="zh-TW"/>
        </w:rPr>
        <w:t xml:space="preserve"> </w:t>
      </w:r>
      <w:r>
        <w:rPr>
          <w:rFonts w:ascii="Times Roman" w:hAnsi="Times Roman"/>
          <w:sz w:val="22"/>
          <w:szCs w:val="22"/>
          <w:rtl w:val="0"/>
          <w:lang w:val="en-US"/>
        </w:rPr>
        <w:t>During his time at National Tsing Hua University, Yan-Ting was actively involved in the DIT Robotics team, where he participated in t</w:t>
      </w:r>
      <w:r>
        <w:rPr>
          <w:rFonts w:ascii="Times Roman" w:hAnsi="Times Roman"/>
          <w:b w:val="1"/>
          <w:bCs w:val="1"/>
          <w:sz w:val="22"/>
          <w:szCs w:val="22"/>
          <w:rtl w:val="0"/>
          <w:lang w:val="en-US"/>
        </w:rPr>
        <w:t>he Eurobot competition and achieved fifth place globally in 2023</w:t>
      </w:r>
      <w:r>
        <w:rPr>
          <w:rFonts w:ascii="Times Roman" w:hAnsi="Times Roman"/>
          <w:sz w:val="22"/>
          <w:szCs w:val="22"/>
          <w:rtl w:val="0"/>
          <w:lang w:val="en-US"/>
        </w:rPr>
        <w:t>. This experience provided him with valuable hands-on skills in robotics, control systems, and real-time algorithm implementation. His ability to bridge mechanical engineering principles with computational methods laid a strong foundation for his transition into computer science research. His interdisciplinary background has proven to be a significant asset in his current research, as he brings unique perspectives from both mechanical engineering and computer science to address complex problems in computer vision.</w:t>
      </w: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 xml:space="preserve">Since joining my research group at National Taiwan University, Yan-Ting has focused his research on </w:t>
      </w:r>
      <w:r>
        <w:rPr>
          <w:rFonts w:ascii="Times Roman" w:hAnsi="Times Roman"/>
          <w:b w:val="1"/>
          <w:bCs w:val="1"/>
          <w:sz w:val="22"/>
          <w:szCs w:val="22"/>
          <w:rtl w:val="0"/>
          <w:lang w:val="en-US"/>
        </w:rPr>
        <w:t>diffusion models and their applications to computer vision problems</w:t>
      </w:r>
      <w:r>
        <w:rPr>
          <w:rFonts w:ascii="Times Roman" w:hAnsi="Times Roman"/>
          <w:sz w:val="22"/>
          <w:szCs w:val="22"/>
          <w:rtl w:val="0"/>
          <w:lang w:val="en-US"/>
        </w:rPr>
        <w:t xml:space="preserve">. His work demonstrates not only technical proficiency but also creativity and the ability to identify important research challenges. During his first year as an M.S. student, he successfully published a paper titled </w:t>
      </w:r>
      <w:r>
        <w:rPr>
          <w:rFonts w:ascii="Times Roman" w:hAnsi="Times Roman" w:hint="default"/>
          <w:sz w:val="22"/>
          <w:szCs w:val="22"/>
          <w:rtl w:val="0"/>
          <w:lang w:val="zh-TW" w:eastAsia="zh-TW"/>
        </w:rPr>
        <w:t>“</w:t>
      </w:r>
      <w:r>
        <w:rPr>
          <w:rFonts w:ascii="Times Roman" w:hAnsi="Times Roman"/>
          <w:b w:val="1"/>
          <w:bCs w:val="1"/>
          <w:outline w:val="0"/>
          <w:color w:val="941100"/>
          <w:sz w:val="22"/>
          <w:szCs w:val="22"/>
          <w:rtl w:val="0"/>
          <w:lang w:val="en-US"/>
          <w14:textFill>
            <w14:solidFill>
              <w14:srgbClr w14:val="941100"/>
            </w14:solidFill>
          </w14:textFill>
        </w:rPr>
        <w:t>Parallel Sampling of Diffusion Models on SO(3)</w:t>
      </w:r>
      <w:r>
        <w:rPr>
          <w:rFonts w:ascii="Times Roman" w:hAnsi="Times Roman" w:hint="default"/>
          <w:sz w:val="22"/>
          <w:szCs w:val="22"/>
          <w:rtl w:val="0"/>
          <w:lang w:val="zh-TW" w:eastAsia="zh-TW"/>
        </w:rPr>
        <w:t>”</w:t>
      </w:r>
      <w:r>
        <w:rPr>
          <w:rFonts w:ascii="Times Roman" w:hAnsi="Times Roman"/>
          <w:sz w:val="22"/>
          <w:szCs w:val="22"/>
          <w:rtl w:val="0"/>
          <w:lang w:val="da-DK"/>
        </w:rPr>
        <w:t xml:space="preserve"> at </w:t>
      </w:r>
      <w:r>
        <w:rPr>
          <w:rFonts w:ascii="Times Roman" w:hAnsi="Times Roman"/>
          <w:b w:val="1"/>
          <w:bCs w:val="1"/>
          <w:sz w:val="22"/>
          <w:szCs w:val="22"/>
          <w:rtl w:val="0"/>
          <w:lang w:val="en-US"/>
        </w:rPr>
        <w:t>the 19th International Conference on Machine Vision Applications (MVA)</w:t>
      </w:r>
      <w:r>
        <w:rPr>
          <w:rFonts w:ascii="Times Roman" w:hAnsi="Times Roman"/>
          <w:sz w:val="22"/>
          <w:szCs w:val="22"/>
          <w:rtl w:val="0"/>
          <w:lang w:val="en-US"/>
        </w:rPr>
        <w:t>, held in Kyoto, Japan, in July 2025. This achievement is particularly notable as MVA is a well-recognized international conference in the machine vision community. Yan-Ting's paper addresses the computational inefficiency of sequential diffusion sampling processes on the SO(3) manifold by proposing a parallelizable algorithm based on Picard iteration. His approach achieves up to a 4.9</w:t>
      </w:r>
      <w:r>
        <w:rPr>
          <w:rFonts w:ascii="Times Roman" w:hAnsi="Times Roman" w:hint="default"/>
          <w:sz w:val="22"/>
          <w:szCs w:val="22"/>
          <w:rtl w:val="0"/>
        </w:rPr>
        <w:t xml:space="preserve">× </w:t>
      </w:r>
      <w:r>
        <w:rPr>
          <w:rFonts w:ascii="Times Roman" w:hAnsi="Times Roman"/>
          <w:sz w:val="22"/>
          <w:szCs w:val="22"/>
          <w:rtl w:val="0"/>
          <w:lang w:val="en-US"/>
        </w:rPr>
        <w:t>speedup without sacrificing accuracy, which represents a significant contribution to accelerating pose estimation tasks in robotics and computer vision.</w:t>
      </w:r>
      <w:r>
        <w:rPr>
          <w:rFonts w:ascii="Times Roman" w:hAnsi="Times Roman"/>
          <w:sz w:val="22"/>
          <w:szCs w:val="22"/>
          <w:rtl w:val="0"/>
          <w:lang w:val="zh-TW" w:eastAsia="zh-TW"/>
        </w:rPr>
        <w:t xml:space="preserve"> </w:t>
      </w:r>
      <w:r>
        <w:rPr>
          <w:rFonts w:ascii="Times Roman" w:hAnsi="Times Roman"/>
          <w:sz w:val="22"/>
          <w:szCs w:val="22"/>
          <w:rtl w:val="0"/>
          <w:lang w:val="en-US"/>
        </w:rPr>
        <w:t>What impressed me most about this work is Yan-Ting's ability to bridge theoretical concepts from numerical analysis (Picard iteration) with practical applications in diffusion-based pose estimation. He demonstrated a deep understanding of both the mathematical foundations and the engineering challenges involved in deploying these models efficiently. His presentation at MVA was clear, well-organized, and well-received by the international research community. This experience has matured his research capabilities and enhanced his confidence in communicating complex ideas to diverse audiences.</w:t>
      </w: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 xml:space="preserve">Building on this strong foundation, Yan-Ting's most significant research achievement to date is his first-authored paper accepted to </w:t>
      </w:r>
      <w:r>
        <w:rPr>
          <w:rFonts w:ascii="Times Roman" w:hAnsi="Times Roman"/>
          <w:b w:val="1"/>
          <w:bCs w:val="1"/>
          <w:outline w:val="0"/>
          <w:color w:val="941100"/>
          <w:sz w:val="22"/>
          <w:szCs w:val="22"/>
          <w:rtl w:val="0"/>
          <w14:textFill>
            <w14:solidFill>
              <w14:srgbClr w14:val="941100"/>
            </w14:solidFill>
          </w14:textFill>
        </w:rPr>
        <w:t>CVPR 2026</w:t>
      </w:r>
      <w:r>
        <w:rPr>
          <w:rFonts w:ascii="Times Roman" w:hAnsi="Times Roman"/>
          <w:sz w:val="22"/>
          <w:szCs w:val="22"/>
          <w:rtl w:val="0"/>
          <w:lang w:val="en-US"/>
        </w:rPr>
        <w:t xml:space="preserve">. His paper, titled</w:t>
      </w:r>
      <w:r>
        <w:rPr>
          <w:rFonts w:ascii="Times Roman" w:hAnsi="Times Roman" w:hint="default"/>
          <w:sz w:val="22"/>
          <w:szCs w:val="22"/>
          <w:rtl w:val="0"/>
          <w:lang w:val="zh-TW" w:eastAsia="zh-TW"/>
        </w:rPr>
        <w:t>“</w:t>
      </w:r>
      <w:r>
        <w:rPr>
          <w:rFonts w:ascii="Times Roman" w:hAnsi="Times Roman"/>
          <w:b w:val="1"/>
          <w:bCs w:val="1"/>
          <w:outline w:val="0"/>
          <w:color w:val="941100"/>
          <w:sz w:val="22"/>
          <w:szCs w:val="22"/>
          <w:rtl w:val="0"/>
          <w:lang w:val="en-US"/>
          <w14:textFill>
            <w14:solidFill>
              <w14:srgbClr w14:val="941100"/>
            </w14:solidFill>
          </w14:textFill>
        </w:rPr>
        <w:t>Landscape-Awareness for Geometric View Diffusion Model</w:t>
      </w:r>
      <w:r>
        <w:rPr>
          <w:rFonts w:ascii="Times Roman" w:hAnsi="Times Roman"/>
          <w:sz w:val="22"/>
          <w:szCs w:val="22"/>
          <w:rtl w:val="0"/>
        </w:rPr>
        <w:t>,</w:t>
      </w:r>
      <w:r>
        <w:rPr>
          <w:rFonts w:ascii="Times Roman" w:hAnsi="Times Roman" w:hint="default"/>
          <w:sz w:val="22"/>
          <w:szCs w:val="22"/>
          <w:rtl w:val="0"/>
          <w:lang w:val="zh-TW" w:eastAsia="zh-TW"/>
        </w:rPr>
        <w:t>”</w:t>
      </w:r>
      <w:r>
        <w:rPr>
          <w:rFonts w:ascii="Times Roman" w:hAnsi="Times Roman"/>
          <w:sz w:val="22"/>
          <w:szCs w:val="22"/>
          <w:rtl w:val="0"/>
          <w:lang w:val="en-US"/>
        </w:rPr>
        <w:t xml:space="preserve"> addresses a fundamental challenge in camera viewpoint estimation under sparse-view conditions. This work represents a significant advancement in the field, as it tackles the critical problem of non-convex optimization landscapes that plague current diffusion-based viewpoint estimation methods. Specifically, Yan-Ting identified that existing approaches leveraging Zero123 and similar diffusion models suffer from numerous local minima when optimized with standard MSE loss, which necessitates computationally expensive multi-initialization strategies to achieve reasonable results.</w:t>
      </w:r>
      <w:r>
        <w:rPr>
          <w:rFonts w:ascii="Times Roman" w:hAnsi="Times Roman"/>
          <w:sz w:val="22"/>
          <w:szCs w:val="22"/>
          <w:rtl w:val="0"/>
          <w:lang w:val="zh-TW" w:eastAsia="zh-TW"/>
        </w:rPr>
        <w:t xml:space="preserve"> </w:t>
      </w:r>
      <w:r>
        <w:rPr>
          <w:rFonts w:ascii="Times Roman" w:hAnsi="Times Roman"/>
          <w:sz w:val="22"/>
          <w:szCs w:val="22"/>
          <w:rtl w:val="0"/>
          <w:lang w:val="en-US"/>
        </w:rPr>
        <w:t>What makes Yan-Ting's contribution particularly impressive is his systematic analysis of these failure modes through comprehensive visualizations that reveal how object geometry influences the optimization landscape. Rather than accepting these limitations, he developed a novel score-based method that fundamentally reshapes the loss landscape to guide optimization updates toward the ground-truth viewpoint. His two-stage approach combines this landscape-aware optimization with a subsequent refinement stage using a viewpoint-conditioned diffusion model. The experimental results demonstrate substantial improvements in convergence behavior, dramatically reduced reliance on brute-force sampling strategies, and competitive accuracy with significantly higher sample efficiency. I am proud that this</w:t>
      </w:r>
      <w:r>
        <w:rPr>
          <w:rFonts w:ascii="Times Roman" w:hAnsi="Times Roman"/>
          <w:sz w:val="22"/>
          <w:szCs w:val="22"/>
          <w:rtl w:val="0"/>
        </w:rPr>
        <w:t xml:space="preserve"> </w:t>
      </w:r>
      <w:r>
        <w:rPr>
          <w:rFonts w:ascii="Times Roman" w:hAnsi="Times Roman"/>
          <w:sz w:val="22"/>
          <w:szCs w:val="22"/>
          <w:rtl w:val="0"/>
          <w:lang w:val="en-US"/>
        </w:rPr>
        <w:t xml:space="preserve">research work has been accepted to </w:t>
      </w:r>
      <w:r>
        <w:rPr>
          <w:rFonts w:ascii="Times Roman" w:hAnsi="Times Roman"/>
          <w:b w:val="1"/>
          <w:bCs w:val="1"/>
          <w:outline w:val="0"/>
          <w:color w:val="941100"/>
          <w:sz w:val="22"/>
          <w:szCs w:val="22"/>
          <w:rtl w:val="0"/>
          <w14:textFill>
            <w14:solidFill>
              <w14:srgbClr w14:val="941100"/>
            </w14:solidFill>
          </w14:textFill>
        </w:rPr>
        <w:t>CVPR 2026</w:t>
      </w:r>
      <w:r>
        <w:rPr>
          <w:rFonts w:ascii="Times Roman" w:hAnsi="Times Roman"/>
          <w:sz w:val="22"/>
          <w:szCs w:val="22"/>
          <w:rtl w:val="0"/>
          <w:lang w:val="en-US"/>
        </w:rPr>
        <w:t>, which will be held in Nashville, Tennessee, USA, in June 2026. Yan-Ting plans to attend the conference in person to present this paper and engage with the broader research community.</w:t>
      </w: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 xml:space="preserve">Attending </w:t>
      </w:r>
      <w:r>
        <w:rPr>
          <w:rFonts w:ascii="Times Roman" w:hAnsi="Times Roman"/>
          <w:b w:val="1"/>
          <w:bCs w:val="1"/>
          <w:outline w:val="0"/>
          <w:color w:val="941100"/>
          <w:sz w:val="22"/>
          <w:szCs w:val="22"/>
          <w:rtl w:val="0"/>
          <w14:textFill>
            <w14:solidFill>
              <w14:srgbClr w14:val="941100"/>
            </w14:solidFill>
          </w14:textFill>
        </w:rPr>
        <w:t>CVPR 2026</w:t>
      </w:r>
      <w:r>
        <w:rPr>
          <w:rFonts w:ascii="Times Roman" w:hAnsi="Times Roman"/>
          <w:sz w:val="22"/>
          <w:szCs w:val="22"/>
          <w:rtl w:val="0"/>
          <w:lang w:val="en-US"/>
        </w:rPr>
        <w:t xml:space="preserve"> in person will be invaluable for Yan-Ting's academic development. As a first-author presenter, he will have the opportunity to receive direct feedback from leading researchers in computer vision, establish collaborations with international peers, and gain exposure to the latest advances across the field. CVPR consistently attracts thousands of top researchers from academia and industry worldwide, and the in-person interactions at poster sessions, workshops, and networking events are irreplaceable for a young researcher building his career. I strongly believe that this experience will significantly enhance his research capabilities and broaden his academic horizons.</w:t>
      </w: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Yan-Ting possesses several qualities that distinguish him as an exceptional researcher and student. First, he is highly self-motivated and takes initiative in identifying research problems and proposing solutions. He does not wait for explicit guidance but actively seeks out relevant literature, experiments with new ideas, and iteratively refines his approaches based on feedback. Second, he has strong technical skills in both programming and mathematical modeling. He is proficient in PyTorch, JAX, and various numerical optimization techniques, which enable him to implement and test complex algorithms efficiently. Third, Yan-Ting is an excellent communicator. He regularly presents his progress in our group meetings, and his presentations are always clear, well-structured, and thoughtful. His ability to explain technical concepts to both experts and non-experts is a valuable skill that will serve him well in his future career.</w:t>
      </w:r>
      <w:r>
        <w:rPr>
          <w:rFonts w:ascii="Times Roman" w:hAnsi="Times Roman"/>
          <w:sz w:val="22"/>
          <w:szCs w:val="22"/>
          <w:rtl w:val="0"/>
          <w:lang w:val="zh-TW" w:eastAsia="zh-TW"/>
        </w:rPr>
        <w:t xml:space="preserve"> </w:t>
      </w:r>
      <w:r>
        <w:rPr>
          <w:rFonts w:ascii="Times Roman" w:hAnsi="Times Roman"/>
          <w:sz w:val="22"/>
          <w:szCs w:val="22"/>
          <w:rtl w:val="0"/>
          <w:lang w:val="en-US"/>
        </w:rPr>
        <w:t>Beyond his technical abilities, Yan-Ting is a collaborative team player. He actively engages in discussions with other group members, provides constructive feedback on their work, and is always willing to help others troubleshoot technical issues. His positive attitude and willingness to contribute to the group's collective success make him a valuable member of our research team. He is also humble and open to feedback, which allows him to learn quickly and continuously improve his work.</w:t>
      </w:r>
      <w:r>
        <w:rPr>
          <w:rFonts w:ascii="Times Roman" w:hAnsi="Times Roman"/>
          <w:sz w:val="22"/>
          <w:szCs w:val="22"/>
          <w:rtl w:val="0"/>
          <w:lang w:val="zh-TW" w:eastAsia="zh-TW"/>
        </w:rPr>
        <w:t xml:space="preserve"> </w:t>
      </w:r>
      <w:r>
        <w:rPr>
          <w:rFonts w:ascii="Times Roman" w:hAnsi="Times Roman"/>
          <w:sz w:val="22"/>
          <w:szCs w:val="22"/>
          <w:rtl w:val="0"/>
          <w:lang w:val="en-US"/>
        </w:rPr>
        <w:t>Yan-Ting's achievements are even more impressive considering his transition from mechanical engineering to computer science. This transition required him to quickly acquire new knowledge in machine learning, computer vision, and deep learning while simultaneously conducting original research. His ability to adapt and thrive in a new field demonstrates his intellectual versatility and determination. I have no doubt that he will continue to excel in any academic or professional environment he enters.</w:t>
      </w: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 xml:space="preserve">In summary, Yan-Ting Chen is an outstanding M.S. student with exceptional research potential. His academic record, research accomplishments, and personal qualities make him an ideal candidate for the NSTC Graduate Student International Conference Travel Grant. He has consistently demonstrated the ability to conduct high-quality research, communicate effectively, and work collaboratively with others. His work on landscape-aware optimization for diffusion models and his track record of publication in international conferences demonstrate his capability to make significant contributions to computer vision and machine learning. Attending </w:t>
      </w:r>
      <w:r>
        <w:rPr>
          <w:rFonts w:ascii="Times Roman" w:hAnsi="Times Roman"/>
          <w:b w:val="1"/>
          <w:bCs w:val="1"/>
          <w:outline w:val="0"/>
          <w:color w:val="941100"/>
          <w:sz w:val="22"/>
          <w:szCs w:val="22"/>
          <w:rtl w:val="0"/>
          <w14:textFill>
            <w14:solidFill>
              <w14:srgbClr w14:val="941100"/>
            </w14:solidFill>
          </w14:textFill>
        </w:rPr>
        <w:t>CVPR 2026</w:t>
      </w:r>
      <w:r>
        <w:rPr>
          <w:rFonts w:ascii="Times Roman" w:hAnsi="Times Roman"/>
          <w:sz w:val="22"/>
          <w:szCs w:val="22"/>
          <w:rtl w:val="0"/>
          <w:lang w:val="en-US"/>
        </w:rPr>
        <w:t xml:space="preserve"> to present his work will not only benefit his personal academic growth but also enhance the international visibility of Taiwan's research community in computer vision. I am confident that he will make the most of this opportunity and further advance the state of the art in his field.</w:t>
      </w: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 xml:space="preserve">As </w:t>
      </w:r>
      <w:r>
        <w:rPr>
          <w:rFonts w:ascii="Times Roman" w:hAnsi="Times Roman"/>
          <w:b w:val="1"/>
          <w:bCs w:val="1"/>
          <w:sz w:val="22"/>
          <w:szCs w:val="22"/>
          <w:rtl w:val="0"/>
          <w:lang w:val="en-US"/>
        </w:rPr>
        <w:t>the NSTC Graduate Student International Conference Travel Grant</w:t>
      </w:r>
      <w:r>
        <w:rPr>
          <w:rFonts w:ascii="Times Roman" w:hAnsi="Times Roman"/>
          <w:sz w:val="22"/>
          <w:szCs w:val="22"/>
          <w:rtl w:val="0"/>
          <w:lang w:val="en-US"/>
        </w:rPr>
        <w:t xml:space="preserve"> aims to support outstanding graduate students who will represent Taiwan at top international conferences, Yan-Ting is an excellent choice. He plans to pursue a Ph.D. degree in the future and has consistently demonstrated an ability to rise to any challenge that he must face. I am confident that he will benefit from this travel grant and continue to engage in cutting-edge research in his future academic career.</w:t>
      </w:r>
    </w:p>
    <w:p>
      <w:pPr>
        <w:pStyle w:val="任意形式"/>
        <w:suppressAutoHyphens w:val="1"/>
        <w:spacing w:line="312" w:lineRule="auto"/>
        <w:ind w:firstLine="0"/>
        <w:jc w:val="both"/>
        <w:rPr>
          <w:rFonts w:ascii="Times Roman" w:cs="Times Roman" w:hAnsi="Times Roman" w:eastAsia="Times Roman"/>
          <w:sz w:val="22"/>
          <w:szCs w:val="22"/>
        </w:rPr>
      </w:pPr>
    </w:p>
    <w:p>
      <w:pPr>
        <w:pStyle w:val="任意形式"/>
        <w:suppressAutoHyphens w:val="1"/>
        <w:spacing w:line="312" w:lineRule="auto"/>
        <w:ind w:firstLine="0"/>
        <w:jc w:val="both"/>
        <w:rPr>
          <w:rFonts w:ascii="Times Roman" w:cs="Times Roman" w:hAnsi="Times Roman" w:eastAsia="Times Roman"/>
          <w:sz w:val="22"/>
          <w:szCs w:val="22"/>
        </w:rPr>
      </w:pPr>
      <w:r>
        <w:rPr>
          <w:rFonts w:ascii="Times Roman" w:hAnsi="Times Roman"/>
          <w:sz w:val="22"/>
          <w:szCs w:val="22"/>
          <w:rtl w:val="0"/>
          <w:lang w:val="en-US"/>
        </w:rPr>
        <w:t xml:space="preserve">To conclude, I would like to state unequivocally that I fully support Yan-Ting and restate my strong recommendation for him. Based on my personal observation of his research ethic and his engaging personality, I recommend him for </w:t>
      </w:r>
      <w:r>
        <w:rPr>
          <w:rFonts w:ascii="Times Roman" w:hAnsi="Times Roman"/>
          <w:b w:val="1"/>
          <w:bCs w:val="1"/>
          <w:sz w:val="22"/>
          <w:szCs w:val="22"/>
          <w:rtl w:val="0"/>
          <w:lang w:val="en-US"/>
        </w:rPr>
        <w:t xml:space="preserve">the NSTC Graduate Student International Conference Travel Grant </w:t>
      </w:r>
      <w:r>
        <w:rPr>
          <w:rFonts w:ascii="Times Roman" w:hAnsi="Times Roman"/>
          <w:sz w:val="22"/>
          <w:szCs w:val="22"/>
          <w:rtl w:val="0"/>
          <w:lang w:val="en-US"/>
        </w:rPr>
        <w:t>without any reservation. If you have any further questions regarding Yan-Ting's capacity and ability, please do not hesitate to contact me using the information on this letterhead.</w:t>
      </w:r>
    </w:p>
    <w:p>
      <w:pPr>
        <w:pStyle w:val="內文"/>
        <w:spacing w:line="288" w:lineRule="auto"/>
        <w:ind w:firstLine="0"/>
        <w:jc w:val="both"/>
        <w:rPr>
          <w:rFonts w:ascii="Times New Roman" w:cs="Times New Roman" w:hAnsi="Times New Roman" w:eastAsia="Times New Roman"/>
          <w:sz w:val="22"/>
          <w:szCs w:val="22"/>
        </w:rPr>
      </w:pPr>
    </w:p>
    <w:p>
      <w:pPr>
        <w:pStyle w:val="內文"/>
        <w:spacing w:line="288" w:lineRule="auto"/>
        <w:ind w:firstLine="0"/>
        <w:jc w:val="both"/>
        <w:rPr>
          <w:rFonts w:ascii="Times New Roman" w:cs="Times New Roman" w:hAnsi="Times New Roman" w:eastAsia="Times New Roman"/>
          <w:sz w:val="22"/>
          <w:szCs w:val="22"/>
        </w:rPr>
      </w:pPr>
    </w:p>
    <w:p>
      <w:pPr>
        <w:pStyle w:val="內文"/>
        <w:spacing w:line="288" w:lineRule="auto"/>
        <w:ind w:firstLine="0"/>
        <w:jc w:val="both"/>
        <w:rPr>
          <w:rFonts w:ascii="Times New Roman" w:cs="Times New Roman" w:hAnsi="Times New Roman" w:eastAsia="Times New Roman"/>
          <w:sz w:val="22"/>
          <w:szCs w:val="22"/>
        </w:rPr>
      </w:pPr>
    </w:p>
    <w:p>
      <w:pPr>
        <w:pStyle w:val="任意形式"/>
        <w:bidi w:val="0"/>
        <w:spacing w:line="288" w:lineRule="auto"/>
        <w:ind w:left="0" w:right="0" w:firstLine="0"/>
        <w:jc w:val="both"/>
        <w:rPr>
          <w:rFonts w:ascii="Times New Roman" w:cs="Times New Roman" w:hAnsi="Times New Roman" w:eastAsia="Times New Roman"/>
          <w:sz w:val="22"/>
          <w:szCs w:val="22"/>
          <w:rtl w:val="0"/>
        </w:rPr>
      </w:pPr>
    </w:p>
    <w:p>
      <w:pPr>
        <w:pStyle w:val="內文"/>
        <w:spacing w:line="288" w:lineRule="auto"/>
        <w:ind w:firstLine="0"/>
        <w:jc w:val="both"/>
        <w:rPr>
          <w:rFonts w:ascii="Times New Roman" w:cs="Times New Roman" w:hAnsi="Times New Roman" w:eastAsia="Times New Roman"/>
          <w:sz w:val="22"/>
          <w:szCs w:val="22"/>
        </w:rPr>
      </w:pPr>
      <w:r>
        <w:rPr>
          <w:rFonts w:ascii="Times New Roman" w:hAnsi="Times New Roman"/>
          <w:sz w:val="22"/>
          <w:szCs w:val="22"/>
          <w:rtl w:val="0"/>
          <w:lang w:val="en-US"/>
        </w:rPr>
        <w:t>Sincerely,</w:t>
      </w:r>
    </w:p>
    <w:p>
      <w:pPr>
        <w:pStyle w:val="內文"/>
        <w:spacing w:line="288" w:lineRule="auto"/>
        <w:ind w:firstLine="0"/>
        <w:jc w:val="both"/>
        <w:rPr>
          <w:rFonts w:ascii="Times New Roman" w:cs="Times New Roman" w:hAnsi="Times New Roman" w:eastAsia="Times New Roman"/>
          <w:sz w:val="22"/>
          <w:szCs w:val="22"/>
        </w:rPr>
      </w:pPr>
    </w:p>
    <w:p>
      <w:pPr>
        <w:pStyle w:val="內文"/>
        <w:spacing w:line="288" w:lineRule="auto"/>
        <w:ind w:firstLine="0"/>
        <w:jc w:val="both"/>
        <w:rPr>
          <w:rFonts w:ascii="Times New Roman" w:cs="Times New Roman" w:hAnsi="Times New Roman" w:eastAsia="Times New Roman"/>
          <w:sz w:val="22"/>
          <w:szCs w:val="22"/>
        </w:rPr>
      </w:pPr>
    </w:p>
    <w:p>
      <w:pPr>
        <w:pStyle w:val="內文"/>
        <w:spacing w:line="288" w:lineRule="auto"/>
        <w:ind w:firstLine="0"/>
        <w:jc w:val="both"/>
        <w:rPr>
          <w:rFonts w:ascii="Times New Roman" w:cs="Times New Roman" w:hAnsi="Times New Roman" w:eastAsia="Times New Roman"/>
          <w:sz w:val="22"/>
          <w:szCs w:val="22"/>
        </w:rPr>
      </w:pPr>
    </w:p>
    <w:p>
      <w:pPr>
        <w:pStyle w:val="內文"/>
        <w:spacing w:line="288" w:lineRule="auto"/>
        <w:ind w:firstLine="0"/>
        <w:jc w:val="both"/>
        <w:rPr>
          <w:rFonts w:ascii="Times New Roman" w:cs="Times New Roman" w:hAnsi="Times New Roman" w:eastAsia="Times New Roman"/>
          <w:sz w:val="22"/>
          <w:szCs w:val="22"/>
        </w:rPr>
      </w:pPr>
    </w:p>
    <w:p>
      <w:pPr>
        <w:pStyle w:val="內文"/>
        <w:spacing w:line="288" w:lineRule="auto"/>
        <w:ind w:firstLine="0"/>
        <w:jc w:val="both"/>
        <w:rPr>
          <w:rFonts w:ascii="Times New Roman" w:cs="Times New Roman" w:hAnsi="Times New Roman" w:eastAsia="Times New Roman"/>
          <w:sz w:val="22"/>
          <w:szCs w:val="22"/>
        </w:rPr>
      </w:pPr>
    </w:p>
    <w:p>
      <w:pPr>
        <w:pStyle w:val="內文"/>
        <w:spacing w:line="288" w:lineRule="auto"/>
        <w:ind w:firstLine="0"/>
        <w:jc w:val="both"/>
        <w:rPr>
          <w:rFonts w:ascii="Times New Roman" w:cs="Times New Roman" w:hAnsi="Times New Roman" w:eastAsia="Times New Roman"/>
          <w:outline w:val="0"/>
          <w:color w:val="434343"/>
          <w:sz w:val="22"/>
          <w:szCs w:val="22"/>
          <w14:textFill>
            <w14:solidFill>
              <w14:srgbClr w14:val="444444"/>
            </w14:solidFill>
          </w14:textFill>
        </w:rPr>
      </w:pPr>
      <w:r>
        <w:rPr>
          <w:rFonts w:ascii="Times New Roman" w:hAnsi="Times New Roman"/>
          <w:outline w:val="0"/>
          <w:color w:val="434343"/>
          <w:sz w:val="22"/>
          <w:szCs w:val="22"/>
          <w:rtl w:val="0"/>
          <w:lang w:val="en-US"/>
          <w14:textFill>
            <w14:solidFill>
              <w14:srgbClr w14:val="444444"/>
            </w14:solidFill>
          </w14:textFill>
        </w:rPr>
        <w:t>Chun-Yi Lee</w:t>
      </w:r>
    </w:p>
    <w:p>
      <w:pPr>
        <w:pStyle w:val="內文"/>
        <w:spacing w:line="312" w:lineRule="auto"/>
        <w:ind w:firstLine="0"/>
        <w:jc w:val="both"/>
      </w:pPr>
      <w:r>
        <w:rPr>
          <w:rFonts w:ascii="Times New Roman" w:hAnsi="Times New Roman"/>
          <w:outline w:val="0"/>
          <w:color w:val="434343"/>
          <w:sz w:val="21"/>
          <w:szCs w:val="21"/>
          <w:rtl w:val="0"/>
          <w:lang w:val="en-US"/>
          <w14:textFill>
            <w14:solidFill>
              <w14:srgbClr w14:val="444444"/>
            </w14:solidFill>
          </w14:textFill>
        </w:rPr>
        <w:t>Professor of Computer Science and Information Engineering, National Taiwan University</w:t>
      </w:r>
    </w:p>
    <w:sectPr>
      <w:headerReference w:type="default" r:id="rId5"/>
      <w:footerReference w:type="default" r:id="rId6"/>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Baskerville">
    <w:charset w:val="00"/>
    <w:family w:val="roman"/>
    <w:pitch w:val="default"/>
  </w:font>
  <w:font w:name="Times Roman">
    <w:charset w:val="00"/>
    <w:family w:val="roman"/>
    <w:pitch w:val="default"/>
  </w:font>
  <w:font w:name="標楷體-繁">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tabs>
        <w:tab w:val="center" w:pos="4510"/>
      </w:tabs>
      <w:jc w:val="left"/>
    </w:pPr>
    <w:r>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頁首與頁尾">
    <w:name w:val="頁首與頁尾"/>
    <w:next w:val="頁首與頁尾"/>
    <w:pPr>
      <w:keepNext w:val="1"/>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Baskerville" w:cs="Arial Unicode MS" w:hAnsi="Baskerville" w:eastAsia="Arial Unicode MS"/>
      <w:b w:val="0"/>
      <w:bCs w:val="0"/>
      <w:i w:val="0"/>
      <w:iCs w:val="0"/>
      <w:caps w:val="1"/>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標題">
    <w:name w:val="標題"/>
    <w:next w:val="內文 2"/>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Baskerville" w:cs="Arial Unicode MS" w:hAnsi="Baskervill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內文 2">
    <w:name w:val="內文 2"/>
    <w:next w:val="內文 2"/>
    <w:pPr>
      <w:keepNext w:val="0"/>
      <w:keepLines w:val="0"/>
      <w:pageBreakBefore w:val="0"/>
      <w:widowControl w:val="1"/>
      <w:shd w:val="clear" w:color="auto" w:fill="auto"/>
      <w:suppressAutoHyphens w:val="0"/>
      <w:bidi w:val="0"/>
      <w:spacing w:before="0" w:after="80" w:line="288" w:lineRule="auto"/>
      <w:ind w:left="0" w:right="0" w:firstLine="0"/>
      <w:jc w:val="left"/>
      <w:outlineLvl w:val="9"/>
    </w:pPr>
    <w:rPr>
      <w:rFonts w:ascii="Baskerville" w:cs="Arial Unicode MS" w:hAnsi="Baskerville" w:eastAsia="Arial Unicode MS"/>
      <w:b w:val="0"/>
      <w:bCs w:val="0"/>
      <w:i w:val="0"/>
      <w:iCs w:val="0"/>
      <w:caps w:val="0"/>
      <w:smallCaps w:val="0"/>
      <w:strike w:val="0"/>
      <w:dstrike w:val="0"/>
      <w:outline w:val="0"/>
      <w:color w:val="434343"/>
      <w:spacing w:val="0"/>
      <w:kern w:val="0"/>
      <w:position w:val="0"/>
      <w:sz w:val="24"/>
      <w:szCs w:val="24"/>
      <w:u w:val="none"/>
      <w:shd w:val="nil" w:color="auto" w:fill="auto"/>
      <w:vertAlign w:val="baseline"/>
      <w14:textOutline>
        <w14:noFill/>
      </w14:textOutline>
      <w14:textFill>
        <w14:solidFill>
          <w14:srgbClr w14:val="444444"/>
        </w14:solidFill>
      </w14:textFill>
    </w:rPr>
  </w:style>
  <w:style w:type="paragraph" w:styleId="任意形式">
    <w:name w:val="任意形式"/>
    <w:next w:val="任意形式"/>
    <w:pPr>
      <w:keepNext w:val="0"/>
      <w:keepLines w:val="0"/>
      <w:pageBreakBefore w:val="0"/>
      <w:widowControl w:val="1"/>
      <w:shd w:val="clear" w:color="auto" w:fill="auto"/>
      <w:suppressAutoHyphens w:val="0"/>
      <w:bidi w:val="0"/>
      <w:spacing w:before="0" w:after="0" w:line="360" w:lineRule="auto"/>
      <w:ind w:left="0" w:right="0" w:firstLine="540"/>
      <w:jc w:val="left"/>
      <w:outlineLvl w:val="9"/>
    </w:pPr>
    <w:rPr>
      <w:rFonts w:ascii="Baskerville" w:cs="Baskerville" w:hAnsi="Baskerville" w:eastAsia="Baskervill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內文">
    <w:name w:val="內文"/>
    <w:next w:val="內文"/>
    <w:pPr>
      <w:keepNext w:val="0"/>
      <w:keepLines w:val="0"/>
      <w:pageBreakBefore w:val="0"/>
      <w:widowControl w:val="1"/>
      <w:shd w:val="clear" w:color="auto" w:fill="auto"/>
      <w:suppressAutoHyphens w:val="0"/>
      <w:bidi w:val="0"/>
      <w:spacing w:before="0" w:after="0" w:line="360" w:lineRule="auto"/>
      <w:ind w:left="0" w:right="0" w:firstLine="540"/>
      <w:jc w:val="left"/>
      <w:outlineLvl w:val="9"/>
    </w:pPr>
    <w:rPr>
      <w:rFonts w:ascii="Baskerville" w:cs="Baskerville" w:hAnsi="Baskerville" w:eastAsia="Baskervill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4_Essay">
  <a:themeElements>
    <a:clrScheme name="04_Essay">
      <a:dk1>
        <a:srgbClr val="000000"/>
      </a:dk1>
      <a:lt1>
        <a:srgbClr val="FFFFFF"/>
      </a:lt1>
      <a:dk2>
        <a:srgbClr val="444444"/>
      </a:dk2>
      <a:lt2>
        <a:srgbClr val="AAAAAA"/>
      </a:lt2>
      <a:accent1>
        <a:srgbClr val="A6BACF"/>
      </a:accent1>
      <a:accent2>
        <a:srgbClr val="98A68D"/>
      </a:accent2>
      <a:accent3>
        <a:srgbClr val="E2C07E"/>
      </a:accent3>
      <a:accent4>
        <a:srgbClr val="EA8B60"/>
      </a:accent4>
      <a:accent5>
        <a:srgbClr val="B93E40"/>
      </a:accent5>
      <a:accent6>
        <a:srgbClr val="807898"/>
      </a:accent6>
      <a:hlink>
        <a:srgbClr val="0000FF"/>
      </a:hlink>
      <a:folHlink>
        <a:srgbClr val="FF00FF"/>
      </a:folHlink>
    </a:clrScheme>
    <a:fontScheme name="04_Essay">
      <a:majorFont>
        <a:latin typeface="Baskerville"/>
        <a:ea typeface="Baskerville"/>
        <a:cs typeface="Baskerville"/>
      </a:majorFont>
      <a:minorFont>
        <a:latin typeface="Baskerville SemiBold"/>
        <a:ea typeface="Baskerville SemiBold"/>
        <a:cs typeface="Baskerville SemiBold"/>
      </a:minorFont>
    </a:fontScheme>
    <a:fmtScheme name="04_Essa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2">
            <a:hueOff val="304431"/>
            <a:satOff val="14136"/>
            <a:lumOff val="-27777"/>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FFFFFF"/>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AAAAAA"/>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400"/>
          </a:spcBef>
          <a:spcAft>
            <a:spcPts val="0"/>
          </a:spcAft>
          <a:buClrTx/>
          <a:buSzTx/>
          <a:buFontTx/>
          <a:buNone/>
          <a:tabLst/>
          <a:defRPr b="0" baseline="0" cap="none" i="0" spc="0" strike="noStrike" sz="1200" u="none" kumimoji="0" normalizeH="0">
            <a:ln>
              <a:noFill/>
            </a:ln>
            <a:solidFill>
              <a:srgbClr val="444444"/>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