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4C" w:rsidRPr="006D70EA" w:rsidRDefault="00CC3B4C">
      <w:pPr>
        <w:rPr>
          <w:rFonts w:ascii="Calibri" w:eastAsia="Calibri" w:hAnsi="Calibri" w:cs="Calibri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先说题型，有简答，计算和设计三类。</w:t>
      </w:r>
    </w:p>
    <w:p w:rsidR="005B00EF" w:rsidRDefault="006F22C9">
      <w:pPr>
        <w:rPr>
          <w:rFonts w:ascii="Calibri" w:eastAsia="Calibri" w:hAnsi="Calibri" w:cs="Calibri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第一章第二章不做要求，不是重点。因为这都是概论性质的，考试也不考。</w:t>
      </w:r>
    </w:p>
    <w:p w:rsidR="005B00EF" w:rsidRDefault="006F22C9">
      <w:pPr>
        <w:rPr>
          <w:rFonts w:ascii="Calibri" w:eastAsia="Calibri" w:hAnsi="Calibri" w:cs="Calibri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第三章主要要弄明白几个问题（1）什么是系统总线（2）分类（3）集中式优先权仲裁方法（4）总线通讯控制。其中，不考的有：第三章的3.3.2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3.3.3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3.4.3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和P61从异步通讯开始</w:t>
      </w:r>
      <w:proofErr w:type="gramStart"/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直到章末的</w:t>
      </w:r>
      <w:proofErr w:type="gramEnd"/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内容都不考。</w:t>
      </w:r>
    </w:p>
    <w:p w:rsidR="005B00EF" w:rsidRDefault="006F22C9">
      <w:pPr>
        <w:rPr>
          <w:rFonts w:ascii="DengXian" w:eastAsia="DengXian" w:hAnsi="DengXian" w:cs="DengXian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第四章存储器设计和Cache主存地址映射是重点，不考的有：4.2.2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</w:t>
      </w:r>
    </w:p>
    <w:p w:rsidR="005B00EF" w:rsidRDefault="006F22C9">
      <w:pPr>
        <w:rPr>
          <w:rFonts w:ascii="DengXian" w:eastAsia="DengXian" w:hAnsi="DengXian" w:cs="DengXian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P247原码两位乘不考，P249补码一位乘要看，P255硬件不看，P256控制流程不看，补码两位乘不看，P264-P269不考，P274-P289不考。/**不看==不考；*/</w:t>
      </w:r>
    </w:p>
    <w:p w:rsidR="00677B25" w:rsidRDefault="00677B25" w:rsidP="00677B25">
      <w:pPr>
        <w:rPr>
          <w:rFonts w:ascii="Calibri" w:eastAsia="Calibri" w:hAnsi="Calibri" w:cs="Calibri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4.2.4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4.2.6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，4.3.3。具体来说，P76-P86不考，P86-P88要看，P88-P91不考，P91后重点看，例题要看懂，P100-P109不用看，P109-P122仔细看（最难），P123-P150不看。</w:t>
      </w:r>
    </w:p>
    <w:p w:rsidR="00677B25" w:rsidRDefault="00677B25" w:rsidP="00677B25">
      <w:pPr>
        <w:rPr>
          <w:rFonts w:ascii="Calibri" w:eastAsia="Calibri" w:hAnsi="Calibri" w:cs="Calibri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第五</w:t>
      </w:r>
      <w:proofErr w:type="gramStart"/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章重点</w:t>
      </w:r>
      <w:proofErr w:type="gramEnd"/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是（1）什么服务（2）中断（3）DMA。其中不考的有5.1.1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 5.2 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5.5.3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5.6.4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。重点的有5.1.3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，5.1.4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，5.5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，5.6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。</w:t>
      </w:r>
    </w:p>
    <w:p w:rsidR="00677B25" w:rsidRPr="00677B25" w:rsidRDefault="00677B25">
      <w:pPr>
        <w:rPr>
          <w:rFonts w:ascii="Calibri" w:hAnsi="Calibri" w:cs="Calibri" w:hint="eastAsia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第六章，6.2.5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和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 6.4.2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不考，6.3.3是重点。具体来说，P226移码不看，P241的3，4不看，P246硬件不看，</w:t>
      </w:r>
      <w:bookmarkStart w:id="0" w:name="_GoBack"/>
      <w:bookmarkEnd w:id="0"/>
    </w:p>
    <w:p w:rsidR="005B00EF" w:rsidRDefault="006F22C9">
      <w:pPr>
        <w:rPr>
          <w:rFonts w:ascii="Calibri" w:eastAsia="Calibri" w:hAnsi="Calibri" w:cs="Calibri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第七章，卡诺图，求最小项最大项（均见</w:t>
      </w:r>
      <w:proofErr w:type="spellStart"/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ppt</w:t>
      </w:r>
      <w:proofErr w:type="spellEnd"/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补充部分），</w:t>
      </w:r>
      <w:r w:rsidRPr="006F22C9">
        <w:rPr>
          <w:rFonts w:ascii="DengXian" w:eastAsia="DengXian" w:hAnsi="DengXian" w:cs="DengXian"/>
          <w:color w:val="FF0000"/>
          <w:sz w:val="24"/>
          <w:szCs w:val="24"/>
          <w:lang w:eastAsia="zh-CN"/>
        </w:rPr>
        <w:t>乘法（只考）一位乘，原码除法</w:t>
      </w:r>
      <w:r w:rsidRPr="006F22C9">
        <w:rPr>
          <w:rFonts w:ascii="Calibri" w:eastAsia="Calibri" w:hAnsi="Calibri" w:cs="Calibri"/>
          <w:color w:val="FF0000"/>
          <w:sz w:val="24"/>
          <w:szCs w:val="24"/>
          <w:lang w:eastAsia="zh-CN"/>
        </w:rPr>
        <w:t> </w:t>
      </w:r>
      <w:r w:rsidRPr="006F22C9">
        <w:rPr>
          <w:rFonts w:ascii="DengXian" w:eastAsia="DengXian" w:hAnsi="DengXian" w:cs="DengXian"/>
          <w:color w:val="FF0000"/>
          <w:sz w:val="24"/>
          <w:szCs w:val="24"/>
          <w:lang w:eastAsia="zh-CN"/>
        </w:rPr>
        <w:t>是要考的。</w:t>
      </w: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其中7.3是重点，即P310-P318要看。7.4和7.5均不考，不过地址举例要看，例7.4要看，7.5.2和7.5.3要看看。</w:t>
      </w:r>
    </w:p>
    <w:p w:rsidR="005B00EF" w:rsidRDefault="006F22C9">
      <w:pPr>
        <w:rPr>
          <w:rFonts w:ascii="DengXian" w:eastAsia="DengXian" w:hAnsi="DengXian" w:cs="DengXian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第八章8.3不看，8.4是重点。P340.3举例不看；第九章的9.2.4和9.2.5不看。</w:t>
      </w:r>
    </w:p>
    <w:p w:rsidR="005B00EF" w:rsidRDefault="006F22C9">
      <w:pPr>
        <w:rPr>
          <w:rFonts w:ascii="DengXian" w:eastAsia="DengXian" w:hAnsi="DengXian" w:cs="DengXian"/>
          <w:color w:val="000000"/>
          <w:sz w:val="24"/>
          <w:szCs w:val="24"/>
          <w:lang w:eastAsia="zh-CN"/>
        </w:rPr>
      </w:pPr>
      <w:r>
        <w:rPr>
          <w:rFonts w:ascii="DengXian" w:eastAsia="DengXian" w:hAnsi="DengXian" w:cs="DengXian"/>
          <w:color w:val="000000"/>
          <w:sz w:val="24"/>
          <w:szCs w:val="24"/>
          <w:lang w:eastAsia="zh-CN"/>
        </w:rPr>
        <w:t>第十章只需掌握设计步骤，组合逻辑的控制方式，基本思想，优缺点，应用和微程序控制方式，基本思想，优缺点，应用。换种说法就是，要看P395-P401，P401之后只需看微程序控制器原理以及和组合逻辑的优缺点。</w:t>
      </w:r>
    </w:p>
    <w:p w:rsidR="005B00EF" w:rsidRDefault="005B00EF">
      <w:pPr>
        <w:rPr>
          <w:sz w:val="24"/>
          <w:szCs w:val="24"/>
          <w:lang w:eastAsia="zh-CN"/>
        </w:rPr>
      </w:pPr>
    </w:p>
    <w:sectPr w:rsidR="005B00EF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70EA"/>
    <w:rsid w:val="005B00EF"/>
    <w:rsid w:val="00677B25"/>
    <w:rsid w:val="006D70EA"/>
    <w:rsid w:val="006F22C9"/>
    <w:rsid w:val="00C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5BB81-5574-4EF3-9AF4-CF52622B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2013-12-25T08:43:00Z</dcterms:created>
  <dcterms:modified xsi:type="dcterms:W3CDTF">2015-01-06T11:27:00Z</dcterms:modified>
</cp:coreProperties>
</file>