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D546" w14:textId="77777777" w:rsidR="00840B93" w:rsidRDefault="00000000">
      <w:pPr>
        <w:pStyle w:val="Title"/>
      </w:pPr>
      <w:r>
        <w:t>Question Bank: Ethics Scenarios</w:t>
      </w:r>
    </w:p>
    <w:p w14:paraId="0972AFE1" w14:textId="77777777" w:rsidR="00840B93" w:rsidRDefault="00000000">
      <w:pPr>
        <w:pStyle w:val="Heading1"/>
      </w:pPr>
      <w:r>
        <w:t>CASE 1: Synthetic Voice for an AI Home Assistant</w:t>
      </w:r>
    </w:p>
    <w:p w14:paraId="0FD20F3A" w14:textId="77777777" w:rsidR="00840B93" w:rsidRDefault="00000000">
      <w:r>
        <w:rPr>
          <w:b/>
        </w:rPr>
        <w:t xml:space="preserve">Source: </w:t>
      </w:r>
      <w:r>
        <w:t>ACS Code of Professional Conduct Case Studies, derived from the 2019 CSIRO Discussion Paper "Artificial Intelligence: Australia's Ethics Framework" (acs.org.au/memberships/professional-ethics-conduct-and-complaints.html)</w:t>
      </w:r>
    </w:p>
    <w:p w14:paraId="089ED84D" w14:textId="77777777" w:rsidR="00840B93" w:rsidRDefault="00000000">
      <w:pPr>
        <w:pStyle w:val="Heading2"/>
      </w:pPr>
      <w:r>
        <w:t>Context</w:t>
      </w:r>
    </w:p>
    <w:p w14:paraId="50DCA63D" w14:textId="77777777" w:rsidR="00840B93" w:rsidRDefault="00000000">
      <w:r>
        <w:t>Alan and Brad have built an AI-based home assistant that responds to voice commands. They chose a female voice for it, based on research showing that more people respond to and trust a female voice.</w:t>
      </w:r>
    </w:p>
    <w:p w14:paraId="3BE248B4" w14:textId="77777777" w:rsidR="00840B93" w:rsidRDefault="00000000">
      <w:pPr>
        <w:pStyle w:val="Heading2"/>
      </w:pPr>
      <w:r>
        <w:t>Dilemma</w:t>
      </w:r>
    </w:p>
    <w:p w14:paraId="730BF35C" w14:textId="77777777" w:rsidR="00840B93" w:rsidRDefault="00000000">
      <w:r>
        <w:t>Their own user research shows an overwhelming majority of users like the female voice. However, a vocal lobby group criticises the decision, arguing it reinforces the subservient-female stereotype.</w:t>
      </w:r>
    </w:p>
    <w:p w14:paraId="2C8405B0" w14:textId="77777777" w:rsidR="00840B93" w:rsidRDefault="00000000">
      <w:pPr>
        <w:pStyle w:val="Heading2"/>
      </w:pPr>
      <w:r>
        <w:t>Options</w:t>
      </w:r>
    </w:p>
    <w:p w14:paraId="5FDAEEC0" w14:textId="77777777" w:rsidR="00840B93" w:rsidRDefault="00000000">
      <w:pPr>
        <w:pStyle w:val="ListNumber"/>
      </w:pPr>
      <w:r>
        <w:t>Ignore the criticism, as it reflects only a minority view.</w:t>
      </w:r>
    </w:p>
    <w:p w14:paraId="6D063655" w14:textId="77777777" w:rsidR="00840B93" w:rsidRDefault="00000000">
      <w:pPr>
        <w:pStyle w:val="ListNumber"/>
      </w:pPr>
      <w:r>
        <w:t>Invite the lobby group to a public debate about the merits of the female voice.</w:t>
      </w:r>
    </w:p>
    <w:p w14:paraId="225F3B04" w14:textId="77777777" w:rsidR="00840B93" w:rsidRDefault="00000000">
      <w:pPr>
        <w:pStyle w:val="ListNumber"/>
      </w:pPr>
      <w:r>
        <w:t>Modify the voice to make it gender-neutral.</w:t>
      </w:r>
    </w:p>
    <w:p w14:paraId="3A67BDBA" w14:textId="77777777" w:rsidR="00840B93" w:rsidRDefault="00000000">
      <w:pPr>
        <w:pStyle w:val="ListNumber"/>
      </w:pPr>
      <w:r>
        <w:t>Create male and female versions and choose one based on user feedback.</w:t>
      </w:r>
    </w:p>
    <w:p w14:paraId="38E66808" w14:textId="77777777" w:rsidR="00840B93" w:rsidRDefault="00000000">
      <w:pPr>
        <w:pStyle w:val="ListNumber"/>
      </w:pPr>
      <w:r>
        <w:t>Create male and female versions and let users choose which to use.</w:t>
      </w:r>
    </w:p>
    <w:p w14:paraId="7A31BE1D" w14:textId="77777777" w:rsidR="00840B93" w:rsidRDefault="00000000">
      <w:pPr>
        <w:pStyle w:val="Heading2"/>
      </w:pPr>
      <w:r>
        <w:t>Ethical Decision</w:t>
      </w:r>
    </w:p>
    <w:p w14:paraId="61575C1D" w14:textId="77777777" w:rsidR="00840B93" w:rsidRDefault="00000000">
      <w:r>
        <w:t>Option 5 is the most balanced and ethical approach. It responds to genuine user preference without imposing a single voice type or reinforcing a gender stereotype, and demonstrates that the system can adapt rather than entrench a one-size-fits-all design choice.</w:t>
      </w:r>
    </w:p>
    <w:p w14:paraId="6F75AEDB" w14:textId="77777777" w:rsidR="00840B93" w:rsidRDefault="00840B93"/>
    <w:p w14:paraId="10C1FE19" w14:textId="77777777" w:rsidR="00840B93" w:rsidRDefault="00000000">
      <w:pPr>
        <w:pStyle w:val="Heading1"/>
      </w:pPr>
      <w:r>
        <w:t>CASE 2: Machine Learning and "Judge Fatigue" in Sentencing</w:t>
      </w:r>
    </w:p>
    <w:p w14:paraId="7D3DC657" w14:textId="77777777" w:rsidR="00840B93" w:rsidRDefault="00000000">
      <w:r>
        <w:rPr>
          <w:b/>
        </w:rPr>
        <w:t xml:space="preserve">Source: </w:t>
      </w:r>
      <w:r>
        <w:t>ACS Code of Professional Conduct Case Studies, derived from the 2019 CSIRO Discussion Paper "Artificial Intelligence: Australia's Ethics Framework" (acs.org.au/memberships/professional-ethics-conduct-and-complaints.html)</w:t>
      </w:r>
    </w:p>
    <w:p w14:paraId="45EEFFD3" w14:textId="77777777" w:rsidR="00840B93" w:rsidRDefault="00000000">
      <w:pPr>
        <w:pStyle w:val="Heading2"/>
      </w:pPr>
      <w:r>
        <w:t>Context</w:t>
      </w:r>
    </w:p>
    <w:p w14:paraId="7CD9242E" w14:textId="77777777" w:rsidR="00840B93" w:rsidRDefault="00000000">
      <w:r>
        <w:t xml:space="preserve">An analysis of judicial parole hearings in one jurisdiction found sentence severity correlated with time of day: more lenient early in the morning or after lunch, more severe late morning or late </w:t>
      </w:r>
      <w:r>
        <w:lastRenderedPageBreak/>
        <w:t>afternoon ("judge fatigue"). A deep-learning system was trained on 1,000 cases to compensate for this pattern and produced measurably less biased sentencing outcomes.</w:t>
      </w:r>
    </w:p>
    <w:p w14:paraId="314DF372" w14:textId="77777777" w:rsidR="00840B93" w:rsidRDefault="00000000">
      <w:pPr>
        <w:pStyle w:val="Heading2"/>
      </w:pPr>
      <w:r>
        <w:t>Dilemma</w:t>
      </w:r>
    </w:p>
    <w:p w14:paraId="16812446" w14:textId="77777777" w:rsidR="00840B93" w:rsidRDefault="00000000">
      <w:r>
        <w:t>Because it is a deep-learning system, its decision logic is opaque — it cannot explain why it proposed a given sentence. The jurisdiction's officers must decide whether, and how, to adopt it as a replacement for or support to human judges.</w:t>
      </w:r>
    </w:p>
    <w:p w14:paraId="73594C52" w14:textId="77777777" w:rsidR="00840B93" w:rsidRDefault="00000000">
      <w:pPr>
        <w:pStyle w:val="Heading2"/>
      </w:pPr>
      <w:r>
        <w:t>Options</w:t>
      </w:r>
    </w:p>
    <w:p w14:paraId="43D1DD26" w14:textId="77777777" w:rsidR="00840B93" w:rsidRDefault="00000000" w:rsidP="00D54AED">
      <w:pPr>
        <w:pStyle w:val="ListNumber"/>
        <w:numPr>
          <w:ilvl w:val="0"/>
          <w:numId w:val="10"/>
        </w:numPr>
      </w:pPr>
      <w:r>
        <w:t>Do not implement it until its explicability is improved.</w:t>
      </w:r>
    </w:p>
    <w:p w14:paraId="651DE247" w14:textId="77777777" w:rsidR="00840B93" w:rsidRDefault="00000000" w:rsidP="00D54AED">
      <w:pPr>
        <w:pStyle w:val="ListNumber"/>
        <w:numPr>
          <w:ilvl w:val="0"/>
          <w:numId w:val="10"/>
        </w:numPr>
      </w:pPr>
      <w:r>
        <w:t>Use it only in a testing environment to advise judges and check for bias, without letting it decide cases.</w:t>
      </w:r>
    </w:p>
    <w:p w14:paraId="467EB813" w14:textId="77777777" w:rsidR="00840B93" w:rsidRDefault="00000000" w:rsidP="00D54AED">
      <w:pPr>
        <w:pStyle w:val="ListNumber"/>
        <w:numPr>
          <w:ilvl w:val="0"/>
          <w:numId w:val="10"/>
        </w:numPr>
      </w:pPr>
      <w:r>
        <w:t xml:space="preserve">Implement it, but only once it has been trained </w:t>
      </w:r>
      <w:proofErr w:type="gramStart"/>
      <w:r>
        <w:t>on</w:t>
      </w:r>
      <w:proofErr w:type="gramEnd"/>
      <w:r>
        <w:t xml:space="preserve"> many more cases.</w:t>
      </w:r>
    </w:p>
    <w:p w14:paraId="06689B87" w14:textId="77777777" w:rsidR="00840B93" w:rsidRDefault="00000000" w:rsidP="00D54AED">
      <w:pPr>
        <w:pStyle w:val="ListNumber"/>
        <w:numPr>
          <w:ilvl w:val="0"/>
          <w:numId w:val="10"/>
        </w:numPr>
      </w:pPr>
      <w:r>
        <w:t>Implement it, with a judge retaining the power to overrule it.</w:t>
      </w:r>
    </w:p>
    <w:p w14:paraId="76234FB9" w14:textId="77777777" w:rsidR="00840B93" w:rsidRDefault="00000000" w:rsidP="00D54AED">
      <w:pPr>
        <w:pStyle w:val="ListNumber"/>
        <w:numPr>
          <w:ilvl w:val="0"/>
          <w:numId w:val="10"/>
        </w:numPr>
      </w:pPr>
      <w:r>
        <w:t>Implement it, with the right for an appellant to appeal to a human judge.</w:t>
      </w:r>
    </w:p>
    <w:p w14:paraId="43B66990" w14:textId="77777777" w:rsidR="00840B93" w:rsidRDefault="00000000" w:rsidP="00D54AED">
      <w:pPr>
        <w:pStyle w:val="ListNumber"/>
        <w:numPr>
          <w:ilvl w:val="0"/>
          <w:numId w:val="10"/>
        </w:numPr>
      </w:pPr>
      <w:r>
        <w:t>Implement it outright — its accuracy is already clearly better than human judges.</w:t>
      </w:r>
    </w:p>
    <w:p w14:paraId="47FC8ECE" w14:textId="77777777" w:rsidR="00840B93" w:rsidRDefault="00000000">
      <w:pPr>
        <w:pStyle w:val="Heading2"/>
      </w:pPr>
      <w:r>
        <w:t>Ethical Decision</w:t>
      </w:r>
    </w:p>
    <w:p w14:paraId="3EFF5857" w14:textId="77777777" w:rsidR="00840B93" w:rsidRDefault="00000000">
      <w:r>
        <w:t>The best option is 1: deploying a system whose reasoning cannot be explained or audited risks unaccountable errors, even if its aggregate outcomes look less biased. Option 2 is also defensible, but only as a controlled, supervised trial used to understand the system's patterns and build evidence of trustworthiness — not as a basis for real sentencing decisions.</w:t>
      </w:r>
    </w:p>
    <w:p w14:paraId="64ECE3D6" w14:textId="77777777" w:rsidR="00840B93" w:rsidRDefault="00840B93"/>
    <w:p w14:paraId="6EED6799" w14:textId="77777777" w:rsidR="00840B93" w:rsidRDefault="00000000">
      <w:pPr>
        <w:pStyle w:val="Heading1"/>
      </w:pPr>
      <w:r>
        <w:t>CASE 3: Re-identification of "Anonymised" Research Data</w:t>
      </w:r>
    </w:p>
    <w:p w14:paraId="24AC5723" w14:textId="77777777" w:rsidR="00840B93" w:rsidRDefault="00000000">
      <w:r>
        <w:rPr>
          <w:b/>
        </w:rPr>
        <w:t xml:space="preserve">Source: </w:t>
      </w:r>
      <w:r>
        <w:t>ACS Code of Professional Conduct Case Studies, derived from the 2019 CSIRO Discussion Paper "Artificial Intelligence: Australia's Ethics Framework" (acs.org.au/memberships/professional-ethics-conduct-and-complaints.html)</w:t>
      </w:r>
    </w:p>
    <w:p w14:paraId="0297AB9E" w14:textId="77777777" w:rsidR="00840B93" w:rsidRDefault="00000000">
      <w:pPr>
        <w:pStyle w:val="Heading2"/>
      </w:pPr>
      <w:r>
        <w:t>Context</w:t>
      </w:r>
    </w:p>
    <w:p w14:paraId="0F9F6DF8" w14:textId="77777777" w:rsidR="00840B93" w:rsidRDefault="00000000">
      <w:r>
        <w:t>Rachel, an analyst at a big-data consultancy, is researching social media activity across 10,000 users, carefully keeping their identities hidden in any published results. Through a separate data-sharing scheme, she also acquires 100 million supposedly anonymised posts from 5 million users.</w:t>
      </w:r>
    </w:p>
    <w:p w14:paraId="724A84F5" w14:textId="77777777" w:rsidR="00840B93" w:rsidRDefault="00000000">
      <w:pPr>
        <w:pStyle w:val="Heading2"/>
      </w:pPr>
      <w:r>
        <w:t>Dilemma</w:t>
      </w:r>
    </w:p>
    <w:p w14:paraId="2FDB8EE2" w14:textId="77777777" w:rsidR="00840B93" w:rsidRDefault="00000000">
      <w:r>
        <w:t>Rachel discovers the anonymisation failed: usernames were left in reposts, and her tools can re-identify many users in the "anonymised" dataset. Using this richer dataset would substantially strengthen her research.</w:t>
      </w:r>
    </w:p>
    <w:p w14:paraId="150552E4" w14:textId="77777777" w:rsidR="00840B93" w:rsidRDefault="00000000">
      <w:pPr>
        <w:pStyle w:val="Heading2"/>
      </w:pPr>
      <w:r>
        <w:lastRenderedPageBreak/>
        <w:t>Options</w:t>
      </w:r>
    </w:p>
    <w:p w14:paraId="08499FB1" w14:textId="77777777" w:rsidR="00840B93" w:rsidRDefault="00000000" w:rsidP="00D54AED">
      <w:pPr>
        <w:pStyle w:val="ListNumber"/>
        <w:numPr>
          <w:ilvl w:val="0"/>
          <w:numId w:val="11"/>
        </w:numPr>
      </w:pPr>
      <w:r>
        <w:t>Scrub the data herself to remove usernames, then analyse the properly anonymised result.</w:t>
      </w:r>
    </w:p>
    <w:p w14:paraId="0B7FF8E2" w14:textId="77777777" w:rsidR="00840B93" w:rsidRDefault="00000000" w:rsidP="00D54AED">
      <w:pPr>
        <w:pStyle w:val="ListNumber"/>
        <w:numPr>
          <w:ilvl w:val="0"/>
          <w:numId w:val="11"/>
        </w:numPr>
      </w:pPr>
      <w:r>
        <w:t>Immediately discard the identifiable data, notify the supplying agency, and request a corrected dataset.</w:t>
      </w:r>
    </w:p>
    <w:p w14:paraId="477BB6B1" w14:textId="77777777" w:rsidR="00840B93" w:rsidRDefault="00000000" w:rsidP="00D54AED">
      <w:pPr>
        <w:pStyle w:val="ListNumber"/>
        <w:numPr>
          <w:ilvl w:val="0"/>
          <w:numId w:val="11"/>
        </w:numPr>
      </w:pPr>
      <w:r>
        <w:t>Investigate the agency's data-management policy; if it has been breached, raise the identifiable data with them, request replacement data, and flag the reputational risk.</w:t>
      </w:r>
    </w:p>
    <w:p w14:paraId="701C6DCE" w14:textId="77777777" w:rsidR="00840B93" w:rsidRDefault="00000000" w:rsidP="00D54AED">
      <w:pPr>
        <w:pStyle w:val="ListNumber"/>
        <w:numPr>
          <w:ilvl w:val="0"/>
          <w:numId w:val="11"/>
        </w:numPr>
      </w:pPr>
      <w:r>
        <w:t>Run the analysis anyway "just to see" what it produces, then discard the identifiable data.</w:t>
      </w:r>
    </w:p>
    <w:p w14:paraId="0DAD58F2" w14:textId="77777777" w:rsidR="00840B93" w:rsidRDefault="00000000" w:rsidP="00D54AED">
      <w:pPr>
        <w:pStyle w:val="ListNumber"/>
        <w:numPr>
          <w:ilvl w:val="0"/>
          <w:numId w:val="11"/>
        </w:numPr>
      </w:pPr>
      <w:r>
        <w:t>Run the analysis and publish the results, data breach and all.</w:t>
      </w:r>
    </w:p>
    <w:p w14:paraId="4E39FEF9" w14:textId="77777777" w:rsidR="00840B93" w:rsidRDefault="00000000">
      <w:pPr>
        <w:pStyle w:val="Heading2"/>
      </w:pPr>
      <w:r>
        <w:t>Ethical Decision</w:t>
      </w:r>
    </w:p>
    <w:p w14:paraId="21F7861A" w14:textId="77777777" w:rsidR="00840B93" w:rsidRDefault="00000000">
      <w:r>
        <w:t>Options 2 or 3 are the best approaches — both preserve Rachel's integrity and give the data's owner the opportunity to fix the breach and protect the affected users. Option 1 is only partly adequate, since it doesn't alert the supplier to remove other copies of the compromised data. Options 4 and 5 are unethical regardless of how discreetly they're carried out.</w:t>
      </w:r>
    </w:p>
    <w:p w14:paraId="2FE05FA6" w14:textId="77777777" w:rsidR="00840B93" w:rsidRDefault="00840B93"/>
    <w:p w14:paraId="4DC232BA" w14:textId="77777777" w:rsidR="00840B93" w:rsidRDefault="00000000">
      <w:pPr>
        <w:pStyle w:val="Heading1"/>
      </w:pPr>
      <w:r>
        <w:t>CASE 4: The Falsified Invoice</w:t>
      </w:r>
    </w:p>
    <w:p w14:paraId="2E20F817" w14:textId="77777777" w:rsidR="00840B93" w:rsidRDefault="00000000">
      <w:r>
        <w:rPr>
          <w:b/>
        </w:rPr>
        <w:t xml:space="preserve">Source: </w:t>
      </w:r>
      <w:r>
        <w:t>Royal Academy of Engineering, Engineering Ethics in Practice: A Guide for Engineers (raeng.org.uk/media/batgo4ye/engineering_ethics_in_practice_shorter.pdf)</w:t>
      </w:r>
    </w:p>
    <w:p w14:paraId="41DA611F" w14:textId="77777777" w:rsidR="00840B93" w:rsidRDefault="00000000">
      <w:pPr>
        <w:pStyle w:val="Heading2"/>
      </w:pPr>
      <w:r>
        <w:t>Context</w:t>
      </w:r>
    </w:p>
    <w:p w14:paraId="71CCC923" w14:textId="77777777" w:rsidR="00840B93" w:rsidRDefault="00000000">
      <w:r>
        <w:t>You have completed consultancy work for a foreign client company under a scheme where half your fee is paid directly by the central government. After the work is finished, the client says it is in financial difficulty and that the only way you will be paid in full is if you falsify the invoice so the government pays 100% of the fee. You are told this is standard practice, carried out with the cooperation of the fund's administrators.</w:t>
      </w:r>
    </w:p>
    <w:p w14:paraId="584D2C9D" w14:textId="77777777" w:rsidR="00840B93" w:rsidRDefault="00000000">
      <w:pPr>
        <w:pStyle w:val="Heading2"/>
      </w:pPr>
      <w:r>
        <w:t>Dilemma</w:t>
      </w:r>
    </w:p>
    <w:p w14:paraId="23B56844" w14:textId="77777777" w:rsidR="00840B93" w:rsidRDefault="00000000">
      <w:r>
        <w:t>You must decide whether to falsify the invoice to secure full payment, accept reduced payment to avoid the falsification, or pursue the unpaid balance through the courts.</w:t>
      </w:r>
    </w:p>
    <w:p w14:paraId="016DBB65" w14:textId="77777777" w:rsidR="00840B93" w:rsidRDefault="00000000">
      <w:pPr>
        <w:pStyle w:val="Heading2"/>
      </w:pPr>
      <w:r>
        <w:t>Options</w:t>
      </w:r>
    </w:p>
    <w:p w14:paraId="69BAB821" w14:textId="77777777" w:rsidR="00840B93" w:rsidRDefault="00000000">
      <w:pPr>
        <w:pStyle w:val="ListNumber"/>
      </w:pPr>
      <w:r>
        <w:t>Agree to falsify the invoice, to ensure the company is fairly paid for the work it has done.</w:t>
      </w:r>
    </w:p>
    <w:p w14:paraId="3B36AACC" w14:textId="77777777" w:rsidR="00840B93" w:rsidRDefault="00000000">
      <w:pPr>
        <w:pStyle w:val="ListNumber"/>
      </w:pPr>
      <w:r>
        <w:t>Refuse to falsify the invoice and accept whatever funds the client can legitimately provide, preserving the business relationship.</w:t>
      </w:r>
    </w:p>
    <w:p w14:paraId="3B432D20" w14:textId="77777777" w:rsidR="00840B93" w:rsidRDefault="00000000">
      <w:pPr>
        <w:pStyle w:val="ListNumber"/>
      </w:pPr>
      <w:r>
        <w:t>Refuse to falsify the invoice and take the client to court to recover the full fee owed.</w:t>
      </w:r>
    </w:p>
    <w:p w14:paraId="1B26F660" w14:textId="77777777" w:rsidR="00840B93" w:rsidRDefault="00000000">
      <w:pPr>
        <w:pStyle w:val="Heading2"/>
      </w:pPr>
      <w:r>
        <w:lastRenderedPageBreak/>
        <w:t>Ethical Decision</w:t>
      </w:r>
    </w:p>
    <w:p w14:paraId="40C67ADF" w14:textId="77777777" w:rsidR="00840B93" w:rsidRDefault="00000000">
      <w:r>
        <w:t>Falsifying the invoice is illegal and constitutes a deceptive and corrupt act explicitly prohibited by the code of conduct, so option 1 is not acceptable. Between options 2 and 3, the trade-off is reputational and commercial: accepting a reduced fee may read as weak business acumen and invite other clients to try the same tactic, while court action may recover the money but risks alienating other clients in the region. The code favours refusing the corrupt practice over accepting it for convenience.</w:t>
      </w:r>
    </w:p>
    <w:p w14:paraId="1964871E" w14:textId="77777777" w:rsidR="00840B93" w:rsidRDefault="00840B93"/>
    <w:p w14:paraId="40A05607" w14:textId="77777777" w:rsidR="00840B93" w:rsidRDefault="00000000">
      <w:pPr>
        <w:pStyle w:val="Heading1"/>
      </w:pPr>
      <w:r>
        <w:t>CASE 5: A Conflict of Interest After Changing Employers</w:t>
      </w:r>
    </w:p>
    <w:p w14:paraId="621112FF" w14:textId="77777777" w:rsidR="00840B93" w:rsidRDefault="00000000">
      <w:r>
        <w:rPr>
          <w:b/>
        </w:rPr>
        <w:t xml:space="preserve">Source: </w:t>
      </w:r>
      <w:r>
        <w:t>Online Ethics Center, University of Virginia — "Addressing Problems in Research Ethics" collection (onlineethics.org)</w:t>
      </w:r>
    </w:p>
    <w:p w14:paraId="4412B347" w14:textId="77777777" w:rsidR="00840B93" w:rsidRDefault="00000000">
      <w:pPr>
        <w:pStyle w:val="Heading2"/>
      </w:pPr>
      <w:r>
        <w:t>Context</w:t>
      </w:r>
    </w:p>
    <w:p w14:paraId="1C748130" w14:textId="77777777" w:rsidR="00840B93" w:rsidRDefault="00000000">
      <w:r>
        <w:t>Joe Engineer worked at a private engineering firm on a water-rights analysis, and co-stamped the final report. These analyses must pass through a multi-year court process: application, supporting engineering, public objections, rebuttal, and mediation or trial. Joe worked on the project only through the engineering step, then resigned to join the State — which is an objector in most such cases, including this one.</w:t>
      </w:r>
    </w:p>
    <w:p w14:paraId="3C8CD279" w14:textId="77777777" w:rsidR="00840B93" w:rsidRDefault="00000000">
      <w:pPr>
        <w:pStyle w:val="Heading2"/>
      </w:pPr>
      <w:r>
        <w:t>Dilemma</w:t>
      </w:r>
    </w:p>
    <w:p w14:paraId="0173431A" w14:textId="77777777" w:rsidR="00840B93" w:rsidRDefault="00000000">
      <w:r>
        <w:t>Joe believes he can and should continue to stand behind the stamped work he helped produce. But his current employer, the State, is formally opposed to the very application his former work supports, even though Joe has been walled off from the State's case in this matter.</w:t>
      </w:r>
    </w:p>
    <w:p w14:paraId="3DE1F970" w14:textId="77777777" w:rsidR="00840B93" w:rsidRDefault="00000000">
      <w:pPr>
        <w:pStyle w:val="Heading2"/>
      </w:pPr>
      <w:r>
        <w:t>Options</w:t>
      </w:r>
    </w:p>
    <w:p w14:paraId="212B11FC" w14:textId="77777777" w:rsidR="00840B93" w:rsidRDefault="00000000" w:rsidP="00D54AED">
      <w:pPr>
        <w:pStyle w:val="ListNumber"/>
        <w:numPr>
          <w:ilvl w:val="0"/>
          <w:numId w:val="12"/>
        </w:numPr>
      </w:pPr>
      <w:r>
        <w:t>Continue to actively support and defend the stamped analysis through the remaining court process, despite now working for an objecting party.</w:t>
      </w:r>
    </w:p>
    <w:p w14:paraId="0C5DBCC1" w14:textId="77777777" w:rsidR="00840B93" w:rsidRDefault="00000000" w:rsidP="00D54AED">
      <w:pPr>
        <w:pStyle w:val="ListNumber"/>
        <w:numPr>
          <w:ilvl w:val="0"/>
          <w:numId w:val="12"/>
        </w:numPr>
      </w:pPr>
      <w:r>
        <w:t>Formally recuse himself from any involvement, citing the conflict of interest, and decline to represent the work further.</w:t>
      </w:r>
    </w:p>
    <w:p w14:paraId="031EE12E" w14:textId="77777777" w:rsidR="00840B93" w:rsidRDefault="00000000" w:rsidP="00D54AED">
      <w:pPr>
        <w:pStyle w:val="ListNumber"/>
        <w:numPr>
          <w:ilvl w:val="0"/>
          <w:numId w:val="12"/>
        </w:numPr>
      </w:pPr>
      <w:r>
        <w:t xml:space="preserve">Disclose the conflict in full to both his former firm/client and his current </w:t>
      </w:r>
      <w:proofErr w:type="gramStart"/>
      <w:r>
        <w:t>employer, and</w:t>
      </w:r>
      <w:proofErr w:type="gramEnd"/>
      <w:r>
        <w:t xml:space="preserve"> let each decide how his limited remaining involvement should be handled.</w:t>
      </w:r>
    </w:p>
    <w:p w14:paraId="52B14381" w14:textId="77777777" w:rsidR="00840B93" w:rsidRDefault="00000000">
      <w:pPr>
        <w:pStyle w:val="Heading2"/>
      </w:pPr>
      <w:r>
        <w:t>Ethical Decision</w:t>
      </w:r>
    </w:p>
    <w:p w14:paraId="757782A1" w14:textId="77777777" w:rsidR="00840B93" w:rsidRDefault="00000000">
      <w:r>
        <w:t>The source presents this as an open discussion question rather than a settled ruling. The core tension is between an engineer's standing responsibility for work they have stamped and the duty of loyalty and avoidance of conflicting interests owed to a current employer who is adverse to that same work. Option 3 — full, proactive disclosure to both parties — is the approach most consistent with honesty and integrity, even though reasonable engineers could weigh the competing duties differently.</w:t>
      </w:r>
    </w:p>
    <w:p w14:paraId="04DB585F" w14:textId="77777777" w:rsidR="00840B93" w:rsidRDefault="00000000">
      <w:r>
        <w:rPr>
          <w:b/>
          <w:i/>
        </w:rPr>
        <w:lastRenderedPageBreak/>
        <w:t xml:space="preserve">Note: </w:t>
      </w:r>
      <w:r>
        <w:rPr>
          <w:i/>
        </w:rPr>
        <w:t>The original source poses this as an open question without a definitive resolution; the Ethical Decision above is a reasoned analysis, not a cited authority's ruling.</w:t>
      </w:r>
    </w:p>
    <w:p w14:paraId="6DD9EDFB" w14:textId="77777777" w:rsidR="00840B93" w:rsidRDefault="00840B93"/>
    <w:p w14:paraId="5C8B9C3C" w14:textId="77777777" w:rsidR="00840B93" w:rsidRDefault="00000000">
      <w:pPr>
        <w:pStyle w:val="Heading1"/>
      </w:pPr>
      <w:r>
        <w:t>CASE 6: Manipulating Authorship to Avoid a Biased Reviewer</w:t>
      </w:r>
    </w:p>
    <w:p w14:paraId="72F592EB" w14:textId="77777777" w:rsidR="00840B93" w:rsidRDefault="00000000">
      <w:r>
        <w:rPr>
          <w:b/>
        </w:rPr>
        <w:t xml:space="preserve">Source: </w:t>
      </w:r>
      <w:r>
        <w:t>Online Ethics Center, University of Virginia — "Addressing Problems in Research Ethics" collection (onlineethics.org)</w:t>
      </w:r>
    </w:p>
    <w:p w14:paraId="52123B81" w14:textId="77777777" w:rsidR="00840B93" w:rsidRDefault="00000000">
      <w:pPr>
        <w:pStyle w:val="Heading2"/>
      </w:pPr>
      <w:r>
        <w:t>Context</w:t>
      </w:r>
    </w:p>
    <w:p w14:paraId="2081A0B4" w14:textId="77777777" w:rsidR="00840B93" w:rsidRDefault="00000000">
      <w:r>
        <w:t>Andy and John are coauthors who want to submit a manuscript to a journal. Andy believes one of the journal's two co-editors, Candice, is prejudiced against him, while the other, Donna, is not.</w:t>
      </w:r>
    </w:p>
    <w:p w14:paraId="27FECEE4" w14:textId="77777777" w:rsidR="00840B93" w:rsidRDefault="00000000">
      <w:pPr>
        <w:pStyle w:val="Heading2"/>
      </w:pPr>
      <w:r>
        <w:t>Dilemma</w:t>
      </w:r>
    </w:p>
    <w:p w14:paraId="7553CED3" w14:textId="77777777" w:rsidR="00840B93" w:rsidRDefault="00000000">
      <w:r>
        <w:t>Andy proposes that John remove Andy's name from the manuscript and submit it so that only John is associated with it, routing it to Donna. If it is accepted, Andy proposes adding his name back onto the byline afterward.</w:t>
      </w:r>
    </w:p>
    <w:p w14:paraId="2B32783A" w14:textId="77777777" w:rsidR="00840B93" w:rsidRDefault="00000000">
      <w:pPr>
        <w:pStyle w:val="Heading2"/>
      </w:pPr>
      <w:r>
        <w:t>Options</w:t>
      </w:r>
    </w:p>
    <w:p w14:paraId="4A3B2169" w14:textId="77777777" w:rsidR="00840B93" w:rsidRDefault="00000000" w:rsidP="00D54AED">
      <w:pPr>
        <w:pStyle w:val="ListNumber"/>
        <w:numPr>
          <w:ilvl w:val="0"/>
          <w:numId w:val="13"/>
        </w:numPr>
      </w:pPr>
      <w:r>
        <w:t>Remove Andy's name as he requests, to avoid the co-editor he believes is biased against him.</w:t>
      </w:r>
    </w:p>
    <w:p w14:paraId="597D98E7" w14:textId="77777777" w:rsidR="00840B93" w:rsidRDefault="00000000" w:rsidP="00D54AED">
      <w:pPr>
        <w:pStyle w:val="ListNumber"/>
        <w:numPr>
          <w:ilvl w:val="0"/>
          <w:numId w:val="13"/>
        </w:numPr>
      </w:pPr>
      <w:r>
        <w:t xml:space="preserve">Submit under both authors' names as originally </w:t>
      </w:r>
      <w:proofErr w:type="gramStart"/>
      <w:r>
        <w:t>intended, and</w:t>
      </w:r>
      <w:proofErr w:type="gramEnd"/>
      <w:r>
        <w:t xml:space="preserve"> raise any genuine concern about reviewer bias directly and transparently with the journal.</w:t>
      </w:r>
    </w:p>
    <w:p w14:paraId="425FB501" w14:textId="77777777" w:rsidR="00840B93" w:rsidRDefault="00000000" w:rsidP="00D54AED">
      <w:pPr>
        <w:pStyle w:val="ListNumber"/>
        <w:numPr>
          <w:ilvl w:val="0"/>
          <w:numId w:val="13"/>
        </w:numPr>
      </w:pPr>
      <w:r>
        <w:t>Withdraw the manuscript from this journal entirely and submit it elsewhere to sidestep the perceived conflict.</w:t>
      </w:r>
    </w:p>
    <w:p w14:paraId="6CAFAE18" w14:textId="77777777" w:rsidR="00840B93" w:rsidRDefault="00000000">
      <w:pPr>
        <w:pStyle w:val="Heading2"/>
      </w:pPr>
      <w:r>
        <w:t>Ethical Decision</w:t>
      </w:r>
    </w:p>
    <w:p w14:paraId="2AB6BA8B" w14:textId="77777777" w:rsidR="00840B93" w:rsidRDefault="00000000">
      <w:r>
        <w:t>The source presents this as an open discussion question. Option 1 misrepresents authorship to the editorial process and undermines the integrity of peer review and credit allocation. Option 2 is the most defensible path: it addresses any genuine bias concern through honest, direct channels instead of concealment, preserving both the accuracy of the record and the authors' credibility.</w:t>
      </w:r>
    </w:p>
    <w:p w14:paraId="3F1F28A8" w14:textId="77777777" w:rsidR="00840B93" w:rsidRDefault="00000000">
      <w:r>
        <w:rPr>
          <w:b/>
          <w:i/>
        </w:rPr>
        <w:t xml:space="preserve">Note: </w:t>
      </w:r>
      <w:r>
        <w:rPr>
          <w:i/>
        </w:rPr>
        <w:t>The original source poses this as an open question without a definitive resolution; the Ethical Decision above is a reasoned analysis, not a cited authority's ruling.</w:t>
      </w:r>
    </w:p>
    <w:p w14:paraId="29679DC8" w14:textId="77777777" w:rsidR="00840B93" w:rsidRDefault="00840B93"/>
    <w:p w14:paraId="071CD8F4" w14:textId="77777777" w:rsidR="00840B93" w:rsidRDefault="00000000">
      <w:pPr>
        <w:pStyle w:val="Heading1"/>
      </w:pPr>
      <w:r>
        <w:t>CASE 7: Use of Artificial Intelligence in Engineering Practice</w:t>
      </w:r>
    </w:p>
    <w:p w14:paraId="78BBAD34" w14:textId="77777777" w:rsidR="00840B93" w:rsidRDefault="00000000">
      <w:r>
        <w:rPr>
          <w:b/>
        </w:rPr>
        <w:t xml:space="preserve">Source: </w:t>
      </w:r>
      <w:r>
        <w:t>NSPE Board of Ethical Review, Case 24-2 (nspe.org/career-growth/ethics/board-ethical-review-cases)</w:t>
      </w:r>
    </w:p>
    <w:p w14:paraId="52F0964E" w14:textId="77777777" w:rsidR="00840B93" w:rsidRDefault="00000000">
      <w:pPr>
        <w:pStyle w:val="Heading2"/>
      </w:pPr>
      <w:r>
        <w:lastRenderedPageBreak/>
        <w:t>Context</w:t>
      </w:r>
    </w:p>
    <w:p w14:paraId="72C31642" w14:textId="77777777" w:rsidR="00840B93" w:rsidRDefault="00000000">
      <w:r>
        <w:t>Engineer A, an environmental engineer, is retained to prepare a technical report and engineering design documents. Engineer A is confident technically but less so in technical writing, and had always relied on a mentor's review — who has since retired. Facing the deadline without that support, Engineer A uses open-source AI software to draft the report and AI-assisted tools to generate preliminary design plans.</w:t>
      </w:r>
    </w:p>
    <w:p w14:paraId="4139DFB5" w14:textId="77777777" w:rsidR="00840B93" w:rsidRDefault="00000000">
      <w:pPr>
        <w:pStyle w:val="Heading2"/>
      </w:pPr>
      <w:r>
        <w:t>Dilemma</w:t>
      </w:r>
    </w:p>
    <w:p w14:paraId="6447F4CC" w14:textId="77777777" w:rsidR="00840B93" w:rsidRDefault="00000000">
      <w:r>
        <w:t>For the report, Engineer A thoroughly fact-checks and lightly edits the AI output, but does not cite the AI's involvement, and seals the final draft. For the design documents, Engineer A does only a cursory review before sealing them — the client later finds misaligned dimensions and missing safety features the AI had omitted.</w:t>
      </w:r>
    </w:p>
    <w:p w14:paraId="37873257" w14:textId="77777777" w:rsidR="00840B93" w:rsidRDefault="00000000">
      <w:pPr>
        <w:pStyle w:val="Heading2"/>
      </w:pPr>
      <w:r>
        <w:t>Options</w:t>
      </w:r>
    </w:p>
    <w:p w14:paraId="58A31396" w14:textId="77777777" w:rsidR="00840B93" w:rsidRDefault="00000000" w:rsidP="00D54AED">
      <w:pPr>
        <w:pStyle w:val="ListNumber"/>
        <w:numPr>
          <w:ilvl w:val="0"/>
          <w:numId w:val="14"/>
        </w:numPr>
      </w:pPr>
      <w:r>
        <w:t xml:space="preserve">Use AI to draft the work and </w:t>
      </w:r>
      <w:proofErr w:type="gramStart"/>
      <w:r>
        <w:t>apply</w:t>
      </w:r>
      <w:proofErr w:type="gramEnd"/>
      <w:r>
        <w:t xml:space="preserve"> only a high-level review before sealing it, as happened with the design documents.</w:t>
      </w:r>
    </w:p>
    <w:p w14:paraId="0333557C" w14:textId="77777777" w:rsidR="00840B93" w:rsidRDefault="00000000" w:rsidP="00D54AED">
      <w:pPr>
        <w:pStyle w:val="ListNumber"/>
        <w:numPr>
          <w:ilvl w:val="0"/>
          <w:numId w:val="14"/>
        </w:numPr>
      </w:pPr>
      <w:r>
        <w:t>Use AI to draft the work, thoroughly verify its accuracy, but still omit client consent for inputting their data and omit any citation of AI's role, as happened with the report.</w:t>
      </w:r>
    </w:p>
    <w:p w14:paraId="6363306A" w14:textId="77777777" w:rsidR="00840B93" w:rsidRDefault="00000000" w:rsidP="00D54AED">
      <w:pPr>
        <w:pStyle w:val="ListNumber"/>
        <w:numPr>
          <w:ilvl w:val="0"/>
          <w:numId w:val="14"/>
        </w:numPr>
      </w:pPr>
      <w:r>
        <w:t>Use AI to draft the work, thoroughly verify its accuracy, obtain the client's consent to input their data, and disclose AI's role in the final product.</w:t>
      </w:r>
    </w:p>
    <w:p w14:paraId="6F453F74" w14:textId="77777777" w:rsidR="00840B93" w:rsidRDefault="00000000" w:rsidP="00D54AED">
      <w:pPr>
        <w:pStyle w:val="ListNumber"/>
        <w:numPr>
          <w:ilvl w:val="0"/>
          <w:numId w:val="14"/>
        </w:numPr>
      </w:pPr>
      <w:r>
        <w:t>Decline to use AI entirely and rely on manual drafting and self-review, despite the loss of the mentor's support.</w:t>
      </w:r>
    </w:p>
    <w:p w14:paraId="4EA03A07" w14:textId="77777777" w:rsidR="00840B93" w:rsidRDefault="00000000">
      <w:pPr>
        <w:pStyle w:val="Heading2"/>
      </w:pPr>
      <w:r>
        <w:t>Ethical Decision</w:t>
      </w:r>
    </w:p>
    <w:p w14:paraId="73DF062A" w14:textId="77777777" w:rsidR="00840B93" w:rsidRDefault="00000000">
      <w:r>
        <w:t>Per the Board, option 2 (as used for the report) was only partly ethical — thorough verification was appropriate, but using client data in the AI tool without consent and not documenting required citations fell short. Option 1 (as used for the design documents) was not unethical merely for using AI, but failing to maintain genuine responsible charge over the AI's output before sealing it was unethical. Option 3 best satisfies the Code; there is no blanket obligation to disclose AI use to the client unless the contract requires it, but transparency is best practice when AI substantially shapes the final product.</w:t>
      </w:r>
    </w:p>
    <w:p w14:paraId="4DFC817A" w14:textId="77777777" w:rsidR="00840B93" w:rsidRDefault="00840B93"/>
    <w:p w14:paraId="6B0007D9" w14:textId="77777777" w:rsidR="00840B93" w:rsidRDefault="00000000">
      <w:pPr>
        <w:pStyle w:val="Heading1"/>
      </w:pPr>
      <w:r>
        <w:t>CASE 8: Stormwater Management: Client Directives vs Public Welfare</w:t>
      </w:r>
    </w:p>
    <w:p w14:paraId="7B3A0A90" w14:textId="77777777" w:rsidR="00840B93" w:rsidRDefault="00000000">
      <w:r>
        <w:rPr>
          <w:b/>
        </w:rPr>
        <w:t xml:space="preserve">Source: </w:t>
      </w:r>
      <w:r>
        <w:t>NSPE Board of Ethical Review, Case 24-1 (nspe.org/career-growth/ethics/board-ethical-review-cases)</w:t>
      </w:r>
    </w:p>
    <w:p w14:paraId="7CB42487" w14:textId="77777777" w:rsidR="00840B93" w:rsidRDefault="00000000">
      <w:pPr>
        <w:pStyle w:val="Heading2"/>
      </w:pPr>
      <w:r>
        <w:t>Context</w:t>
      </w:r>
    </w:p>
    <w:p w14:paraId="25EA56BD" w14:textId="77777777" w:rsidR="00840B93" w:rsidRDefault="00000000">
      <w:r>
        <w:t xml:space="preserve">Engineer L is designing a stormwater management system for a development near a community that draws its drinking water from the adjacent watershed. During preliminary design, Engineer L becomes concerned the risk of contaminating that water source will increase over time, but </w:t>
      </w:r>
      <w:r>
        <w:lastRenderedPageBreak/>
        <w:t>before this risk is quantified, the client — facing financial setbacks — asks Engineer L to pause the work. Engineer L does not raise the unquantified concern at that point.</w:t>
      </w:r>
    </w:p>
    <w:p w14:paraId="2A0E68B4" w14:textId="77777777" w:rsidR="00840B93" w:rsidRDefault="00000000">
      <w:pPr>
        <w:pStyle w:val="Heading2"/>
      </w:pPr>
      <w:r>
        <w:t>Dilemma</w:t>
      </w:r>
    </w:p>
    <w:p w14:paraId="05D38548" w14:textId="77777777" w:rsidR="00840B93" w:rsidRDefault="00000000">
      <w:r>
        <w:t>When work resumes, historic heavy rainfall increases the real-world risk, and Engineer L now has quantified evidence that runoff could reach the community's drinking water source. Engineer L recommends additional protective measures; the client refuses, citing budget limits, and says it will deal with any compliance issues later if they arise.</w:t>
      </w:r>
    </w:p>
    <w:p w14:paraId="1EACBE00" w14:textId="77777777" w:rsidR="00840B93" w:rsidRDefault="00000000">
      <w:pPr>
        <w:pStyle w:val="Heading2"/>
      </w:pPr>
      <w:r>
        <w:t>Options</w:t>
      </w:r>
    </w:p>
    <w:p w14:paraId="6401CB3B" w14:textId="77777777" w:rsidR="00840B93" w:rsidRDefault="00000000" w:rsidP="00D54AED">
      <w:pPr>
        <w:pStyle w:val="ListNumber"/>
        <w:numPr>
          <w:ilvl w:val="0"/>
          <w:numId w:val="15"/>
        </w:numPr>
      </w:pPr>
      <w:r>
        <w:t>Pause the work without raising the unquantified risk, and resume only when the client re-engages, as Engineer L did.</w:t>
      </w:r>
    </w:p>
    <w:p w14:paraId="33DE9058" w14:textId="77777777" w:rsidR="00840B93" w:rsidRDefault="00000000" w:rsidP="00D54AED">
      <w:pPr>
        <w:pStyle w:val="ListNumber"/>
        <w:numPr>
          <w:ilvl w:val="0"/>
          <w:numId w:val="15"/>
        </w:numPr>
      </w:pPr>
      <w:r>
        <w:t>Raise the unquantified risk immediately, before pausing, even though it isn't yet confirmed.</w:t>
      </w:r>
    </w:p>
    <w:p w14:paraId="7C5447BF" w14:textId="77777777" w:rsidR="00840B93" w:rsidRDefault="00000000" w:rsidP="00D54AED">
      <w:pPr>
        <w:pStyle w:val="ListNumber"/>
        <w:numPr>
          <w:ilvl w:val="0"/>
          <w:numId w:val="15"/>
        </w:numPr>
      </w:pPr>
      <w:r>
        <w:t xml:space="preserve">After the risk is quantified, continue the project only if the client funds </w:t>
      </w:r>
      <w:proofErr w:type="gramStart"/>
      <w:r>
        <w:t>the additional</w:t>
      </w:r>
      <w:proofErr w:type="gramEnd"/>
      <w:r>
        <w:t xml:space="preserve"> protective measures.</w:t>
      </w:r>
    </w:p>
    <w:p w14:paraId="48516B0A" w14:textId="77777777" w:rsidR="00840B93" w:rsidRDefault="00000000" w:rsidP="00D54AED">
      <w:pPr>
        <w:pStyle w:val="ListNumber"/>
        <w:numPr>
          <w:ilvl w:val="0"/>
          <w:numId w:val="15"/>
        </w:numPr>
      </w:pPr>
      <w:r>
        <w:t>Continue the project work even though the client refuses the protective measures, deferring to the client's cost decision.</w:t>
      </w:r>
    </w:p>
    <w:p w14:paraId="768433D3" w14:textId="77777777" w:rsidR="00840B93" w:rsidRDefault="00000000">
      <w:pPr>
        <w:pStyle w:val="Heading2"/>
      </w:pPr>
      <w:r>
        <w:t>Ethical Decision</w:t>
      </w:r>
    </w:p>
    <w:p w14:paraId="48C513A6" w14:textId="77777777" w:rsidR="00840B93" w:rsidRDefault="00000000">
      <w:r>
        <w:t>Per the Board, option 1 was not unethical — pausing without volunteering an unquantified, unconfirmed risk was acceptable, and Engineer L later did disclose the risk once it was substantiated. But option 4 is not acceptable: once the risk is quantified and the client still refuses protective measures, continuing the work places the client's financial interest above the engineer's paramount duty to public health and safety. Option 3 reflects what the Code actually requires going forward.</w:t>
      </w:r>
    </w:p>
    <w:p w14:paraId="4B8F93A8" w14:textId="77777777" w:rsidR="00840B93" w:rsidRDefault="00840B93"/>
    <w:p w14:paraId="5E207164" w14:textId="77777777" w:rsidR="00840B93" w:rsidRDefault="00000000">
      <w:pPr>
        <w:pStyle w:val="Heading1"/>
      </w:pPr>
      <w:r>
        <w:t>CASE 9: Community Engagement for an Infrastructure Project</w:t>
      </w:r>
    </w:p>
    <w:p w14:paraId="1DAAEF9C" w14:textId="77777777" w:rsidR="00840B93" w:rsidRDefault="00000000">
      <w:r>
        <w:rPr>
          <w:b/>
        </w:rPr>
        <w:t xml:space="preserve">Source: </w:t>
      </w:r>
      <w:r>
        <w:t>NSPE Board of Ethical Review, Case 24-4 (nspe.org/career-growth/ethics/board-ethical-review-cases)</w:t>
      </w:r>
    </w:p>
    <w:p w14:paraId="41B6E4D3" w14:textId="77777777" w:rsidR="00840B93" w:rsidRDefault="00000000">
      <w:pPr>
        <w:pStyle w:val="Heading2"/>
      </w:pPr>
      <w:r>
        <w:t>Context</w:t>
      </w:r>
    </w:p>
    <w:p w14:paraId="2075527D" w14:textId="77777777" w:rsidR="00840B93" w:rsidRDefault="00000000">
      <w:r>
        <w:t>Engineer M leads a highway upgrade through a historically underserved neighbourhood. A partner firm, led by licensed engineers, is contracted to run the legally required public engagement sessions, but schedules them at times and in locations that are hard for residents to reach, provides no way to submit written comments, and holds no virtual sessions.</w:t>
      </w:r>
    </w:p>
    <w:p w14:paraId="4FEA4519" w14:textId="77777777" w:rsidR="00840B93" w:rsidRDefault="00000000">
      <w:pPr>
        <w:pStyle w:val="Heading2"/>
      </w:pPr>
      <w:r>
        <w:t>Dilemma</w:t>
      </w:r>
    </w:p>
    <w:p w14:paraId="6969B90E" w14:textId="77777777" w:rsidR="00840B93" w:rsidRDefault="00000000">
      <w:r>
        <w:t xml:space="preserve">Few residents of the affected neighbourhood can attend; those who do raise concerns about displacement. The partner firm then writes a report claiming community support for the project, </w:t>
      </w:r>
      <w:r>
        <w:lastRenderedPageBreak/>
        <w:t>omitting the access barriers it created. Engineer M is uneasy, but the firm says this is simply how the city wanted it handled.</w:t>
      </w:r>
    </w:p>
    <w:p w14:paraId="17ED3A49" w14:textId="77777777" w:rsidR="00840B93" w:rsidRDefault="00000000">
      <w:pPr>
        <w:pStyle w:val="Heading2"/>
      </w:pPr>
      <w:r>
        <w:t>Options</w:t>
      </w:r>
    </w:p>
    <w:p w14:paraId="02E1C117" w14:textId="77777777" w:rsidR="00840B93" w:rsidRDefault="00000000" w:rsidP="00D54AED">
      <w:pPr>
        <w:pStyle w:val="ListNumber"/>
        <w:numPr>
          <w:ilvl w:val="0"/>
          <w:numId w:val="16"/>
        </w:numPr>
      </w:pPr>
      <w:r>
        <w:t>Accept the partner firm's report as written and proceed with the client's design decision.</w:t>
      </w:r>
    </w:p>
    <w:p w14:paraId="29B9362C" w14:textId="77777777" w:rsidR="00840B93" w:rsidRDefault="00000000" w:rsidP="00D54AED">
      <w:pPr>
        <w:pStyle w:val="ListNumber"/>
        <w:numPr>
          <w:ilvl w:val="0"/>
          <w:numId w:val="16"/>
        </w:numPr>
      </w:pPr>
      <w:r>
        <w:t xml:space="preserve">Raise </w:t>
      </w:r>
      <w:proofErr w:type="gramStart"/>
      <w:r>
        <w:t>the concerns</w:t>
      </w:r>
      <w:proofErr w:type="gramEnd"/>
      <w:r>
        <w:t xml:space="preserve"> with the partner firm </w:t>
      </w:r>
      <w:proofErr w:type="gramStart"/>
      <w:r>
        <w:t>first, and</w:t>
      </w:r>
      <w:proofErr w:type="gramEnd"/>
      <w:r>
        <w:t xml:space="preserve"> ask it to correct the report before taking any further </w:t>
      </w:r>
      <w:proofErr w:type="gramStart"/>
      <w:r>
        <w:t>step</w:t>
      </w:r>
      <w:proofErr w:type="gramEnd"/>
      <w:r>
        <w:t>.</w:t>
      </w:r>
    </w:p>
    <w:p w14:paraId="415FECE9" w14:textId="77777777" w:rsidR="00840B93" w:rsidRDefault="00000000" w:rsidP="00D54AED">
      <w:pPr>
        <w:pStyle w:val="ListNumber"/>
        <w:numPr>
          <w:ilvl w:val="0"/>
          <w:numId w:val="16"/>
        </w:numPr>
      </w:pPr>
      <w:r>
        <w:t>Escalate directly to the client (the city), bypassing the partner firm.</w:t>
      </w:r>
    </w:p>
    <w:p w14:paraId="18107699" w14:textId="77777777" w:rsidR="00840B93" w:rsidRDefault="00000000" w:rsidP="00D54AED">
      <w:pPr>
        <w:pStyle w:val="ListNumber"/>
        <w:numPr>
          <w:ilvl w:val="0"/>
          <w:numId w:val="16"/>
        </w:numPr>
      </w:pPr>
      <w:r>
        <w:t>Report the matter straight to the state licensure board without raising it internally first.</w:t>
      </w:r>
    </w:p>
    <w:p w14:paraId="4AA277CA" w14:textId="77777777" w:rsidR="00840B93" w:rsidRDefault="00000000">
      <w:pPr>
        <w:pStyle w:val="Heading2"/>
      </w:pPr>
      <w:r>
        <w:t>Ethical Decision</w:t>
      </w:r>
    </w:p>
    <w:p w14:paraId="55DA60AA" w14:textId="77777777" w:rsidR="00840B93" w:rsidRDefault="00000000">
      <w:r>
        <w:t>Per the Board, option 1 is not acceptable — the report's omissions misrepresent the facts gathered. The correct sequence is option 2 first, escalating to the client only if the partner firm will not correct the record, and considering a licensure-board referral only if that also fails. The partner firm remains bound by the Code despite providing "communications" rather than engineering services, because it operates under licensed engineers' supervision and ownership.</w:t>
      </w:r>
    </w:p>
    <w:p w14:paraId="35BB4342" w14:textId="77777777" w:rsidR="00840B93" w:rsidRDefault="00840B93"/>
    <w:p w14:paraId="6C100B39" w14:textId="77777777" w:rsidR="00840B93" w:rsidRDefault="00000000">
      <w:pPr>
        <w:pStyle w:val="Heading1"/>
      </w:pPr>
      <w:r>
        <w:t>CASE 10: Sustainable Development and Resilient Infrastructure</w:t>
      </w:r>
    </w:p>
    <w:p w14:paraId="3E8B7827" w14:textId="77777777" w:rsidR="00840B93" w:rsidRDefault="00000000">
      <w:r>
        <w:rPr>
          <w:b/>
        </w:rPr>
        <w:t xml:space="preserve">Source: </w:t>
      </w:r>
      <w:r>
        <w:t>NSPE Board of Ethical Review, Case 24-5 (nspe.org/career-growth/ethics/board-ethical-review-cases)</w:t>
      </w:r>
    </w:p>
    <w:p w14:paraId="078D401F" w14:textId="77777777" w:rsidR="00840B93" w:rsidRDefault="00000000">
      <w:pPr>
        <w:pStyle w:val="Heading2"/>
      </w:pPr>
      <w:r>
        <w:t>Context</w:t>
      </w:r>
    </w:p>
    <w:p w14:paraId="50E19178" w14:textId="77777777" w:rsidR="00840B93" w:rsidRDefault="00000000">
      <w:r>
        <w:t>Engineer K is designing flood control for a growing urban area under a city policy that calls for climate-resilient infrastructure. Two viable options exist: a cheaper, faster concrete floodwall with a high carbon footprint and no future expandability, or a costlier, slower-to-mature green/wetland infrastructure system that is expandable and lower-carbon.</w:t>
      </w:r>
    </w:p>
    <w:p w14:paraId="789688E0" w14:textId="77777777" w:rsidR="00840B93" w:rsidRDefault="00000000">
      <w:pPr>
        <w:pStyle w:val="Heading2"/>
      </w:pPr>
      <w:r>
        <w:t>Dilemma</w:t>
      </w:r>
    </w:p>
    <w:p w14:paraId="420DE2E0" w14:textId="77777777" w:rsidR="00840B93" w:rsidRDefault="00000000">
      <w:r>
        <w:t>Engineer K personally favours the sustainable option, but discovers the traditional floodwall could, in a low-probability/high-volume event, divert floodwater toward a nearby underserved community. Engineer K presents both options with full risk information to the city council, which chooses the cheaper traditional approach anyway and accepts the residual risk to that community.</w:t>
      </w:r>
    </w:p>
    <w:p w14:paraId="29C57BA0" w14:textId="77777777" w:rsidR="00840B93" w:rsidRDefault="00000000">
      <w:pPr>
        <w:pStyle w:val="Heading2"/>
      </w:pPr>
      <w:r>
        <w:t>Options</w:t>
      </w:r>
    </w:p>
    <w:p w14:paraId="18247135" w14:textId="77777777" w:rsidR="00840B93" w:rsidRDefault="00000000" w:rsidP="00D54AED">
      <w:pPr>
        <w:pStyle w:val="ListNumber"/>
        <w:numPr>
          <w:ilvl w:val="0"/>
          <w:numId w:val="17"/>
        </w:numPr>
      </w:pPr>
      <w:r>
        <w:t>Present only the Sustainable Approach, since Engineer K personally believes it is the better option.</w:t>
      </w:r>
    </w:p>
    <w:p w14:paraId="4917CE0D" w14:textId="77777777" w:rsidR="00840B93" w:rsidRDefault="00000000" w:rsidP="00D54AED">
      <w:pPr>
        <w:pStyle w:val="ListNumber"/>
        <w:numPr>
          <w:ilvl w:val="0"/>
          <w:numId w:val="17"/>
        </w:numPr>
      </w:pPr>
      <w:r>
        <w:t>Present only the Traditional Approach, deferring entirely to its lower cost and faster timeline.</w:t>
      </w:r>
    </w:p>
    <w:p w14:paraId="3148B3B9" w14:textId="77777777" w:rsidR="00840B93" w:rsidRDefault="00000000" w:rsidP="00D54AED">
      <w:pPr>
        <w:pStyle w:val="ListNumber"/>
        <w:numPr>
          <w:ilvl w:val="0"/>
          <w:numId w:val="17"/>
        </w:numPr>
      </w:pPr>
      <w:r>
        <w:lastRenderedPageBreak/>
        <w:t xml:space="preserve">Present both approaches with full risk and benefit </w:t>
      </w:r>
      <w:proofErr w:type="gramStart"/>
      <w:r>
        <w:t>information, and</w:t>
      </w:r>
      <w:proofErr w:type="gramEnd"/>
      <w:r>
        <w:t xml:space="preserve"> let the client make an informed decision.</w:t>
      </w:r>
    </w:p>
    <w:p w14:paraId="4D23825E" w14:textId="77777777" w:rsidR="00840B93" w:rsidRDefault="00000000" w:rsidP="00D54AED">
      <w:pPr>
        <w:pStyle w:val="ListNumber"/>
        <w:numPr>
          <w:ilvl w:val="0"/>
          <w:numId w:val="17"/>
        </w:numPr>
      </w:pPr>
      <w:r>
        <w:t>Refuse to continue designing the Traditional Approach once chosen, due to personal disagreement with the city's risk tolerance.</w:t>
      </w:r>
    </w:p>
    <w:p w14:paraId="664D38E5" w14:textId="77777777" w:rsidR="00840B93" w:rsidRDefault="00000000">
      <w:pPr>
        <w:pStyle w:val="Heading2"/>
      </w:pPr>
      <w:r>
        <w:t>Ethical Decision</w:t>
      </w:r>
    </w:p>
    <w:p w14:paraId="3B8CA6D9" w14:textId="77777777" w:rsidR="00840B93" w:rsidRDefault="00000000">
      <w:r>
        <w:t>Per the Board, option 3 was the correct approach — Engineer K should present every viable option in full rather than advocating for a personal preference. Once the client makes an informed decision with the risk fully disclosed, Engineer K's obligation as a faithful agent or trustee under the signed contract requires continuing the work, so option 4 is not appropriate. Options 1 and 2 would have improperly substituted either Engineer K's preference or the client's cost pressure for a genuinely informed choice.</w:t>
      </w:r>
    </w:p>
    <w:p w14:paraId="1DE99DC3" w14:textId="77777777" w:rsidR="00840B93" w:rsidRDefault="00840B93"/>
    <w:sectPr w:rsidR="00840B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F4138"/>
    <w:multiLevelType w:val="hybridMultilevel"/>
    <w:tmpl w:val="6980EE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A26148"/>
    <w:multiLevelType w:val="hybridMultilevel"/>
    <w:tmpl w:val="92426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C9C6A74"/>
    <w:multiLevelType w:val="hybridMultilevel"/>
    <w:tmpl w:val="864EF2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CD7549E"/>
    <w:multiLevelType w:val="hybridMultilevel"/>
    <w:tmpl w:val="ED22BD7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1EB2909"/>
    <w:multiLevelType w:val="hybridMultilevel"/>
    <w:tmpl w:val="0908DB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B211B9"/>
    <w:multiLevelType w:val="hybridMultilevel"/>
    <w:tmpl w:val="2C588A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C254490"/>
    <w:multiLevelType w:val="hybridMultilevel"/>
    <w:tmpl w:val="F7922E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D4A46BF"/>
    <w:multiLevelType w:val="hybridMultilevel"/>
    <w:tmpl w:val="C10092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9595198">
    <w:abstractNumId w:val="8"/>
  </w:num>
  <w:num w:numId="2" w16cid:durableId="973828416">
    <w:abstractNumId w:val="6"/>
  </w:num>
  <w:num w:numId="3" w16cid:durableId="2007710231">
    <w:abstractNumId w:val="5"/>
  </w:num>
  <w:num w:numId="4" w16cid:durableId="1355112227">
    <w:abstractNumId w:val="4"/>
  </w:num>
  <w:num w:numId="5" w16cid:durableId="825249386">
    <w:abstractNumId w:val="7"/>
  </w:num>
  <w:num w:numId="6" w16cid:durableId="1861967308">
    <w:abstractNumId w:val="3"/>
  </w:num>
  <w:num w:numId="7" w16cid:durableId="203832384">
    <w:abstractNumId w:val="2"/>
  </w:num>
  <w:num w:numId="8" w16cid:durableId="839613204">
    <w:abstractNumId w:val="1"/>
  </w:num>
  <w:num w:numId="9" w16cid:durableId="649139665">
    <w:abstractNumId w:val="0"/>
  </w:num>
  <w:num w:numId="10" w16cid:durableId="593051245">
    <w:abstractNumId w:val="10"/>
  </w:num>
  <w:num w:numId="11" w16cid:durableId="1522427114">
    <w:abstractNumId w:val="11"/>
  </w:num>
  <w:num w:numId="12" w16cid:durableId="1247569474">
    <w:abstractNumId w:val="14"/>
  </w:num>
  <w:num w:numId="13" w16cid:durableId="1832333568">
    <w:abstractNumId w:val="9"/>
  </w:num>
  <w:num w:numId="14" w16cid:durableId="1414625987">
    <w:abstractNumId w:val="15"/>
  </w:num>
  <w:num w:numId="15" w16cid:durableId="940913174">
    <w:abstractNumId w:val="12"/>
  </w:num>
  <w:num w:numId="16" w16cid:durableId="909654718">
    <w:abstractNumId w:val="13"/>
  </w:num>
  <w:num w:numId="17" w16cid:durableId="20347260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003"/>
    <w:rsid w:val="00326F90"/>
    <w:rsid w:val="00840B93"/>
    <w:rsid w:val="00AA1D8D"/>
    <w:rsid w:val="00B47730"/>
    <w:rsid w:val="00CB0664"/>
    <w:rsid w:val="00D54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B4662"/>
  <w14:defaultImageDpi w14:val="300"/>
  <w15:docId w15:val="{3FF05104-134A-44BB-A7D2-D1FD44B8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Cyrus</cp:lastModifiedBy>
  <cp:revision>2</cp:revision>
  <dcterms:created xsi:type="dcterms:W3CDTF">2013-12-23T23:15:00Z</dcterms:created>
  <dcterms:modified xsi:type="dcterms:W3CDTF">2026-10-22T07:02:00Z</dcterms:modified>
  <cp:category/>
</cp:coreProperties>
</file>