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nnoo0q6ge9wv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2"/>
        <w:jc w:val="center"/>
        <w:rPr>
          <w:color w:val="ff0000"/>
        </w:rPr>
      </w:pPr>
      <w:r w:rsidDel="00000000" w:rsidR="00000000" w:rsidRPr="00000000">
        <w:rPr>
          <w:rtl w:val="0"/>
        </w:rPr>
        <w:t xml:space="preserve">You can also include the logos of other institutions/organisations (if relevant)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hanging="2"/>
        <w:jc w:val="center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(please delete the above line)</w:t>
      </w:r>
    </w:p>
    <w:p w:rsidR="00000000" w:rsidDel="00000000" w:rsidP="00000000" w:rsidRDefault="00000000" w:rsidRPr="00000000" w14:paraId="00000004">
      <w:pPr>
        <w:ind w:left="1" w:hanging="3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" w:hanging="3"/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Research Advert / Flyer / Poster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hanging="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hanging="2"/>
        <w:jc w:val="both"/>
        <w:rPr/>
      </w:pPr>
      <w:r w:rsidDel="00000000" w:rsidR="00000000" w:rsidRPr="00000000">
        <w:rPr>
          <w:rtl w:val="0"/>
        </w:rPr>
        <w:t xml:space="preserve">If space is restricted and you can’t include the logos, ensure you clarify that this is Monash research when you provide the details below.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explain the aim of the study, what the participants will be asked to do, and how much time it will take.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Briefly explain who the target participants are and include any exclusion criteria.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Insert graphics (if applicable).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</w:t>
      </w:r>
      <w:r w:rsidDel="00000000" w:rsidR="00000000" w:rsidRPr="00000000">
        <w:rPr>
          <w:b w:val="1"/>
          <w:bCs w:val="1"/>
          <w:rtl w:val="0"/>
        </w:rPr>
        <w:t xml:space="preserve">Link to </w:t>
      </w:r>
      <w:hyperlink r:id="rId6">
        <w:r w:rsidDel="00000000" w:rsidR="00000000" w:rsidRPr="00000000">
          <w:rPr>
            <w:color w:val="0000ff"/>
            <w:rtl w:val="0"/>
          </w:rPr>
          <w:t xml:space="preserve">Explanatory Statement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a contact from the research team for queries and further information.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the MUHREC project ID (copy from ERM, top right corner) and title.</w:t>
      </w:r>
    </w:p>
    <w:p w:rsidR="00000000" w:rsidDel="00000000" w:rsidP="00000000" w:rsidRDefault="00000000" w:rsidRPr="00000000" w14:paraId="0000000E">
      <w:pP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2"/>
        <w:rPr/>
        <w:sectPr>
          <w:headerReference r:id="rId7" w:type="default"/>
          <w:headerReference r:id="rId8" w:type="first"/>
          <w:type w:val="nextPage"/>
          <w:pgSz w:h="16838" w:w="11906" w:orient="portrait"/>
          <w:pgMar w:bottom="720" w:top="720" w:left="720" w:right="720" w:header="284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headerReference r:id="rId10" w:type="first"/>
          <w:type w:val="nextPage"/>
          <w:pgSz w:h="16838" w:w="11906" w:orient="portrait"/>
          <w:pgMar w:bottom="720" w:top="720" w:left="720" w:right="720" w:header="720" w:footer="720"/>
          <w:pgNumType w:start="1"/>
        </w:sectPr>
      </w:pPr>
      <w:bookmarkStart w:colFirst="0" w:colLast="0" w:name="_gfq2przkb6t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Working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1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ID: </w:t>
      </w:r>
      <w:r w:rsidDel="00000000" w:rsidR="00000000" w:rsidRPr="00000000">
        <w:rPr>
          <w:rtl w:val="0"/>
        </w:rPr>
        <w:t xml:space="preserve">53838</w:t>
      </w:r>
    </w:p>
    <w:p w:rsidR="00000000" w:rsidDel="00000000" w:rsidP="00000000" w:rsidRDefault="00000000" w:rsidRPr="00000000" w14:paraId="00000013">
      <w:pPr>
        <w:spacing w:after="0" w:line="276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Project title: </w:t>
      </w:r>
      <w:r w:rsidDel="00000000" w:rsidR="00000000" w:rsidRPr="00000000">
        <w:rPr>
          <w:rtl w:val="0"/>
        </w:rPr>
        <w:t xml:space="preserve">Investigating a multi-agent AI governance and ethics training platform</w:t>
      </w:r>
    </w:p>
    <w:p w:rsidR="00000000" w:rsidDel="00000000" w:rsidP="00000000" w:rsidRDefault="00000000" w:rsidRPr="00000000" w14:paraId="00000014">
      <w:pPr>
        <w:spacing w:after="0" w:line="276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When AI Agents Disagree, Who Do You Trust?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center"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  <w:t xml:space="preserve">This study explores how AI advice shapes ethical decision-making. You will work through a series of engineering ethics scenarios: make an initial decision, see advice from a panel of AI agents (who may or may not agree with each other), then decide whether to keep or change your answer. Takes approximately 10-15 minutes, completed online.</w:t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  <w:t xml:space="preserve">Open to current engineering industry employees or students (undergraduate or postgraduate), aged 18+. </w:t>
      </w:r>
    </w:p>
    <w:p w:rsidR="00000000" w:rsidDel="00000000" w:rsidP="00000000" w:rsidRDefault="00000000" w:rsidRPr="00000000" w14:paraId="00000019">
      <w:pPr>
        <w:ind w:firstLine="0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</w:rPr>
        <w:drawing>
          <wp:inline distB="114300" distT="114300" distL="114300" distR="114300">
            <wp:extent cx="6116694" cy="41624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6694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For full details about what participation involves, see the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[INSERT LINK]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Questions? Contact our team: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Aryan Cyrus - amaj0006@student.monash.edu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Ubaid Irfan - uirf0001@student.monash.edu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Supervisor, ABM Russel at at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abm.russel@monash.edu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[INSERT LARGE VISIBLE QR CODE?]</w:t>
      </w:r>
    </w:p>
    <w:p w:rsidR="00000000" w:rsidDel="00000000" w:rsidP="00000000" w:rsidRDefault="00000000" w:rsidRPr="00000000" w14:paraId="0000002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hanging="2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type w:val="nextPage"/>
      <w:pgSz w:h="16838" w:w="11906" w:orient="portrait"/>
      <w:pgMar w:bottom="720" w:top="720" w:left="720" w:right="720" w:header="284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40" w:lineRule="auto"/>
      <w:ind w:hanging="2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0" w:line="240" w:lineRule="auto"/>
      <w:ind w:hanging="2"/>
      <w:rPr/>
    </w:pPr>
    <w:r w:rsidDel="00000000" w:rsidR="00000000" w:rsidRPr="00000000">
      <w:rPr/>
      <w:drawing>
        <wp:inline distB="0" distT="0" distL="114300" distR="114300">
          <wp:extent cx="3876040" cy="770890"/>
          <wp:effectExtent b="0" l="0" r="0" t="0"/>
          <wp:docPr descr="Monash_2-RGB" id="1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6040" cy="7708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="240" w:lineRule="auto"/>
      <w:ind w:hanging="2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0" w:line="240" w:lineRule="auto"/>
      <w:ind w:hanging="2"/>
      <w:rPr/>
    </w:pPr>
    <w:r w:rsidDel="00000000" w:rsidR="00000000" w:rsidRPr="00000000">
      <w:rPr/>
      <w:drawing>
        <wp:inline distB="0" distT="0" distL="114300" distR="114300">
          <wp:extent cx="3876040" cy="770890"/>
          <wp:effectExtent b="0" l="0" r="0" t="0"/>
          <wp:docPr descr="Monash_2-RGB" id="3" name="image1.jpg"/>
          <a:graphic>
            <a:graphicData uri="http://schemas.openxmlformats.org/drawingml/2006/picture">
              <pic:pic>
                <pic:nvPicPr>
                  <pic:cNvPr descr="Monash_2-RGB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76040" cy="7708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header" Target="header3.xml"/><Relationship Id="rId13" Type="http://schemas.openxmlformats.org/officeDocument/2006/relationships/hyperlink" Target="mailto:abm.russel@monash.edu" TargetMode="External"/><Relationship Id="rId12" Type="http://schemas.openxmlformats.org/officeDocument/2006/relationships/hyperlink" Target="https://www.monash.edu/research-ethics-and-integrity/human-ethics/resour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5" Type="http://schemas.openxmlformats.org/officeDocument/2006/relationships/header" Target="header6.xml"/><Relationship Id="rId14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hyperlink" Target="https://www.monash.edu/research-ethics-and-integrity/human-ethics/resources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