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80F61" w14:textId="77777777" w:rsidR="001A6F2C" w:rsidRPr="001A6F2C" w:rsidRDefault="001A6F2C" w:rsidP="001A6F2C">
      <w:pPr>
        <w:rPr>
          <w:rFonts w:ascii="Arial" w:hAnsi="Arial" w:cs="Arial"/>
          <w:b/>
          <w:bCs/>
          <w:sz w:val="22"/>
          <w:szCs w:val="22"/>
        </w:rPr>
      </w:pPr>
      <w:proofErr w:type="spellStart"/>
      <w:r w:rsidRPr="001A6F2C">
        <w:rPr>
          <w:rFonts w:ascii="Arial" w:hAnsi="Arial" w:cs="Arial"/>
          <w:b/>
          <w:bCs/>
          <w:sz w:val="22"/>
          <w:szCs w:val="22"/>
        </w:rPr>
        <w:t>MediCare</w:t>
      </w:r>
      <w:proofErr w:type="spellEnd"/>
      <w:r w:rsidRPr="001A6F2C">
        <w:rPr>
          <w:rFonts w:ascii="Arial" w:hAnsi="Arial" w:cs="Arial"/>
          <w:b/>
          <w:bCs/>
          <w:sz w:val="22"/>
          <w:szCs w:val="22"/>
        </w:rPr>
        <w:t xml:space="preserve"> Plus Clinic — Risk Assessment Report (Draft)</w:t>
      </w:r>
    </w:p>
    <w:p w14:paraId="2152F686" w14:textId="77777777" w:rsidR="001A6F2C" w:rsidRPr="001A6F2C" w:rsidRDefault="001A6F2C" w:rsidP="001A6F2C">
      <w:pPr>
        <w:rPr>
          <w:rFonts w:ascii="Arial" w:hAnsi="Arial" w:cs="Arial"/>
          <w:sz w:val="22"/>
          <w:szCs w:val="22"/>
        </w:rPr>
      </w:pPr>
      <w:r w:rsidRPr="001A6F2C">
        <w:rPr>
          <w:rFonts w:ascii="Arial" w:hAnsi="Arial" w:cs="Arial"/>
          <w:sz w:val="22"/>
          <w:szCs w:val="22"/>
        </w:rPr>
        <w:pict w14:anchorId="06759589">
          <v:rect id="_x0000_i1061" style="width:0;height:1.5pt" o:hralign="center" o:hrstd="t" o:hr="t" fillcolor="#a0a0a0" stroked="f"/>
        </w:pict>
      </w:r>
    </w:p>
    <w:p w14:paraId="06C836F1"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1. Executive Summary</w:t>
      </w:r>
    </w:p>
    <w:p w14:paraId="49F0813C" w14:textId="77777777" w:rsidR="001A6F2C" w:rsidRPr="001A6F2C" w:rsidRDefault="001A6F2C" w:rsidP="001A6F2C">
      <w:pPr>
        <w:rPr>
          <w:rFonts w:ascii="Arial" w:hAnsi="Arial" w:cs="Arial"/>
          <w:sz w:val="22"/>
          <w:szCs w:val="22"/>
        </w:rPr>
      </w:pPr>
      <w:r w:rsidRPr="001A6F2C">
        <w:rPr>
          <w:rFonts w:ascii="Arial" w:hAnsi="Arial" w:cs="Arial"/>
          <w:sz w:val="22"/>
          <w:szCs w:val="22"/>
        </w:rPr>
        <w:t xml:space="preserve">This report presents the findings of a structured risk assessment conducted for </w:t>
      </w:r>
      <w:proofErr w:type="spellStart"/>
      <w:r w:rsidRPr="001A6F2C">
        <w:rPr>
          <w:rFonts w:ascii="Arial" w:hAnsi="Arial" w:cs="Arial"/>
          <w:sz w:val="22"/>
          <w:szCs w:val="22"/>
        </w:rPr>
        <w:t>MediCare</w:t>
      </w:r>
      <w:proofErr w:type="spellEnd"/>
      <w:r w:rsidRPr="001A6F2C">
        <w:rPr>
          <w:rFonts w:ascii="Arial" w:hAnsi="Arial" w:cs="Arial"/>
          <w:sz w:val="22"/>
          <w:szCs w:val="22"/>
        </w:rPr>
        <w:t xml:space="preserve"> Plus Clinic, focusing on its hybrid IT environment spanning both on-premises systems and Microsoft Azure cloud services. The assessment identified a total of </w:t>
      </w:r>
      <w:r w:rsidRPr="001A6F2C">
        <w:rPr>
          <w:rFonts w:ascii="Arial" w:hAnsi="Arial" w:cs="Arial"/>
          <w:b/>
          <w:bCs/>
          <w:sz w:val="22"/>
          <w:szCs w:val="22"/>
        </w:rPr>
        <w:t>15 material risks</w:t>
      </w:r>
      <w:r w:rsidRPr="001A6F2C">
        <w:rPr>
          <w:rFonts w:ascii="Arial" w:hAnsi="Arial" w:cs="Arial"/>
          <w:sz w:val="22"/>
          <w:szCs w:val="22"/>
        </w:rPr>
        <w:t>, derived from stakeholder interviews, system architecture analysis, and cloud configuration review.</w:t>
      </w:r>
    </w:p>
    <w:p w14:paraId="2A9AB1CA" w14:textId="77777777" w:rsidR="001A6F2C" w:rsidRPr="001A6F2C" w:rsidRDefault="001A6F2C" w:rsidP="001A6F2C">
      <w:pPr>
        <w:rPr>
          <w:rFonts w:ascii="Arial" w:hAnsi="Arial" w:cs="Arial"/>
          <w:sz w:val="22"/>
          <w:szCs w:val="22"/>
        </w:rPr>
      </w:pPr>
      <w:r w:rsidRPr="001A6F2C">
        <w:rPr>
          <w:rFonts w:ascii="Arial" w:hAnsi="Arial" w:cs="Arial"/>
          <w:sz w:val="22"/>
          <w:szCs w:val="22"/>
        </w:rPr>
        <w:t xml:space="preserve">The overall security posture of the organisation is assessed as </w:t>
      </w:r>
      <w:r w:rsidRPr="001A6F2C">
        <w:rPr>
          <w:rFonts w:ascii="Arial" w:hAnsi="Arial" w:cs="Arial"/>
          <w:b/>
          <w:bCs/>
          <w:sz w:val="22"/>
          <w:szCs w:val="22"/>
        </w:rPr>
        <w:t>materially elevated</w:t>
      </w:r>
      <w:r w:rsidRPr="001A6F2C">
        <w:rPr>
          <w:rFonts w:ascii="Arial" w:hAnsi="Arial" w:cs="Arial"/>
          <w:sz w:val="22"/>
          <w:szCs w:val="22"/>
        </w:rPr>
        <w:t xml:space="preserve">, with significant gaps in identity management, cloud security, governance, and operational controls. Of the identified risks, </w:t>
      </w:r>
      <w:r w:rsidRPr="001A6F2C">
        <w:rPr>
          <w:rFonts w:ascii="Arial" w:hAnsi="Arial" w:cs="Arial"/>
          <w:b/>
          <w:bCs/>
          <w:sz w:val="22"/>
          <w:szCs w:val="22"/>
        </w:rPr>
        <w:t>two are rated Critical</w:t>
      </w:r>
      <w:r w:rsidRPr="001A6F2C">
        <w:rPr>
          <w:rFonts w:ascii="Arial" w:hAnsi="Arial" w:cs="Arial"/>
          <w:sz w:val="22"/>
          <w:szCs w:val="22"/>
        </w:rPr>
        <w:t xml:space="preserve">, </w:t>
      </w:r>
      <w:r w:rsidRPr="001A6F2C">
        <w:rPr>
          <w:rFonts w:ascii="Arial" w:hAnsi="Arial" w:cs="Arial"/>
          <w:b/>
          <w:bCs/>
          <w:sz w:val="22"/>
          <w:szCs w:val="22"/>
        </w:rPr>
        <w:t>four are High</w:t>
      </w:r>
      <w:r w:rsidRPr="001A6F2C">
        <w:rPr>
          <w:rFonts w:ascii="Arial" w:hAnsi="Arial" w:cs="Arial"/>
          <w:sz w:val="22"/>
          <w:szCs w:val="22"/>
        </w:rPr>
        <w:t xml:space="preserve">, and the remaining fall within the </w:t>
      </w:r>
      <w:proofErr w:type="gramStart"/>
      <w:r w:rsidRPr="001A6F2C">
        <w:rPr>
          <w:rFonts w:ascii="Arial" w:hAnsi="Arial" w:cs="Arial"/>
          <w:sz w:val="22"/>
          <w:szCs w:val="22"/>
        </w:rPr>
        <w:t>Medium</w:t>
      </w:r>
      <w:proofErr w:type="gramEnd"/>
      <w:r w:rsidRPr="001A6F2C">
        <w:rPr>
          <w:rFonts w:ascii="Arial" w:hAnsi="Arial" w:cs="Arial"/>
          <w:sz w:val="22"/>
          <w:szCs w:val="22"/>
        </w:rPr>
        <w:t xml:space="preserve"> category.</w:t>
      </w:r>
    </w:p>
    <w:p w14:paraId="0BA367CE" w14:textId="77777777" w:rsidR="001A6F2C" w:rsidRPr="001A6F2C" w:rsidRDefault="001A6F2C" w:rsidP="001A6F2C">
      <w:pPr>
        <w:rPr>
          <w:rFonts w:ascii="Arial" w:hAnsi="Arial" w:cs="Arial"/>
          <w:sz w:val="22"/>
          <w:szCs w:val="22"/>
        </w:rPr>
      </w:pPr>
      <w:r w:rsidRPr="001A6F2C">
        <w:rPr>
          <w:rFonts w:ascii="Arial" w:hAnsi="Arial" w:cs="Arial"/>
          <w:sz w:val="22"/>
          <w:szCs w:val="22"/>
        </w:rPr>
        <w:t>The most significant risks include the absence of multi-factor authentication (MFA) across Azure Active Directory accounts and publicly accessible cloud storage, both of which expose sensitive patient data to unauthorised access. Additional high-impact risks include permissive network configurations, unpatched systems, lack of incident response capability, and untested backup processes.</w:t>
      </w:r>
    </w:p>
    <w:p w14:paraId="16D20003" w14:textId="77777777" w:rsidR="001A6F2C" w:rsidRPr="001A6F2C" w:rsidRDefault="001A6F2C" w:rsidP="001A6F2C">
      <w:pPr>
        <w:rPr>
          <w:rFonts w:ascii="Arial" w:hAnsi="Arial" w:cs="Arial"/>
          <w:sz w:val="22"/>
          <w:szCs w:val="22"/>
        </w:rPr>
      </w:pPr>
      <w:r w:rsidRPr="001A6F2C">
        <w:rPr>
          <w:rFonts w:ascii="Arial" w:hAnsi="Arial" w:cs="Arial"/>
          <w:sz w:val="22"/>
          <w:szCs w:val="22"/>
        </w:rPr>
        <w:t>Immediate priorities should focus on strengthening identity controls, securing cloud configurations, and establishing foundational governance practices such as incident response planning and access management. Addressing these areas will significantly reduce the organisation’s exposure to both external threats and internal vulnerabilities.</w:t>
      </w:r>
    </w:p>
    <w:p w14:paraId="11573315" w14:textId="77777777" w:rsidR="001A6F2C" w:rsidRPr="001A6F2C" w:rsidRDefault="001A6F2C" w:rsidP="001A6F2C">
      <w:pPr>
        <w:rPr>
          <w:rFonts w:ascii="Arial" w:hAnsi="Arial" w:cs="Arial"/>
          <w:sz w:val="22"/>
          <w:szCs w:val="22"/>
        </w:rPr>
      </w:pPr>
      <w:r w:rsidRPr="001A6F2C">
        <w:rPr>
          <w:rFonts w:ascii="Arial" w:hAnsi="Arial" w:cs="Arial"/>
          <w:sz w:val="22"/>
          <w:szCs w:val="22"/>
        </w:rPr>
        <w:pict w14:anchorId="67F65281">
          <v:rect id="_x0000_i1062" style="width:0;height:1.5pt" o:hralign="center" o:hrstd="t" o:hr="t" fillcolor="#a0a0a0" stroked="f"/>
        </w:pict>
      </w:r>
    </w:p>
    <w:p w14:paraId="594F64C0"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2. Methodology</w:t>
      </w:r>
    </w:p>
    <w:p w14:paraId="55D8F576" w14:textId="77777777" w:rsidR="001A6F2C" w:rsidRPr="001A6F2C" w:rsidRDefault="001A6F2C" w:rsidP="001A6F2C">
      <w:pPr>
        <w:rPr>
          <w:rFonts w:ascii="Arial" w:hAnsi="Arial" w:cs="Arial"/>
          <w:sz w:val="22"/>
          <w:szCs w:val="22"/>
        </w:rPr>
      </w:pPr>
      <w:r w:rsidRPr="001A6F2C">
        <w:rPr>
          <w:rFonts w:ascii="Arial" w:hAnsi="Arial" w:cs="Arial"/>
          <w:sz w:val="22"/>
          <w:szCs w:val="22"/>
        </w:rPr>
        <w:t>This risk assessment was conducted in alignment with the NIST SP 800-30 framework, following a structured four-step process:</w:t>
      </w:r>
    </w:p>
    <w:p w14:paraId="7F4D964A" w14:textId="77777777" w:rsidR="001A6F2C" w:rsidRPr="001A6F2C" w:rsidRDefault="001A6F2C" w:rsidP="001A6F2C">
      <w:pPr>
        <w:numPr>
          <w:ilvl w:val="0"/>
          <w:numId w:val="1"/>
        </w:numPr>
        <w:rPr>
          <w:rFonts w:ascii="Arial" w:hAnsi="Arial" w:cs="Arial"/>
          <w:sz w:val="22"/>
          <w:szCs w:val="22"/>
        </w:rPr>
      </w:pPr>
      <w:r w:rsidRPr="001A6F2C">
        <w:rPr>
          <w:rFonts w:ascii="Arial" w:hAnsi="Arial" w:cs="Arial"/>
          <w:b/>
          <w:bCs/>
          <w:sz w:val="22"/>
          <w:szCs w:val="22"/>
        </w:rPr>
        <w:t>Threat Identification</w:t>
      </w:r>
      <w:r w:rsidRPr="001A6F2C">
        <w:rPr>
          <w:rFonts w:ascii="Arial" w:hAnsi="Arial" w:cs="Arial"/>
          <w:sz w:val="22"/>
          <w:szCs w:val="22"/>
        </w:rPr>
        <w:t xml:space="preserve"> — Identification of potential threats based on system architecture, cloud configuration, and stakeholder interviews.</w:t>
      </w:r>
    </w:p>
    <w:p w14:paraId="5E8BA0B3" w14:textId="77777777" w:rsidR="001A6F2C" w:rsidRPr="001A6F2C" w:rsidRDefault="001A6F2C" w:rsidP="001A6F2C">
      <w:pPr>
        <w:numPr>
          <w:ilvl w:val="0"/>
          <w:numId w:val="1"/>
        </w:numPr>
        <w:rPr>
          <w:rFonts w:ascii="Arial" w:hAnsi="Arial" w:cs="Arial"/>
          <w:sz w:val="22"/>
          <w:szCs w:val="22"/>
        </w:rPr>
      </w:pPr>
      <w:r w:rsidRPr="001A6F2C">
        <w:rPr>
          <w:rFonts w:ascii="Arial" w:hAnsi="Arial" w:cs="Arial"/>
          <w:b/>
          <w:bCs/>
          <w:sz w:val="22"/>
          <w:szCs w:val="22"/>
        </w:rPr>
        <w:t>Vulnerability Identification</w:t>
      </w:r>
      <w:r w:rsidRPr="001A6F2C">
        <w:rPr>
          <w:rFonts w:ascii="Arial" w:hAnsi="Arial" w:cs="Arial"/>
          <w:sz w:val="22"/>
          <w:szCs w:val="22"/>
        </w:rPr>
        <w:t xml:space="preserve"> — Analysis of weaknesses in controls, processes, and configurations.</w:t>
      </w:r>
    </w:p>
    <w:p w14:paraId="2DA0CAC5" w14:textId="77777777" w:rsidR="001A6F2C" w:rsidRPr="001A6F2C" w:rsidRDefault="001A6F2C" w:rsidP="001A6F2C">
      <w:pPr>
        <w:numPr>
          <w:ilvl w:val="0"/>
          <w:numId w:val="1"/>
        </w:numPr>
        <w:rPr>
          <w:rFonts w:ascii="Arial" w:hAnsi="Arial" w:cs="Arial"/>
          <w:sz w:val="22"/>
          <w:szCs w:val="22"/>
        </w:rPr>
      </w:pPr>
      <w:r w:rsidRPr="001A6F2C">
        <w:rPr>
          <w:rFonts w:ascii="Arial" w:hAnsi="Arial" w:cs="Arial"/>
          <w:b/>
          <w:bCs/>
          <w:sz w:val="22"/>
          <w:szCs w:val="22"/>
        </w:rPr>
        <w:t>Likelihood Determination</w:t>
      </w:r>
      <w:r w:rsidRPr="001A6F2C">
        <w:rPr>
          <w:rFonts w:ascii="Arial" w:hAnsi="Arial" w:cs="Arial"/>
          <w:sz w:val="22"/>
          <w:szCs w:val="22"/>
        </w:rPr>
        <w:t xml:space="preserve"> — Each risk was assigned a likelihood score (1–5) based on probability of occurrence.</w:t>
      </w:r>
    </w:p>
    <w:p w14:paraId="0C8FB5F2" w14:textId="77777777" w:rsidR="001A6F2C" w:rsidRPr="001A6F2C" w:rsidRDefault="001A6F2C" w:rsidP="001A6F2C">
      <w:pPr>
        <w:numPr>
          <w:ilvl w:val="0"/>
          <w:numId w:val="1"/>
        </w:numPr>
        <w:rPr>
          <w:rFonts w:ascii="Arial" w:hAnsi="Arial" w:cs="Arial"/>
          <w:sz w:val="22"/>
          <w:szCs w:val="22"/>
        </w:rPr>
      </w:pPr>
      <w:r w:rsidRPr="001A6F2C">
        <w:rPr>
          <w:rFonts w:ascii="Arial" w:hAnsi="Arial" w:cs="Arial"/>
          <w:b/>
          <w:bCs/>
          <w:sz w:val="22"/>
          <w:szCs w:val="22"/>
        </w:rPr>
        <w:t>Impact Determination</w:t>
      </w:r>
      <w:r w:rsidRPr="001A6F2C">
        <w:rPr>
          <w:rFonts w:ascii="Arial" w:hAnsi="Arial" w:cs="Arial"/>
          <w:sz w:val="22"/>
          <w:szCs w:val="22"/>
        </w:rPr>
        <w:t xml:space="preserve"> — Each risk was assigned an impact score (1–5) based on potential business, operational, and regulatory consequences.</w:t>
      </w:r>
    </w:p>
    <w:p w14:paraId="0043B83F" w14:textId="77777777" w:rsidR="001A6F2C" w:rsidRPr="001A6F2C" w:rsidRDefault="001A6F2C" w:rsidP="001A6F2C">
      <w:pPr>
        <w:rPr>
          <w:rFonts w:ascii="Arial" w:hAnsi="Arial" w:cs="Arial"/>
          <w:sz w:val="22"/>
          <w:szCs w:val="22"/>
        </w:rPr>
      </w:pPr>
      <w:r w:rsidRPr="001A6F2C">
        <w:rPr>
          <w:rFonts w:ascii="Arial" w:hAnsi="Arial" w:cs="Arial"/>
          <w:sz w:val="22"/>
          <w:szCs w:val="22"/>
        </w:rPr>
        <w:t>Risk scores were calculated using the formula:</w:t>
      </w:r>
    </w:p>
    <w:p w14:paraId="40FFE642" w14:textId="77777777" w:rsidR="001A6F2C" w:rsidRPr="001A6F2C" w:rsidRDefault="001A6F2C" w:rsidP="001A6F2C">
      <w:pPr>
        <w:rPr>
          <w:rFonts w:ascii="Arial" w:hAnsi="Arial" w:cs="Arial"/>
          <w:sz w:val="22"/>
          <w:szCs w:val="22"/>
        </w:rPr>
      </w:pPr>
      <w:r w:rsidRPr="001A6F2C">
        <w:rPr>
          <w:rFonts w:ascii="Arial" w:hAnsi="Arial" w:cs="Arial"/>
          <w:b/>
          <w:bCs/>
          <w:sz w:val="22"/>
          <w:szCs w:val="22"/>
        </w:rPr>
        <w:t>Risk Score = Likelihood × Impact</w:t>
      </w:r>
    </w:p>
    <w:p w14:paraId="3431539C"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Risk Rating Scale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858"/>
      </w:tblGrid>
      <w:tr w:rsidR="001A6F2C" w:rsidRPr="001A6F2C" w14:paraId="3371FEC7" w14:textId="77777777">
        <w:trPr>
          <w:tblHeader/>
          <w:tblCellSpacing w:w="15" w:type="dxa"/>
        </w:trPr>
        <w:tc>
          <w:tcPr>
            <w:tcW w:w="0" w:type="auto"/>
            <w:vAlign w:val="center"/>
            <w:hideMark/>
          </w:tcPr>
          <w:p w14:paraId="63616388"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lastRenderedPageBreak/>
              <w:t>Score</w:t>
            </w:r>
          </w:p>
        </w:tc>
        <w:tc>
          <w:tcPr>
            <w:tcW w:w="0" w:type="auto"/>
            <w:vAlign w:val="center"/>
            <w:hideMark/>
          </w:tcPr>
          <w:p w14:paraId="2A344CC6"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Rating</w:t>
            </w:r>
          </w:p>
        </w:tc>
      </w:tr>
      <w:tr w:rsidR="001A6F2C" w:rsidRPr="001A6F2C" w14:paraId="0EF27DC2" w14:textId="77777777">
        <w:trPr>
          <w:tblCellSpacing w:w="15" w:type="dxa"/>
        </w:trPr>
        <w:tc>
          <w:tcPr>
            <w:tcW w:w="0" w:type="auto"/>
            <w:vAlign w:val="center"/>
            <w:hideMark/>
          </w:tcPr>
          <w:p w14:paraId="3747F0A2" w14:textId="77777777" w:rsidR="001A6F2C" w:rsidRPr="001A6F2C" w:rsidRDefault="001A6F2C" w:rsidP="001A6F2C">
            <w:pPr>
              <w:rPr>
                <w:rFonts w:ascii="Arial" w:hAnsi="Arial" w:cs="Arial"/>
                <w:sz w:val="22"/>
                <w:szCs w:val="22"/>
              </w:rPr>
            </w:pPr>
            <w:r w:rsidRPr="001A6F2C">
              <w:rPr>
                <w:rFonts w:ascii="Arial" w:hAnsi="Arial" w:cs="Arial"/>
                <w:sz w:val="22"/>
                <w:szCs w:val="22"/>
              </w:rPr>
              <w:t>1–5</w:t>
            </w:r>
          </w:p>
        </w:tc>
        <w:tc>
          <w:tcPr>
            <w:tcW w:w="0" w:type="auto"/>
            <w:vAlign w:val="center"/>
            <w:hideMark/>
          </w:tcPr>
          <w:p w14:paraId="5DE7569C" w14:textId="77777777" w:rsidR="001A6F2C" w:rsidRPr="001A6F2C" w:rsidRDefault="001A6F2C" w:rsidP="001A6F2C">
            <w:pPr>
              <w:rPr>
                <w:rFonts w:ascii="Arial" w:hAnsi="Arial" w:cs="Arial"/>
                <w:sz w:val="22"/>
                <w:szCs w:val="22"/>
              </w:rPr>
            </w:pPr>
            <w:r w:rsidRPr="001A6F2C">
              <w:rPr>
                <w:rFonts w:ascii="Arial" w:hAnsi="Arial" w:cs="Arial"/>
                <w:sz w:val="22"/>
                <w:szCs w:val="22"/>
              </w:rPr>
              <w:t>Low</w:t>
            </w:r>
          </w:p>
        </w:tc>
      </w:tr>
      <w:tr w:rsidR="001A6F2C" w:rsidRPr="001A6F2C" w14:paraId="6DE6DC5A" w14:textId="77777777">
        <w:trPr>
          <w:tblCellSpacing w:w="15" w:type="dxa"/>
        </w:trPr>
        <w:tc>
          <w:tcPr>
            <w:tcW w:w="0" w:type="auto"/>
            <w:vAlign w:val="center"/>
            <w:hideMark/>
          </w:tcPr>
          <w:p w14:paraId="07CF4236" w14:textId="77777777" w:rsidR="001A6F2C" w:rsidRPr="001A6F2C" w:rsidRDefault="001A6F2C" w:rsidP="001A6F2C">
            <w:pPr>
              <w:rPr>
                <w:rFonts w:ascii="Arial" w:hAnsi="Arial" w:cs="Arial"/>
                <w:sz w:val="22"/>
                <w:szCs w:val="22"/>
              </w:rPr>
            </w:pPr>
            <w:r w:rsidRPr="001A6F2C">
              <w:rPr>
                <w:rFonts w:ascii="Arial" w:hAnsi="Arial" w:cs="Arial"/>
                <w:sz w:val="22"/>
                <w:szCs w:val="22"/>
              </w:rPr>
              <w:t>6–12</w:t>
            </w:r>
          </w:p>
        </w:tc>
        <w:tc>
          <w:tcPr>
            <w:tcW w:w="0" w:type="auto"/>
            <w:vAlign w:val="center"/>
            <w:hideMark/>
          </w:tcPr>
          <w:p w14:paraId="352BD714" w14:textId="77777777" w:rsidR="001A6F2C" w:rsidRPr="001A6F2C" w:rsidRDefault="001A6F2C" w:rsidP="001A6F2C">
            <w:pPr>
              <w:rPr>
                <w:rFonts w:ascii="Arial" w:hAnsi="Arial" w:cs="Arial"/>
                <w:sz w:val="22"/>
                <w:szCs w:val="22"/>
              </w:rPr>
            </w:pPr>
            <w:r w:rsidRPr="001A6F2C">
              <w:rPr>
                <w:rFonts w:ascii="Arial" w:hAnsi="Arial" w:cs="Arial"/>
                <w:sz w:val="22"/>
                <w:szCs w:val="22"/>
              </w:rPr>
              <w:t>Medium</w:t>
            </w:r>
          </w:p>
        </w:tc>
      </w:tr>
      <w:tr w:rsidR="001A6F2C" w:rsidRPr="001A6F2C" w14:paraId="4B29A7B9" w14:textId="77777777">
        <w:trPr>
          <w:tblCellSpacing w:w="15" w:type="dxa"/>
        </w:trPr>
        <w:tc>
          <w:tcPr>
            <w:tcW w:w="0" w:type="auto"/>
            <w:vAlign w:val="center"/>
            <w:hideMark/>
          </w:tcPr>
          <w:p w14:paraId="4CA04A7A" w14:textId="77777777" w:rsidR="001A6F2C" w:rsidRPr="001A6F2C" w:rsidRDefault="001A6F2C" w:rsidP="001A6F2C">
            <w:pPr>
              <w:rPr>
                <w:rFonts w:ascii="Arial" w:hAnsi="Arial" w:cs="Arial"/>
                <w:sz w:val="22"/>
                <w:szCs w:val="22"/>
              </w:rPr>
            </w:pPr>
            <w:r w:rsidRPr="001A6F2C">
              <w:rPr>
                <w:rFonts w:ascii="Arial" w:hAnsi="Arial" w:cs="Arial"/>
                <w:sz w:val="22"/>
                <w:szCs w:val="22"/>
              </w:rPr>
              <w:t>13–19</w:t>
            </w:r>
          </w:p>
        </w:tc>
        <w:tc>
          <w:tcPr>
            <w:tcW w:w="0" w:type="auto"/>
            <w:vAlign w:val="center"/>
            <w:hideMark/>
          </w:tcPr>
          <w:p w14:paraId="3C5605CF" w14:textId="77777777" w:rsidR="001A6F2C" w:rsidRPr="001A6F2C" w:rsidRDefault="001A6F2C" w:rsidP="001A6F2C">
            <w:pPr>
              <w:rPr>
                <w:rFonts w:ascii="Arial" w:hAnsi="Arial" w:cs="Arial"/>
                <w:sz w:val="22"/>
                <w:szCs w:val="22"/>
              </w:rPr>
            </w:pPr>
            <w:r w:rsidRPr="001A6F2C">
              <w:rPr>
                <w:rFonts w:ascii="Arial" w:hAnsi="Arial" w:cs="Arial"/>
                <w:sz w:val="22"/>
                <w:szCs w:val="22"/>
              </w:rPr>
              <w:t>High</w:t>
            </w:r>
          </w:p>
        </w:tc>
      </w:tr>
      <w:tr w:rsidR="001A6F2C" w:rsidRPr="001A6F2C" w14:paraId="01ACB54B" w14:textId="77777777">
        <w:trPr>
          <w:tblCellSpacing w:w="15" w:type="dxa"/>
        </w:trPr>
        <w:tc>
          <w:tcPr>
            <w:tcW w:w="0" w:type="auto"/>
            <w:vAlign w:val="center"/>
            <w:hideMark/>
          </w:tcPr>
          <w:p w14:paraId="18142FAA" w14:textId="77777777" w:rsidR="001A6F2C" w:rsidRPr="001A6F2C" w:rsidRDefault="001A6F2C" w:rsidP="001A6F2C">
            <w:pPr>
              <w:rPr>
                <w:rFonts w:ascii="Arial" w:hAnsi="Arial" w:cs="Arial"/>
                <w:sz w:val="22"/>
                <w:szCs w:val="22"/>
              </w:rPr>
            </w:pPr>
            <w:r w:rsidRPr="001A6F2C">
              <w:rPr>
                <w:rFonts w:ascii="Arial" w:hAnsi="Arial" w:cs="Arial"/>
                <w:sz w:val="22"/>
                <w:szCs w:val="22"/>
              </w:rPr>
              <w:t>20–25</w:t>
            </w:r>
          </w:p>
        </w:tc>
        <w:tc>
          <w:tcPr>
            <w:tcW w:w="0" w:type="auto"/>
            <w:vAlign w:val="center"/>
            <w:hideMark/>
          </w:tcPr>
          <w:p w14:paraId="59753CDC" w14:textId="77777777" w:rsidR="001A6F2C" w:rsidRPr="001A6F2C" w:rsidRDefault="001A6F2C" w:rsidP="001A6F2C">
            <w:pPr>
              <w:rPr>
                <w:rFonts w:ascii="Arial" w:hAnsi="Arial" w:cs="Arial"/>
                <w:sz w:val="22"/>
                <w:szCs w:val="22"/>
              </w:rPr>
            </w:pPr>
            <w:r w:rsidRPr="001A6F2C">
              <w:rPr>
                <w:rFonts w:ascii="Arial" w:hAnsi="Arial" w:cs="Arial"/>
                <w:sz w:val="22"/>
                <w:szCs w:val="22"/>
              </w:rPr>
              <w:t>Critical</w:t>
            </w:r>
          </w:p>
        </w:tc>
      </w:tr>
    </w:tbl>
    <w:p w14:paraId="59B3AAE7"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Data Sources</w:t>
      </w:r>
    </w:p>
    <w:p w14:paraId="5CB043A6" w14:textId="77777777" w:rsidR="001A6F2C" w:rsidRPr="001A6F2C" w:rsidRDefault="001A6F2C" w:rsidP="001A6F2C">
      <w:pPr>
        <w:numPr>
          <w:ilvl w:val="0"/>
          <w:numId w:val="2"/>
        </w:numPr>
        <w:rPr>
          <w:rFonts w:ascii="Arial" w:hAnsi="Arial" w:cs="Arial"/>
          <w:sz w:val="22"/>
          <w:szCs w:val="22"/>
        </w:rPr>
      </w:pPr>
      <w:r w:rsidRPr="001A6F2C">
        <w:rPr>
          <w:rFonts w:ascii="Arial" w:hAnsi="Arial" w:cs="Arial"/>
          <w:sz w:val="22"/>
          <w:szCs w:val="22"/>
        </w:rPr>
        <w:t>Stakeholder interview responses</w:t>
      </w:r>
    </w:p>
    <w:p w14:paraId="71201F14" w14:textId="77777777" w:rsidR="001A6F2C" w:rsidRPr="001A6F2C" w:rsidRDefault="001A6F2C" w:rsidP="001A6F2C">
      <w:pPr>
        <w:numPr>
          <w:ilvl w:val="0"/>
          <w:numId w:val="2"/>
        </w:numPr>
        <w:rPr>
          <w:rFonts w:ascii="Arial" w:hAnsi="Arial" w:cs="Arial"/>
          <w:sz w:val="22"/>
          <w:szCs w:val="22"/>
        </w:rPr>
      </w:pPr>
      <w:r w:rsidRPr="001A6F2C">
        <w:rPr>
          <w:rFonts w:ascii="Arial" w:hAnsi="Arial" w:cs="Arial"/>
          <w:sz w:val="22"/>
          <w:szCs w:val="22"/>
        </w:rPr>
        <w:t>Cloud Security Architecture Review</w:t>
      </w:r>
    </w:p>
    <w:p w14:paraId="7855320E" w14:textId="77777777" w:rsidR="001A6F2C" w:rsidRPr="001A6F2C" w:rsidRDefault="001A6F2C" w:rsidP="001A6F2C">
      <w:pPr>
        <w:numPr>
          <w:ilvl w:val="0"/>
          <w:numId w:val="2"/>
        </w:numPr>
        <w:rPr>
          <w:rFonts w:ascii="Arial" w:hAnsi="Arial" w:cs="Arial"/>
          <w:sz w:val="22"/>
          <w:szCs w:val="22"/>
        </w:rPr>
      </w:pPr>
      <w:r w:rsidRPr="001A6F2C">
        <w:rPr>
          <w:rFonts w:ascii="Arial" w:hAnsi="Arial" w:cs="Arial"/>
          <w:sz w:val="22"/>
          <w:szCs w:val="22"/>
        </w:rPr>
        <w:t>System documentation and environment overview</w:t>
      </w:r>
    </w:p>
    <w:p w14:paraId="776E4396" w14:textId="77777777" w:rsidR="001A6F2C" w:rsidRPr="001A6F2C" w:rsidRDefault="001A6F2C" w:rsidP="001A6F2C">
      <w:pPr>
        <w:numPr>
          <w:ilvl w:val="0"/>
          <w:numId w:val="2"/>
        </w:numPr>
        <w:rPr>
          <w:rFonts w:ascii="Arial" w:hAnsi="Arial" w:cs="Arial"/>
          <w:sz w:val="22"/>
          <w:szCs w:val="22"/>
        </w:rPr>
      </w:pPr>
      <w:r w:rsidRPr="001A6F2C">
        <w:rPr>
          <w:rFonts w:ascii="Arial" w:hAnsi="Arial" w:cs="Arial"/>
          <w:sz w:val="22"/>
          <w:szCs w:val="22"/>
        </w:rPr>
        <w:t>Regulatory frameworks (Privacy Act, healthcare requirements)</w:t>
      </w:r>
    </w:p>
    <w:p w14:paraId="5C23BF1C" w14:textId="77777777" w:rsidR="001A6F2C" w:rsidRPr="001A6F2C" w:rsidRDefault="001A6F2C" w:rsidP="001A6F2C">
      <w:pPr>
        <w:rPr>
          <w:rFonts w:ascii="Arial" w:hAnsi="Arial" w:cs="Arial"/>
          <w:sz w:val="22"/>
          <w:szCs w:val="22"/>
        </w:rPr>
      </w:pPr>
      <w:r w:rsidRPr="001A6F2C">
        <w:rPr>
          <w:rFonts w:ascii="Arial" w:hAnsi="Arial" w:cs="Arial"/>
          <w:sz w:val="22"/>
          <w:szCs w:val="22"/>
        </w:rPr>
        <w:pict w14:anchorId="6FC7FF5E">
          <v:rect id="_x0000_i1063" style="width:0;height:1.5pt" o:hralign="center" o:hrstd="t" o:hr="t" fillcolor="#a0a0a0" stroked="f"/>
        </w:pict>
      </w:r>
    </w:p>
    <w:p w14:paraId="62678B7B"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3. Threat Landscape</w:t>
      </w:r>
    </w:p>
    <w:p w14:paraId="395EE69E" w14:textId="77777777" w:rsidR="001A6F2C" w:rsidRPr="001A6F2C" w:rsidRDefault="001A6F2C" w:rsidP="001A6F2C">
      <w:pPr>
        <w:rPr>
          <w:rFonts w:ascii="Arial" w:hAnsi="Arial" w:cs="Arial"/>
          <w:sz w:val="22"/>
          <w:szCs w:val="22"/>
        </w:rPr>
      </w:pPr>
      <w:r w:rsidRPr="001A6F2C">
        <w:rPr>
          <w:rFonts w:ascii="Arial" w:hAnsi="Arial" w:cs="Arial"/>
          <w:sz w:val="22"/>
          <w:szCs w:val="22"/>
        </w:rPr>
        <w:t>Healthcare organisations in Australia are increasingly targeted by cyber threats due to the high value of patient data. External threats include ransomware attacks, phishing campaigns, and credential theft, all of which commonly exploit weak authentication and misconfigured cloud environments.</w:t>
      </w:r>
    </w:p>
    <w:p w14:paraId="08C21BAF" w14:textId="77777777" w:rsidR="001A6F2C" w:rsidRPr="001A6F2C" w:rsidRDefault="001A6F2C" w:rsidP="001A6F2C">
      <w:pPr>
        <w:rPr>
          <w:rFonts w:ascii="Arial" w:hAnsi="Arial" w:cs="Arial"/>
          <w:sz w:val="22"/>
          <w:szCs w:val="22"/>
        </w:rPr>
      </w:pPr>
      <w:r w:rsidRPr="001A6F2C">
        <w:rPr>
          <w:rFonts w:ascii="Arial" w:hAnsi="Arial" w:cs="Arial"/>
          <w:sz w:val="22"/>
          <w:szCs w:val="22"/>
        </w:rPr>
        <w:t>Internally, risks are driven by human factors and operational practices. These include accidental data exposure, lack of user awareness, and informal processes for managing access and data. The presence of shadow IT practices — such as storing patient data locally — further increases exposure by bypassing centralised controls.</w:t>
      </w:r>
    </w:p>
    <w:p w14:paraId="19ACCBB6" w14:textId="77777777" w:rsidR="001A6F2C" w:rsidRPr="001A6F2C" w:rsidRDefault="001A6F2C" w:rsidP="001A6F2C">
      <w:pPr>
        <w:rPr>
          <w:rFonts w:ascii="Arial" w:hAnsi="Arial" w:cs="Arial"/>
          <w:sz w:val="22"/>
          <w:szCs w:val="22"/>
        </w:rPr>
      </w:pPr>
      <w:r w:rsidRPr="001A6F2C">
        <w:rPr>
          <w:rFonts w:ascii="Arial" w:hAnsi="Arial" w:cs="Arial"/>
          <w:sz w:val="22"/>
          <w:szCs w:val="22"/>
        </w:rPr>
        <w:t>From a regulatory perspective, failure to adequately protect patient information can result in significant consequences under the Notifiable Data Breaches (NDB) scheme. These include mandatory reporting, reputational damage, and potential enforcement actions. The clinic’s upcoming regulatory audit further increases the urgency of addressing identified risks.</w:t>
      </w:r>
    </w:p>
    <w:p w14:paraId="150FD55E" w14:textId="77777777" w:rsidR="001A6F2C" w:rsidRPr="001A6F2C" w:rsidRDefault="001A6F2C" w:rsidP="001A6F2C">
      <w:pPr>
        <w:rPr>
          <w:rFonts w:ascii="Arial" w:hAnsi="Arial" w:cs="Arial"/>
          <w:sz w:val="22"/>
          <w:szCs w:val="22"/>
        </w:rPr>
      </w:pPr>
      <w:r w:rsidRPr="001A6F2C">
        <w:rPr>
          <w:rFonts w:ascii="Arial" w:hAnsi="Arial" w:cs="Arial"/>
          <w:sz w:val="22"/>
          <w:szCs w:val="22"/>
        </w:rPr>
        <w:pict w14:anchorId="669CB78D">
          <v:rect id="_x0000_i1064" style="width:0;height:1.5pt" o:hralign="center" o:hrstd="t" o:hr="t" fillcolor="#a0a0a0" stroked="f"/>
        </w:pict>
      </w:r>
    </w:p>
    <w:p w14:paraId="1B793F3B"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4. Risk Assessment Table (Final — Iteration 3)</w:t>
      </w:r>
    </w:p>
    <w:tbl>
      <w:tblPr>
        <w:tblStyle w:val="GridTable5Dark-Accent1"/>
        <w:tblW w:w="0" w:type="auto"/>
        <w:tblLook w:val="04A0" w:firstRow="1" w:lastRow="0" w:firstColumn="1" w:lastColumn="0" w:noHBand="0" w:noVBand="1"/>
      </w:tblPr>
      <w:tblGrid>
        <w:gridCol w:w="752"/>
        <w:gridCol w:w="2617"/>
        <w:gridCol w:w="1578"/>
        <w:gridCol w:w="1316"/>
        <w:gridCol w:w="926"/>
        <w:gridCol w:w="828"/>
        <w:gridCol w:w="999"/>
      </w:tblGrid>
      <w:tr w:rsidR="001A6F2C" w:rsidRPr="001A6F2C" w14:paraId="4EA06D74" w14:textId="77777777" w:rsidTr="001A6F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7B8A3C"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Risk ID</w:t>
            </w:r>
          </w:p>
        </w:tc>
        <w:tc>
          <w:tcPr>
            <w:tcW w:w="0" w:type="auto"/>
            <w:hideMark/>
          </w:tcPr>
          <w:p w14:paraId="3F72E46E" w14:textId="77777777" w:rsidR="001A6F2C" w:rsidRPr="001A6F2C" w:rsidRDefault="001A6F2C" w:rsidP="001A6F2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Description</w:t>
            </w:r>
          </w:p>
        </w:tc>
        <w:tc>
          <w:tcPr>
            <w:tcW w:w="0" w:type="auto"/>
            <w:hideMark/>
          </w:tcPr>
          <w:p w14:paraId="35B2387D" w14:textId="77777777" w:rsidR="001A6F2C" w:rsidRPr="001A6F2C" w:rsidRDefault="001A6F2C" w:rsidP="001A6F2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Category</w:t>
            </w:r>
          </w:p>
        </w:tc>
        <w:tc>
          <w:tcPr>
            <w:tcW w:w="0" w:type="auto"/>
            <w:hideMark/>
          </w:tcPr>
          <w:p w14:paraId="112DD5CD" w14:textId="77777777" w:rsidR="001A6F2C" w:rsidRPr="001A6F2C" w:rsidRDefault="001A6F2C" w:rsidP="001A6F2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Likelihood</w:t>
            </w:r>
          </w:p>
        </w:tc>
        <w:tc>
          <w:tcPr>
            <w:tcW w:w="0" w:type="auto"/>
            <w:hideMark/>
          </w:tcPr>
          <w:p w14:paraId="266FCA67" w14:textId="77777777" w:rsidR="001A6F2C" w:rsidRPr="001A6F2C" w:rsidRDefault="001A6F2C" w:rsidP="001A6F2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Impact</w:t>
            </w:r>
          </w:p>
        </w:tc>
        <w:tc>
          <w:tcPr>
            <w:tcW w:w="0" w:type="auto"/>
            <w:hideMark/>
          </w:tcPr>
          <w:p w14:paraId="29B49C59" w14:textId="77777777" w:rsidR="001A6F2C" w:rsidRPr="001A6F2C" w:rsidRDefault="001A6F2C" w:rsidP="001A6F2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Score</w:t>
            </w:r>
          </w:p>
        </w:tc>
        <w:tc>
          <w:tcPr>
            <w:tcW w:w="0" w:type="auto"/>
            <w:hideMark/>
          </w:tcPr>
          <w:p w14:paraId="10DECE63" w14:textId="77777777" w:rsidR="001A6F2C" w:rsidRPr="001A6F2C" w:rsidRDefault="001A6F2C" w:rsidP="001A6F2C">
            <w:pPr>
              <w:spacing w:after="160" w:line="278" w:lineRule="auto"/>
              <w:cnfStyle w:val="100000000000" w:firstRow="1"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Rating</w:t>
            </w:r>
          </w:p>
        </w:tc>
      </w:tr>
      <w:tr w:rsidR="001A6F2C" w:rsidRPr="001A6F2C" w14:paraId="3DC0A9D6" w14:textId="77777777" w:rsidTr="001A6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3CB89"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R01</w:t>
            </w:r>
          </w:p>
        </w:tc>
        <w:tc>
          <w:tcPr>
            <w:tcW w:w="0" w:type="auto"/>
            <w:hideMark/>
          </w:tcPr>
          <w:p w14:paraId="6FF44326"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No MFA enforced on Azure AD accounts</w:t>
            </w:r>
          </w:p>
        </w:tc>
        <w:tc>
          <w:tcPr>
            <w:tcW w:w="0" w:type="auto"/>
            <w:hideMark/>
          </w:tcPr>
          <w:p w14:paraId="08C0F6BA"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Cloud / Identity</w:t>
            </w:r>
          </w:p>
        </w:tc>
        <w:tc>
          <w:tcPr>
            <w:tcW w:w="0" w:type="auto"/>
            <w:hideMark/>
          </w:tcPr>
          <w:p w14:paraId="6DC60307"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606F0BFE"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5</w:t>
            </w:r>
          </w:p>
        </w:tc>
        <w:tc>
          <w:tcPr>
            <w:tcW w:w="0" w:type="auto"/>
            <w:hideMark/>
          </w:tcPr>
          <w:p w14:paraId="1F2BF135"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20</w:t>
            </w:r>
          </w:p>
        </w:tc>
        <w:tc>
          <w:tcPr>
            <w:tcW w:w="0" w:type="auto"/>
            <w:hideMark/>
          </w:tcPr>
          <w:p w14:paraId="73D1413D"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Critical</w:t>
            </w:r>
          </w:p>
        </w:tc>
      </w:tr>
      <w:tr w:rsidR="001A6F2C" w:rsidRPr="001A6F2C" w14:paraId="537E7FB0" w14:textId="77777777" w:rsidTr="001A6F2C">
        <w:tc>
          <w:tcPr>
            <w:cnfStyle w:val="001000000000" w:firstRow="0" w:lastRow="0" w:firstColumn="1" w:lastColumn="0" w:oddVBand="0" w:evenVBand="0" w:oddHBand="0" w:evenHBand="0" w:firstRowFirstColumn="0" w:firstRowLastColumn="0" w:lastRowFirstColumn="0" w:lastRowLastColumn="0"/>
            <w:tcW w:w="0" w:type="auto"/>
            <w:hideMark/>
          </w:tcPr>
          <w:p w14:paraId="23404724"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R02</w:t>
            </w:r>
          </w:p>
        </w:tc>
        <w:tc>
          <w:tcPr>
            <w:tcW w:w="0" w:type="auto"/>
            <w:hideMark/>
          </w:tcPr>
          <w:p w14:paraId="73F60618"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Azure Blob Storage publicly accessible</w:t>
            </w:r>
          </w:p>
        </w:tc>
        <w:tc>
          <w:tcPr>
            <w:tcW w:w="0" w:type="auto"/>
            <w:hideMark/>
          </w:tcPr>
          <w:p w14:paraId="4054B4A4"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Cloud / Data</w:t>
            </w:r>
          </w:p>
        </w:tc>
        <w:tc>
          <w:tcPr>
            <w:tcW w:w="0" w:type="auto"/>
            <w:hideMark/>
          </w:tcPr>
          <w:p w14:paraId="0CA2BD0A"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5A3AEAB8"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5</w:t>
            </w:r>
          </w:p>
        </w:tc>
        <w:tc>
          <w:tcPr>
            <w:tcW w:w="0" w:type="auto"/>
            <w:hideMark/>
          </w:tcPr>
          <w:p w14:paraId="214B76A1"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20</w:t>
            </w:r>
          </w:p>
        </w:tc>
        <w:tc>
          <w:tcPr>
            <w:tcW w:w="0" w:type="auto"/>
            <w:hideMark/>
          </w:tcPr>
          <w:p w14:paraId="6712B389"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Critical</w:t>
            </w:r>
          </w:p>
        </w:tc>
      </w:tr>
      <w:tr w:rsidR="001A6F2C" w:rsidRPr="001A6F2C" w14:paraId="2ACEA844" w14:textId="77777777" w:rsidTr="001A6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55283"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R03</w:t>
            </w:r>
          </w:p>
        </w:tc>
        <w:tc>
          <w:tcPr>
            <w:tcW w:w="0" w:type="auto"/>
            <w:hideMark/>
          </w:tcPr>
          <w:p w14:paraId="7C6B41AE"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Permissive NSG rules (RDP open to internet)</w:t>
            </w:r>
          </w:p>
        </w:tc>
        <w:tc>
          <w:tcPr>
            <w:tcW w:w="0" w:type="auto"/>
            <w:hideMark/>
          </w:tcPr>
          <w:p w14:paraId="39C3A51A"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Cloud / Network</w:t>
            </w:r>
          </w:p>
        </w:tc>
        <w:tc>
          <w:tcPr>
            <w:tcW w:w="0" w:type="auto"/>
            <w:hideMark/>
          </w:tcPr>
          <w:p w14:paraId="21A197B6"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4F45DC9C"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462D2F0D"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16</w:t>
            </w:r>
          </w:p>
        </w:tc>
        <w:tc>
          <w:tcPr>
            <w:tcW w:w="0" w:type="auto"/>
            <w:hideMark/>
          </w:tcPr>
          <w:p w14:paraId="4E72F285"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High</w:t>
            </w:r>
          </w:p>
        </w:tc>
      </w:tr>
      <w:tr w:rsidR="001A6F2C" w:rsidRPr="001A6F2C" w14:paraId="54E8E60C" w14:textId="77777777" w:rsidTr="001A6F2C">
        <w:tc>
          <w:tcPr>
            <w:cnfStyle w:val="001000000000" w:firstRow="0" w:lastRow="0" w:firstColumn="1" w:lastColumn="0" w:oddVBand="0" w:evenVBand="0" w:oddHBand="0" w:evenHBand="0" w:firstRowFirstColumn="0" w:firstRowLastColumn="0" w:lastRowFirstColumn="0" w:lastRowLastColumn="0"/>
            <w:tcW w:w="0" w:type="auto"/>
            <w:hideMark/>
          </w:tcPr>
          <w:p w14:paraId="551A0B46"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lastRenderedPageBreak/>
              <w:t>R04</w:t>
            </w:r>
          </w:p>
        </w:tc>
        <w:tc>
          <w:tcPr>
            <w:tcW w:w="0" w:type="auto"/>
            <w:hideMark/>
          </w:tcPr>
          <w:p w14:paraId="632F5CB6"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Flat network (no VLAN segmentation)</w:t>
            </w:r>
          </w:p>
        </w:tc>
        <w:tc>
          <w:tcPr>
            <w:tcW w:w="0" w:type="auto"/>
            <w:hideMark/>
          </w:tcPr>
          <w:p w14:paraId="2B049B9E"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Network</w:t>
            </w:r>
          </w:p>
        </w:tc>
        <w:tc>
          <w:tcPr>
            <w:tcW w:w="0" w:type="auto"/>
            <w:hideMark/>
          </w:tcPr>
          <w:p w14:paraId="6AD2CCA5"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3401C463"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42D7D9EA"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12</w:t>
            </w:r>
          </w:p>
        </w:tc>
        <w:tc>
          <w:tcPr>
            <w:tcW w:w="0" w:type="auto"/>
            <w:hideMark/>
          </w:tcPr>
          <w:p w14:paraId="6DCFB894"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r w:rsidR="001A6F2C" w:rsidRPr="001A6F2C" w14:paraId="4D520C84" w14:textId="77777777" w:rsidTr="001A6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CE43F0"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R05</w:t>
            </w:r>
          </w:p>
        </w:tc>
        <w:tc>
          <w:tcPr>
            <w:tcW w:w="0" w:type="auto"/>
            <w:hideMark/>
          </w:tcPr>
          <w:p w14:paraId="5510FF0A"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No TLS encryption for internal services</w:t>
            </w:r>
          </w:p>
        </w:tc>
        <w:tc>
          <w:tcPr>
            <w:tcW w:w="0" w:type="auto"/>
            <w:hideMark/>
          </w:tcPr>
          <w:p w14:paraId="08150CF6"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Network / Data</w:t>
            </w:r>
          </w:p>
        </w:tc>
        <w:tc>
          <w:tcPr>
            <w:tcW w:w="0" w:type="auto"/>
            <w:hideMark/>
          </w:tcPr>
          <w:p w14:paraId="2A9EE32E"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2C7E1CD3"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7D249E92"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12</w:t>
            </w:r>
          </w:p>
        </w:tc>
        <w:tc>
          <w:tcPr>
            <w:tcW w:w="0" w:type="auto"/>
            <w:hideMark/>
          </w:tcPr>
          <w:p w14:paraId="00E431AB"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r w:rsidR="001A6F2C" w:rsidRPr="001A6F2C" w14:paraId="32D2EC4C" w14:textId="77777777" w:rsidTr="001A6F2C">
        <w:tc>
          <w:tcPr>
            <w:cnfStyle w:val="001000000000" w:firstRow="0" w:lastRow="0" w:firstColumn="1" w:lastColumn="0" w:oddVBand="0" w:evenVBand="0" w:oddHBand="0" w:evenHBand="0" w:firstRowFirstColumn="0" w:firstRowLastColumn="0" w:lastRowFirstColumn="0" w:lastRowLastColumn="0"/>
            <w:tcW w:w="0" w:type="auto"/>
            <w:hideMark/>
          </w:tcPr>
          <w:p w14:paraId="5FB701EA"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R06</w:t>
            </w:r>
          </w:p>
        </w:tc>
        <w:tc>
          <w:tcPr>
            <w:tcW w:w="0" w:type="auto"/>
            <w:hideMark/>
          </w:tcPr>
          <w:p w14:paraId="0AD14AC6"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Unpatched workstations</w:t>
            </w:r>
          </w:p>
        </w:tc>
        <w:tc>
          <w:tcPr>
            <w:tcW w:w="0" w:type="auto"/>
            <w:hideMark/>
          </w:tcPr>
          <w:p w14:paraId="1A2E3C76"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Endpoint</w:t>
            </w:r>
          </w:p>
        </w:tc>
        <w:tc>
          <w:tcPr>
            <w:tcW w:w="0" w:type="auto"/>
            <w:hideMark/>
          </w:tcPr>
          <w:p w14:paraId="7AD24CFC"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70E062BE"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6B391552"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16</w:t>
            </w:r>
          </w:p>
        </w:tc>
        <w:tc>
          <w:tcPr>
            <w:tcW w:w="0" w:type="auto"/>
            <w:hideMark/>
          </w:tcPr>
          <w:p w14:paraId="07F3E633"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High</w:t>
            </w:r>
          </w:p>
        </w:tc>
      </w:tr>
      <w:tr w:rsidR="001A6F2C" w:rsidRPr="001A6F2C" w14:paraId="471F7DDA" w14:textId="77777777" w:rsidTr="001A6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BFFB2C"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R07</w:t>
            </w:r>
          </w:p>
        </w:tc>
        <w:tc>
          <w:tcPr>
            <w:tcW w:w="0" w:type="auto"/>
            <w:hideMark/>
          </w:tcPr>
          <w:p w14:paraId="40139F7A"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No formal offboarding / inactive accounts</w:t>
            </w:r>
          </w:p>
        </w:tc>
        <w:tc>
          <w:tcPr>
            <w:tcW w:w="0" w:type="auto"/>
            <w:hideMark/>
          </w:tcPr>
          <w:p w14:paraId="4BD9D2A7"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Identity</w:t>
            </w:r>
          </w:p>
        </w:tc>
        <w:tc>
          <w:tcPr>
            <w:tcW w:w="0" w:type="auto"/>
            <w:hideMark/>
          </w:tcPr>
          <w:p w14:paraId="7E732782"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22BF9413"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2AA05B78"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12</w:t>
            </w:r>
          </w:p>
        </w:tc>
        <w:tc>
          <w:tcPr>
            <w:tcW w:w="0" w:type="auto"/>
            <w:hideMark/>
          </w:tcPr>
          <w:p w14:paraId="64E1D7C5"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r w:rsidR="001A6F2C" w:rsidRPr="001A6F2C" w14:paraId="3EFAAA67" w14:textId="77777777" w:rsidTr="001A6F2C">
        <w:tc>
          <w:tcPr>
            <w:cnfStyle w:val="001000000000" w:firstRow="0" w:lastRow="0" w:firstColumn="1" w:lastColumn="0" w:oddVBand="0" w:evenVBand="0" w:oddHBand="0" w:evenHBand="0" w:firstRowFirstColumn="0" w:firstRowLastColumn="0" w:lastRowFirstColumn="0" w:lastRowLastColumn="0"/>
            <w:tcW w:w="0" w:type="auto"/>
            <w:hideMark/>
          </w:tcPr>
          <w:p w14:paraId="1E2BF382"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R08</w:t>
            </w:r>
          </w:p>
        </w:tc>
        <w:tc>
          <w:tcPr>
            <w:tcW w:w="0" w:type="auto"/>
            <w:hideMark/>
          </w:tcPr>
          <w:p w14:paraId="17297781"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No incident response plan</w:t>
            </w:r>
          </w:p>
        </w:tc>
        <w:tc>
          <w:tcPr>
            <w:tcW w:w="0" w:type="auto"/>
            <w:hideMark/>
          </w:tcPr>
          <w:p w14:paraId="2CDA48F6"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Governance</w:t>
            </w:r>
          </w:p>
        </w:tc>
        <w:tc>
          <w:tcPr>
            <w:tcW w:w="0" w:type="auto"/>
            <w:hideMark/>
          </w:tcPr>
          <w:p w14:paraId="4D2DC894"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7074ACFB"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471D0382"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16</w:t>
            </w:r>
          </w:p>
        </w:tc>
        <w:tc>
          <w:tcPr>
            <w:tcW w:w="0" w:type="auto"/>
            <w:hideMark/>
          </w:tcPr>
          <w:p w14:paraId="3F1C627A"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High</w:t>
            </w:r>
          </w:p>
        </w:tc>
      </w:tr>
      <w:tr w:rsidR="001A6F2C" w:rsidRPr="001A6F2C" w14:paraId="725ECB7E" w14:textId="77777777" w:rsidTr="001A6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680138"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R09</w:t>
            </w:r>
          </w:p>
        </w:tc>
        <w:tc>
          <w:tcPr>
            <w:tcW w:w="0" w:type="auto"/>
            <w:hideMark/>
          </w:tcPr>
          <w:p w14:paraId="7E0385F9"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VPN not reviewed / weak configuration</w:t>
            </w:r>
          </w:p>
        </w:tc>
        <w:tc>
          <w:tcPr>
            <w:tcW w:w="0" w:type="auto"/>
            <w:hideMark/>
          </w:tcPr>
          <w:p w14:paraId="6837B058"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Network</w:t>
            </w:r>
          </w:p>
        </w:tc>
        <w:tc>
          <w:tcPr>
            <w:tcW w:w="0" w:type="auto"/>
            <w:hideMark/>
          </w:tcPr>
          <w:p w14:paraId="3B7508CB"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13DF3202"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748E3D88"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12</w:t>
            </w:r>
          </w:p>
        </w:tc>
        <w:tc>
          <w:tcPr>
            <w:tcW w:w="0" w:type="auto"/>
            <w:hideMark/>
          </w:tcPr>
          <w:p w14:paraId="0FDB7D33"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r w:rsidR="001A6F2C" w:rsidRPr="001A6F2C" w14:paraId="4FCB2A0F" w14:textId="77777777" w:rsidTr="001A6F2C">
        <w:tc>
          <w:tcPr>
            <w:cnfStyle w:val="001000000000" w:firstRow="0" w:lastRow="0" w:firstColumn="1" w:lastColumn="0" w:oddVBand="0" w:evenVBand="0" w:oddHBand="0" w:evenHBand="0" w:firstRowFirstColumn="0" w:firstRowLastColumn="0" w:lastRowFirstColumn="0" w:lastRowLastColumn="0"/>
            <w:tcW w:w="0" w:type="auto"/>
            <w:hideMark/>
          </w:tcPr>
          <w:p w14:paraId="39B182EE"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R10</w:t>
            </w:r>
          </w:p>
        </w:tc>
        <w:tc>
          <w:tcPr>
            <w:tcW w:w="0" w:type="auto"/>
            <w:hideMark/>
          </w:tcPr>
          <w:p w14:paraId="69F8BC80"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No cybersecurity awareness training</w:t>
            </w:r>
          </w:p>
        </w:tc>
        <w:tc>
          <w:tcPr>
            <w:tcW w:w="0" w:type="auto"/>
            <w:hideMark/>
          </w:tcPr>
          <w:p w14:paraId="066464C1"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People</w:t>
            </w:r>
          </w:p>
        </w:tc>
        <w:tc>
          <w:tcPr>
            <w:tcW w:w="0" w:type="auto"/>
            <w:hideMark/>
          </w:tcPr>
          <w:p w14:paraId="5479E2F4"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6304963C"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420475B5"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9</w:t>
            </w:r>
          </w:p>
        </w:tc>
        <w:tc>
          <w:tcPr>
            <w:tcW w:w="0" w:type="auto"/>
            <w:hideMark/>
          </w:tcPr>
          <w:p w14:paraId="40246889"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r w:rsidR="001A6F2C" w:rsidRPr="001A6F2C" w14:paraId="7554F251" w14:textId="77777777" w:rsidTr="001A6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195691"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R11</w:t>
            </w:r>
          </w:p>
        </w:tc>
        <w:tc>
          <w:tcPr>
            <w:tcW w:w="0" w:type="auto"/>
            <w:hideMark/>
          </w:tcPr>
          <w:p w14:paraId="271ADFB4"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Unmanaged network switches</w:t>
            </w:r>
          </w:p>
        </w:tc>
        <w:tc>
          <w:tcPr>
            <w:tcW w:w="0" w:type="auto"/>
            <w:hideMark/>
          </w:tcPr>
          <w:p w14:paraId="4D04CCDD"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Network</w:t>
            </w:r>
          </w:p>
        </w:tc>
        <w:tc>
          <w:tcPr>
            <w:tcW w:w="0" w:type="auto"/>
            <w:hideMark/>
          </w:tcPr>
          <w:p w14:paraId="4C341745"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056D9BDE"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59015968"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9</w:t>
            </w:r>
          </w:p>
        </w:tc>
        <w:tc>
          <w:tcPr>
            <w:tcW w:w="0" w:type="auto"/>
            <w:hideMark/>
          </w:tcPr>
          <w:p w14:paraId="23CFC8BE"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r w:rsidR="001A6F2C" w:rsidRPr="001A6F2C" w14:paraId="0C9DAC77" w14:textId="77777777" w:rsidTr="001A6F2C">
        <w:tc>
          <w:tcPr>
            <w:cnfStyle w:val="001000000000" w:firstRow="0" w:lastRow="0" w:firstColumn="1" w:lastColumn="0" w:oddVBand="0" w:evenVBand="0" w:oddHBand="0" w:evenHBand="0" w:firstRowFirstColumn="0" w:firstRowLastColumn="0" w:lastRowFirstColumn="0" w:lastRowLastColumn="0"/>
            <w:tcW w:w="0" w:type="auto"/>
            <w:hideMark/>
          </w:tcPr>
          <w:p w14:paraId="56E110B3"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R12</w:t>
            </w:r>
          </w:p>
        </w:tc>
        <w:tc>
          <w:tcPr>
            <w:tcW w:w="0" w:type="auto"/>
            <w:hideMark/>
          </w:tcPr>
          <w:p w14:paraId="134A85DC"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Backups not tested</w:t>
            </w:r>
          </w:p>
        </w:tc>
        <w:tc>
          <w:tcPr>
            <w:tcW w:w="0" w:type="auto"/>
            <w:hideMark/>
          </w:tcPr>
          <w:p w14:paraId="2CFE12CD"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Data / Continuity</w:t>
            </w:r>
          </w:p>
        </w:tc>
        <w:tc>
          <w:tcPr>
            <w:tcW w:w="0" w:type="auto"/>
            <w:hideMark/>
          </w:tcPr>
          <w:p w14:paraId="2A24200F"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46EEB445"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4E868638"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16</w:t>
            </w:r>
          </w:p>
        </w:tc>
        <w:tc>
          <w:tcPr>
            <w:tcW w:w="0" w:type="auto"/>
            <w:hideMark/>
          </w:tcPr>
          <w:p w14:paraId="19D7F34E"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High</w:t>
            </w:r>
          </w:p>
        </w:tc>
      </w:tr>
      <w:tr w:rsidR="001A6F2C" w:rsidRPr="001A6F2C" w14:paraId="0FA150AA" w14:textId="77777777" w:rsidTr="001A6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DFC64"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R13</w:t>
            </w:r>
          </w:p>
        </w:tc>
        <w:tc>
          <w:tcPr>
            <w:tcW w:w="0" w:type="auto"/>
            <w:hideMark/>
          </w:tcPr>
          <w:p w14:paraId="1FF853C8"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Shadow IT (local storage of patient data)</w:t>
            </w:r>
          </w:p>
        </w:tc>
        <w:tc>
          <w:tcPr>
            <w:tcW w:w="0" w:type="auto"/>
            <w:hideMark/>
          </w:tcPr>
          <w:p w14:paraId="14B2F620"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Governance / Data</w:t>
            </w:r>
          </w:p>
        </w:tc>
        <w:tc>
          <w:tcPr>
            <w:tcW w:w="0" w:type="auto"/>
            <w:hideMark/>
          </w:tcPr>
          <w:p w14:paraId="3098F4A1"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76ED9781"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13DA39F6"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12</w:t>
            </w:r>
          </w:p>
        </w:tc>
        <w:tc>
          <w:tcPr>
            <w:tcW w:w="0" w:type="auto"/>
            <w:hideMark/>
          </w:tcPr>
          <w:p w14:paraId="35EE3CDA"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r w:rsidR="001A6F2C" w:rsidRPr="001A6F2C" w14:paraId="282ED619" w14:textId="77777777" w:rsidTr="001A6F2C">
        <w:tc>
          <w:tcPr>
            <w:cnfStyle w:val="001000000000" w:firstRow="0" w:lastRow="0" w:firstColumn="1" w:lastColumn="0" w:oddVBand="0" w:evenVBand="0" w:oddHBand="0" w:evenHBand="0" w:firstRowFirstColumn="0" w:firstRowLastColumn="0" w:lastRowFirstColumn="0" w:lastRowLastColumn="0"/>
            <w:tcW w:w="0" w:type="auto"/>
            <w:hideMark/>
          </w:tcPr>
          <w:p w14:paraId="3AA03897"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R14</w:t>
            </w:r>
          </w:p>
        </w:tc>
        <w:tc>
          <w:tcPr>
            <w:tcW w:w="0" w:type="auto"/>
            <w:hideMark/>
          </w:tcPr>
          <w:p w14:paraId="2FA7C07D"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No data retention/disposal policy</w:t>
            </w:r>
          </w:p>
        </w:tc>
        <w:tc>
          <w:tcPr>
            <w:tcW w:w="0" w:type="auto"/>
            <w:hideMark/>
          </w:tcPr>
          <w:p w14:paraId="519047C3"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Governance</w:t>
            </w:r>
          </w:p>
        </w:tc>
        <w:tc>
          <w:tcPr>
            <w:tcW w:w="0" w:type="auto"/>
            <w:hideMark/>
          </w:tcPr>
          <w:p w14:paraId="271DE134"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405547CE"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22B0815B"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9</w:t>
            </w:r>
          </w:p>
        </w:tc>
        <w:tc>
          <w:tcPr>
            <w:tcW w:w="0" w:type="auto"/>
            <w:hideMark/>
          </w:tcPr>
          <w:p w14:paraId="685F3987" w14:textId="77777777" w:rsidR="001A6F2C" w:rsidRPr="001A6F2C" w:rsidRDefault="001A6F2C" w:rsidP="001A6F2C">
            <w:pPr>
              <w:spacing w:after="160" w:line="278" w:lineRule="auto"/>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r w:rsidR="001A6F2C" w:rsidRPr="001A6F2C" w14:paraId="3E86BCAE" w14:textId="77777777" w:rsidTr="001A6F2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D83FB2" w14:textId="77777777" w:rsidR="001A6F2C" w:rsidRPr="001A6F2C" w:rsidRDefault="001A6F2C" w:rsidP="001A6F2C">
            <w:pPr>
              <w:spacing w:after="160" w:line="278" w:lineRule="auto"/>
              <w:rPr>
                <w:rFonts w:ascii="Arial" w:hAnsi="Arial" w:cs="Arial"/>
                <w:sz w:val="22"/>
                <w:szCs w:val="22"/>
              </w:rPr>
            </w:pPr>
            <w:r w:rsidRPr="001A6F2C">
              <w:rPr>
                <w:rFonts w:ascii="Arial" w:hAnsi="Arial" w:cs="Arial"/>
                <w:sz w:val="22"/>
                <w:szCs w:val="22"/>
              </w:rPr>
              <w:t>R15</w:t>
            </w:r>
          </w:p>
        </w:tc>
        <w:tc>
          <w:tcPr>
            <w:tcW w:w="0" w:type="auto"/>
            <w:hideMark/>
          </w:tcPr>
          <w:p w14:paraId="2E105580"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Shared generic accounts at reception</w:t>
            </w:r>
          </w:p>
        </w:tc>
        <w:tc>
          <w:tcPr>
            <w:tcW w:w="0" w:type="auto"/>
            <w:hideMark/>
          </w:tcPr>
          <w:p w14:paraId="43ACCE11"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Identity / People</w:t>
            </w:r>
          </w:p>
        </w:tc>
        <w:tc>
          <w:tcPr>
            <w:tcW w:w="0" w:type="auto"/>
            <w:hideMark/>
          </w:tcPr>
          <w:p w14:paraId="576A2F5A"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4</w:t>
            </w:r>
          </w:p>
        </w:tc>
        <w:tc>
          <w:tcPr>
            <w:tcW w:w="0" w:type="auto"/>
            <w:hideMark/>
          </w:tcPr>
          <w:p w14:paraId="1FA76CFC"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3</w:t>
            </w:r>
          </w:p>
        </w:tc>
        <w:tc>
          <w:tcPr>
            <w:tcW w:w="0" w:type="auto"/>
            <w:hideMark/>
          </w:tcPr>
          <w:p w14:paraId="750CB87D"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12</w:t>
            </w:r>
          </w:p>
        </w:tc>
        <w:tc>
          <w:tcPr>
            <w:tcW w:w="0" w:type="auto"/>
            <w:hideMark/>
          </w:tcPr>
          <w:p w14:paraId="040E956A" w14:textId="77777777" w:rsidR="001A6F2C" w:rsidRPr="001A6F2C" w:rsidRDefault="001A6F2C" w:rsidP="001A6F2C">
            <w:pPr>
              <w:spacing w:after="160" w:line="278" w:lineRule="auto"/>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1A6F2C">
              <w:rPr>
                <w:rFonts w:ascii="Arial" w:hAnsi="Arial" w:cs="Arial"/>
                <w:sz w:val="22"/>
                <w:szCs w:val="22"/>
              </w:rPr>
              <w:t>Medium</w:t>
            </w:r>
          </w:p>
        </w:tc>
      </w:tr>
    </w:tbl>
    <w:p w14:paraId="52012964" w14:textId="77777777" w:rsidR="001A6F2C" w:rsidRPr="001A6F2C" w:rsidRDefault="001A6F2C" w:rsidP="001A6F2C">
      <w:pPr>
        <w:rPr>
          <w:rFonts w:ascii="Arial" w:hAnsi="Arial" w:cs="Arial"/>
          <w:sz w:val="22"/>
          <w:szCs w:val="22"/>
        </w:rPr>
      </w:pPr>
      <w:r w:rsidRPr="001A6F2C">
        <w:rPr>
          <w:rFonts w:ascii="Arial" w:hAnsi="Arial" w:cs="Arial"/>
          <w:sz w:val="22"/>
          <w:szCs w:val="22"/>
        </w:rPr>
        <w:pict w14:anchorId="253A868C">
          <v:rect id="_x0000_i1065" style="width:0;height:1.5pt" o:hralign="center" o:hrstd="t" o:hr="t" fillcolor="#a0a0a0" stroked="f"/>
        </w:pict>
      </w:r>
    </w:p>
    <w:p w14:paraId="119DB46D"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5. Key Observations</w:t>
      </w:r>
    </w:p>
    <w:p w14:paraId="6A1F7DEE" w14:textId="77777777" w:rsidR="001A6F2C" w:rsidRPr="001A6F2C" w:rsidRDefault="001A6F2C" w:rsidP="001A6F2C">
      <w:pPr>
        <w:rPr>
          <w:rFonts w:ascii="Arial" w:hAnsi="Arial" w:cs="Arial"/>
          <w:sz w:val="22"/>
          <w:szCs w:val="22"/>
        </w:rPr>
      </w:pPr>
      <w:r w:rsidRPr="001A6F2C">
        <w:rPr>
          <w:rFonts w:ascii="Arial" w:hAnsi="Arial" w:cs="Arial"/>
          <w:sz w:val="22"/>
          <w:szCs w:val="22"/>
        </w:rPr>
        <w:t>The assessment highlights several recurring themes:</w:t>
      </w:r>
    </w:p>
    <w:p w14:paraId="552F067A" w14:textId="77777777" w:rsidR="001A6F2C" w:rsidRPr="001A6F2C" w:rsidRDefault="001A6F2C" w:rsidP="001A6F2C">
      <w:pPr>
        <w:numPr>
          <w:ilvl w:val="0"/>
          <w:numId w:val="3"/>
        </w:numPr>
        <w:rPr>
          <w:rFonts w:ascii="Arial" w:hAnsi="Arial" w:cs="Arial"/>
          <w:sz w:val="22"/>
          <w:szCs w:val="22"/>
        </w:rPr>
      </w:pPr>
      <w:r w:rsidRPr="001A6F2C">
        <w:rPr>
          <w:rFonts w:ascii="Arial" w:hAnsi="Arial" w:cs="Arial"/>
          <w:b/>
          <w:bCs/>
          <w:sz w:val="22"/>
          <w:szCs w:val="22"/>
        </w:rPr>
        <w:t>Weak identity and access management controls</w:t>
      </w:r>
      <w:r w:rsidRPr="001A6F2C">
        <w:rPr>
          <w:rFonts w:ascii="Arial" w:hAnsi="Arial" w:cs="Arial"/>
          <w:sz w:val="22"/>
          <w:szCs w:val="22"/>
        </w:rPr>
        <w:t>, particularly around authentication and privilege management</w:t>
      </w:r>
    </w:p>
    <w:p w14:paraId="08184932" w14:textId="77777777" w:rsidR="001A6F2C" w:rsidRPr="001A6F2C" w:rsidRDefault="001A6F2C" w:rsidP="001A6F2C">
      <w:pPr>
        <w:numPr>
          <w:ilvl w:val="0"/>
          <w:numId w:val="3"/>
        </w:numPr>
        <w:rPr>
          <w:rFonts w:ascii="Arial" w:hAnsi="Arial" w:cs="Arial"/>
          <w:sz w:val="22"/>
          <w:szCs w:val="22"/>
        </w:rPr>
      </w:pPr>
      <w:r w:rsidRPr="001A6F2C">
        <w:rPr>
          <w:rFonts w:ascii="Arial" w:hAnsi="Arial" w:cs="Arial"/>
          <w:b/>
          <w:bCs/>
          <w:sz w:val="22"/>
          <w:szCs w:val="22"/>
        </w:rPr>
        <w:t>Cloud misconfigurations</w:t>
      </w:r>
      <w:r w:rsidRPr="001A6F2C">
        <w:rPr>
          <w:rFonts w:ascii="Arial" w:hAnsi="Arial" w:cs="Arial"/>
          <w:sz w:val="22"/>
          <w:szCs w:val="22"/>
        </w:rPr>
        <w:t xml:space="preserve"> that expose systems and data to external access</w:t>
      </w:r>
    </w:p>
    <w:p w14:paraId="26BCB298" w14:textId="77777777" w:rsidR="001A6F2C" w:rsidRPr="001A6F2C" w:rsidRDefault="001A6F2C" w:rsidP="001A6F2C">
      <w:pPr>
        <w:numPr>
          <w:ilvl w:val="0"/>
          <w:numId w:val="3"/>
        </w:numPr>
        <w:rPr>
          <w:rFonts w:ascii="Arial" w:hAnsi="Arial" w:cs="Arial"/>
          <w:sz w:val="22"/>
          <w:szCs w:val="22"/>
        </w:rPr>
      </w:pPr>
      <w:r w:rsidRPr="001A6F2C">
        <w:rPr>
          <w:rFonts w:ascii="Arial" w:hAnsi="Arial" w:cs="Arial"/>
          <w:b/>
          <w:bCs/>
          <w:sz w:val="22"/>
          <w:szCs w:val="22"/>
        </w:rPr>
        <w:t>Lack of governance and formal processes</w:t>
      </w:r>
      <w:r w:rsidRPr="001A6F2C">
        <w:rPr>
          <w:rFonts w:ascii="Arial" w:hAnsi="Arial" w:cs="Arial"/>
          <w:sz w:val="22"/>
          <w:szCs w:val="22"/>
        </w:rPr>
        <w:t>, including incident response and policy frameworks</w:t>
      </w:r>
    </w:p>
    <w:p w14:paraId="301C4A3C" w14:textId="77777777" w:rsidR="001A6F2C" w:rsidRPr="001A6F2C" w:rsidRDefault="001A6F2C" w:rsidP="001A6F2C">
      <w:pPr>
        <w:numPr>
          <w:ilvl w:val="0"/>
          <w:numId w:val="3"/>
        </w:numPr>
        <w:rPr>
          <w:rFonts w:ascii="Arial" w:hAnsi="Arial" w:cs="Arial"/>
          <w:sz w:val="22"/>
          <w:szCs w:val="22"/>
        </w:rPr>
      </w:pPr>
      <w:r w:rsidRPr="001A6F2C">
        <w:rPr>
          <w:rFonts w:ascii="Arial" w:hAnsi="Arial" w:cs="Arial"/>
          <w:b/>
          <w:bCs/>
          <w:sz w:val="22"/>
          <w:szCs w:val="22"/>
        </w:rPr>
        <w:t>Operational gaps</w:t>
      </w:r>
      <w:r w:rsidRPr="001A6F2C">
        <w:rPr>
          <w:rFonts w:ascii="Arial" w:hAnsi="Arial" w:cs="Arial"/>
          <w:sz w:val="22"/>
          <w:szCs w:val="22"/>
        </w:rPr>
        <w:t>, such as inconsistent patching and untested backups</w:t>
      </w:r>
    </w:p>
    <w:p w14:paraId="4858B18B" w14:textId="77777777" w:rsidR="001A6F2C" w:rsidRPr="001A6F2C" w:rsidRDefault="001A6F2C" w:rsidP="001A6F2C">
      <w:pPr>
        <w:numPr>
          <w:ilvl w:val="0"/>
          <w:numId w:val="3"/>
        </w:numPr>
        <w:rPr>
          <w:rFonts w:ascii="Arial" w:hAnsi="Arial" w:cs="Arial"/>
          <w:sz w:val="22"/>
          <w:szCs w:val="22"/>
        </w:rPr>
      </w:pPr>
      <w:r w:rsidRPr="001A6F2C">
        <w:rPr>
          <w:rFonts w:ascii="Arial" w:hAnsi="Arial" w:cs="Arial"/>
          <w:b/>
          <w:bCs/>
          <w:sz w:val="22"/>
          <w:szCs w:val="22"/>
        </w:rPr>
        <w:t>Human-related risks</w:t>
      </w:r>
      <w:r w:rsidRPr="001A6F2C">
        <w:rPr>
          <w:rFonts w:ascii="Arial" w:hAnsi="Arial" w:cs="Arial"/>
          <w:sz w:val="22"/>
          <w:szCs w:val="22"/>
        </w:rPr>
        <w:t>, including lack of training and use of shared accounts</w:t>
      </w:r>
    </w:p>
    <w:p w14:paraId="0DA001DB" w14:textId="77777777" w:rsidR="001A6F2C" w:rsidRPr="001A6F2C" w:rsidRDefault="001A6F2C" w:rsidP="001A6F2C">
      <w:pPr>
        <w:rPr>
          <w:rFonts w:ascii="Arial" w:hAnsi="Arial" w:cs="Arial"/>
          <w:sz w:val="22"/>
          <w:szCs w:val="22"/>
        </w:rPr>
      </w:pPr>
      <w:r w:rsidRPr="001A6F2C">
        <w:rPr>
          <w:rFonts w:ascii="Arial" w:hAnsi="Arial" w:cs="Arial"/>
          <w:sz w:val="22"/>
          <w:szCs w:val="22"/>
        </w:rPr>
        <w:t xml:space="preserve">These issues collectively indicate that security controls are </w:t>
      </w:r>
      <w:r w:rsidRPr="001A6F2C">
        <w:rPr>
          <w:rFonts w:ascii="Arial" w:hAnsi="Arial" w:cs="Arial"/>
          <w:b/>
          <w:bCs/>
          <w:sz w:val="22"/>
          <w:szCs w:val="22"/>
        </w:rPr>
        <w:t>reactive rather than proactive</w:t>
      </w:r>
      <w:r w:rsidRPr="001A6F2C">
        <w:rPr>
          <w:rFonts w:ascii="Arial" w:hAnsi="Arial" w:cs="Arial"/>
          <w:sz w:val="22"/>
          <w:szCs w:val="22"/>
        </w:rPr>
        <w:t>, with limited formalisation or enforcement across the organisation.</w:t>
      </w:r>
    </w:p>
    <w:p w14:paraId="4E73F8AA" w14:textId="77777777" w:rsidR="001A6F2C" w:rsidRPr="001A6F2C" w:rsidRDefault="001A6F2C" w:rsidP="001A6F2C">
      <w:pPr>
        <w:rPr>
          <w:rFonts w:ascii="Arial" w:hAnsi="Arial" w:cs="Arial"/>
          <w:sz w:val="22"/>
          <w:szCs w:val="22"/>
        </w:rPr>
      </w:pPr>
      <w:r w:rsidRPr="001A6F2C">
        <w:rPr>
          <w:rFonts w:ascii="Arial" w:hAnsi="Arial" w:cs="Arial"/>
          <w:sz w:val="22"/>
          <w:szCs w:val="22"/>
        </w:rPr>
        <w:lastRenderedPageBreak/>
        <w:pict w14:anchorId="51487908">
          <v:rect id="_x0000_i1066" style="width:0;height:1.5pt" o:hralign="center" o:hrstd="t" o:hr="t" fillcolor="#a0a0a0" stroked="f"/>
        </w:pict>
      </w:r>
    </w:p>
    <w:p w14:paraId="52175DE2" w14:textId="77777777" w:rsidR="001A6F2C" w:rsidRPr="001A6F2C" w:rsidRDefault="001A6F2C" w:rsidP="001A6F2C">
      <w:pPr>
        <w:rPr>
          <w:rFonts w:ascii="Arial" w:hAnsi="Arial" w:cs="Arial"/>
          <w:b/>
          <w:bCs/>
          <w:sz w:val="22"/>
          <w:szCs w:val="22"/>
        </w:rPr>
      </w:pPr>
      <w:r w:rsidRPr="001A6F2C">
        <w:rPr>
          <w:rFonts w:ascii="Arial" w:hAnsi="Arial" w:cs="Arial"/>
          <w:b/>
          <w:bCs/>
          <w:sz w:val="22"/>
          <w:szCs w:val="22"/>
        </w:rPr>
        <w:t>6. Conclusion</w:t>
      </w:r>
    </w:p>
    <w:p w14:paraId="657995EB" w14:textId="77777777" w:rsidR="001A6F2C" w:rsidRPr="001A6F2C" w:rsidRDefault="001A6F2C" w:rsidP="001A6F2C">
      <w:pPr>
        <w:rPr>
          <w:rFonts w:ascii="Arial" w:hAnsi="Arial" w:cs="Arial"/>
          <w:sz w:val="22"/>
          <w:szCs w:val="22"/>
        </w:rPr>
      </w:pPr>
      <w:r w:rsidRPr="001A6F2C">
        <w:rPr>
          <w:rFonts w:ascii="Arial" w:hAnsi="Arial" w:cs="Arial"/>
          <w:sz w:val="22"/>
          <w:szCs w:val="22"/>
        </w:rPr>
        <w:t xml:space="preserve">The </w:t>
      </w:r>
      <w:proofErr w:type="spellStart"/>
      <w:r w:rsidRPr="001A6F2C">
        <w:rPr>
          <w:rFonts w:ascii="Arial" w:hAnsi="Arial" w:cs="Arial"/>
          <w:sz w:val="22"/>
          <w:szCs w:val="22"/>
        </w:rPr>
        <w:t>MediCare</w:t>
      </w:r>
      <w:proofErr w:type="spellEnd"/>
      <w:r w:rsidRPr="001A6F2C">
        <w:rPr>
          <w:rFonts w:ascii="Arial" w:hAnsi="Arial" w:cs="Arial"/>
          <w:sz w:val="22"/>
          <w:szCs w:val="22"/>
        </w:rPr>
        <w:t xml:space="preserve"> Plus Clinic currently operates with a number of significant security gaps that increase its exposure to cyber threats and regulatory risk. While core systems are functional and support business operations, security has not been systematically integrated into the design and management of the environment.</w:t>
      </w:r>
    </w:p>
    <w:p w14:paraId="04794B04" w14:textId="77777777" w:rsidR="001A6F2C" w:rsidRPr="001A6F2C" w:rsidRDefault="001A6F2C" w:rsidP="001A6F2C">
      <w:pPr>
        <w:rPr>
          <w:rFonts w:ascii="Arial" w:hAnsi="Arial" w:cs="Arial"/>
          <w:sz w:val="22"/>
          <w:szCs w:val="22"/>
        </w:rPr>
      </w:pPr>
      <w:r w:rsidRPr="001A6F2C">
        <w:rPr>
          <w:rFonts w:ascii="Arial" w:hAnsi="Arial" w:cs="Arial"/>
          <w:sz w:val="22"/>
          <w:szCs w:val="22"/>
        </w:rPr>
        <w:t>The findings of this assessment provide a clear foundation for prioritising remediation efforts. Immediate focus should be placed on strengthening identity controls, securing cloud configurations, and implementing governance structures such as incident response and policy frameworks.</w:t>
      </w:r>
    </w:p>
    <w:p w14:paraId="3C3F887C" w14:textId="77777777" w:rsidR="001A6F2C" w:rsidRDefault="001A6F2C" w:rsidP="001A6F2C">
      <w:pPr>
        <w:rPr>
          <w:rFonts w:ascii="Arial" w:hAnsi="Arial" w:cs="Arial"/>
          <w:sz w:val="22"/>
          <w:szCs w:val="22"/>
        </w:rPr>
      </w:pPr>
      <w:r w:rsidRPr="001A6F2C">
        <w:rPr>
          <w:rFonts w:ascii="Arial" w:hAnsi="Arial" w:cs="Arial"/>
          <w:sz w:val="22"/>
          <w:szCs w:val="22"/>
        </w:rPr>
        <w:t>Addressing these risks will significantly improve the organisation’s overall security posture and readiness for upcoming regulatory requirements.</w:t>
      </w:r>
    </w:p>
    <w:p w14:paraId="7CD4254E" w14:textId="77777777" w:rsidR="001A6F2C" w:rsidRPr="001A6F2C" w:rsidRDefault="001A6F2C" w:rsidP="001A6F2C">
      <w:pPr>
        <w:rPr>
          <w:rFonts w:ascii="Arial" w:hAnsi="Arial" w:cs="Arial"/>
          <w:sz w:val="22"/>
          <w:szCs w:val="22"/>
        </w:rPr>
      </w:pPr>
    </w:p>
    <w:p w14:paraId="003F74C2" w14:textId="77777777" w:rsidR="00045EEB" w:rsidRPr="001A6F2C" w:rsidRDefault="00045EEB">
      <w:pPr>
        <w:rPr>
          <w:rFonts w:ascii="Arial" w:hAnsi="Arial" w:cs="Arial"/>
          <w:sz w:val="22"/>
          <w:szCs w:val="22"/>
        </w:rPr>
      </w:pPr>
    </w:p>
    <w:sectPr w:rsidR="00045EEB" w:rsidRPr="001A6F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97FA2"/>
    <w:multiLevelType w:val="multilevel"/>
    <w:tmpl w:val="8950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51360B"/>
    <w:multiLevelType w:val="multilevel"/>
    <w:tmpl w:val="F6D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C20FB8"/>
    <w:multiLevelType w:val="multilevel"/>
    <w:tmpl w:val="72BE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098152">
    <w:abstractNumId w:val="2"/>
  </w:num>
  <w:num w:numId="2" w16cid:durableId="1834878925">
    <w:abstractNumId w:val="1"/>
  </w:num>
  <w:num w:numId="3" w16cid:durableId="249042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6F2C"/>
    <w:rsid w:val="00045EEB"/>
    <w:rsid w:val="001A6F2C"/>
    <w:rsid w:val="003163E6"/>
    <w:rsid w:val="004A58D1"/>
    <w:rsid w:val="00DE6F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F2732"/>
  <w15:chartTrackingRefBased/>
  <w15:docId w15:val="{0EF791CC-9F40-4A0E-9D49-F55E654A8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6F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6F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6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6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6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6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6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6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6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6F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6F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6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6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6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6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6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6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6F2C"/>
    <w:rPr>
      <w:rFonts w:eastAsiaTheme="majorEastAsia" w:cstheme="majorBidi"/>
      <w:color w:val="272727" w:themeColor="text1" w:themeTint="D8"/>
    </w:rPr>
  </w:style>
  <w:style w:type="paragraph" w:styleId="Title">
    <w:name w:val="Title"/>
    <w:basedOn w:val="Normal"/>
    <w:next w:val="Normal"/>
    <w:link w:val="TitleChar"/>
    <w:uiPriority w:val="10"/>
    <w:qFormat/>
    <w:rsid w:val="001A6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6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6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6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6F2C"/>
    <w:pPr>
      <w:spacing w:before="160"/>
      <w:jc w:val="center"/>
    </w:pPr>
    <w:rPr>
      <w:i/>
      <w:iCs/>
      <w:color w:val="404040" w:themeColor="text1" w:themeTint="BF"/>
    </w:rPr>
  </w:style>
  <w:style w:type="character" w:customStyle="1" w:styleId="QuoteChar">
    <w:name w:val="Quote Char"/>
    <w:basedOn w:val="DefaultParagraphFont"/>
    <w:link w:val="Quote"/>
    <w:uiPriority w:val="29"/>
    <w:rsid w:val="001A6F2C"/>
    <w:rPr>
      <w:i/>
      <w:iCs/>
      <w:color w:val="404040" w:themeColor="text1" w:themeTint="BF"/>
    </w:rPr>
  </w:style>
  <w:style w:type="paragraph" w:styleId="ListParagraph">
    <w:name w:val="List Paragraph"/>
    <w:basedOn w:val="Normal"/>
    <w:uiPriority w:val="34"/>
    <w:qFormat/>
    <w:rsid w:val="001A6F2C"/>
    <w:pPr>
      <w:ind w:left="720"/>
      <w:contextualSpacing/>
    </w:pPr>
  </w:style>
  <w:style w:type="character" w:styleId="IntenseEmphasis">
    <w:name w:val="Intense Emphasis"/>
    <w:basedOn w:val="DefaultParagraphFont"/>
    <w:uiPriority w:val="21"/>
    <w:qFormat/>
    <w:rsid w:val="001A6F2C"/>
    <w:rPr>
      <w:i/>
      <w:iCs/>
      <w:color w:val="0F4761" w:themeColor="accent1" w:themeShade="BF"/>
    </w:rPr>
  </w:style>
  <w:style w:type="paragraph" w:styleId="IntenseQuote">
    <w:name w:val="Intense Quote"/>
    <w:basedOn w:val="Normal"/>
    <w:next w:val="Normal"/>
    <w:link w:val="IntenseQuoteChar"/>
    <w:uiPriority w:val="30"/>
    <w:qFormat/>
    <w:rsid w:val="001A6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6F2C"/>
    <w:rPr>
      <w:i/>
      <w:iCs/>
      <w:color w:val="0F4761" w:themeColor="accent1" w:themeShade="BF"/>
    </w:rPr>
  </w:style>
  <w:style w:type="character" w:styleId="IntenseReference">
    <w:name w:val="Intense Reference"/>
    <w:basedOn w:val="DefaultParagraphFont"/>
    <w:uiPriority w:val="32"/>
    <w:qFormat/>
    <w:rsid w:val="001A6F2C"/>
    <w:rPr>
      <w:b/>
      <w:bCs/>
      <w:smallCaps/>
      <w:color w:val="0F4761" w:themeColor="accent1" w:themeShade="BF"/>
      <w:spacing w:val="5"/>
    </w:rPr>
  </w:style>
  <w:style w:type="table" w:styleId="GridTable5Dark-Accent1">
    <w:name w:val="Grid Table 5 Dark Accent 1"/>
    <w:basedOn w:val="TableNormal"/>
    <w:uiPriority w:val="50"/>
    <w:rsid w:val="001A6F2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890</Words>
  <Characters>5078</Characters>
  <Application>Microsoft Office Word</Application>
  <DocSecurity>0</DocSecurity>
  <Lines>42</Lines>
  <Paragraphs>11</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Naeem</dc:creator>
  <cp:keywords/>
  <dc:description/>
  <cp:lastModifiedBy>Abdullah Naeem</cp:lastModifiedBy>
  <cp:revision>1</cp:revision>
  <dcterms:created xsi:type="dcterms:W3CDTF">2026-04-16T18:10:00Z</dcterms:created>
  <dcterms:modified xsi:type="dcterms:W3CDTF">2026-04-16T18:13:00Z</dcterms:modified>
</cp:coreProperties>
</file>