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2CEF" w14:textId="39BF2E6F" w:rsidR="001B1F0C" w:rsidRPr="0005277B" w:rsidRDefault="0005277B" w:rsidP="0005277B">
      <w:pPr>
        <w:jc w:val="center"/>
        <w:rPr>
          <w:rFonts w:asciiTheme="majorHAnsi" w:hAnsiTheme="majorHAnsi" w:cstheme="majorHAnsi"/>
          <w:b/>
          <w:bCs/>
          <w:sz w:val="36"/>
          <w:szCs w:val="36"/>
        </w:rPr>
      </w:pPr>
      <w:r w:rsidRPr="0005277B">
        <w:rPr>
          <w:rFonts w:asciiTheme="majorHAnsi" w:hAnsiTheme="majorHAnsi" w:cstheme="majorHAnsi"/>
          <w:b/>
          <w:bCs/>
          <w:sz w:val="36"/>
          <w:szCs w:val="36"/>
        </w:rPr>
        <w:t>Cloud Security Architecture Review</w:t>
      </w:r>
    </w:p>
    <w:p w14:paraId="4351DE76" w14:textId="7C54C4C8" w:rsidR="000B3E1B" w:rsidRPr="001B1F0C" w:rsidRDefault="00000000">
      <w:pPr>
        <w:rPr>
          <w:rFonts w:asciiTheme="majorHAnsi" w:hAnsiTheme="majorHAnsi" w:cstheme="majorHAnsi"/>
        </w:rPr>
      </w:pPr>
      <w:proofErr w:type="spellStart"/>
      <w:r w:rsidRPr="001B1F0C">
        <w:rPr>
          <w:rFonts w:asciiTheme="majorHAnsi" w:hAnsiTheme="majorHAnsi" w:cstheme="majorHAnsi"/>
        </w:rPr>
        <w:t>MediCare</w:t>
      </w:r>
      <w:proofErr w:type="spellEnd"/>
      <w:r w:rsidRPr="001B1F0C">
        <w:rPr>
          <w:rFonts w:asciiTheme="majorHAnsi" w:hAnsiTheme="majorHAnsi" w:cstheme="majorHAnsi"/>
        </w:rPr>
        <w:t xml:space="preserve"> Plus Clinic — Azure Environment</w:t>
      </w:r>
    </w:p>
    <w:p w14:paraId="36D038BF" w14:textId="77777777" w:rsidR="000B3E1B" w:rsidRPr="001B1F0C" w:rsidRDefault="00000000">
      <w:pPr>
        <w:rPr>
          <w:rFonts w:asciiTheme="majorHAnsi" w:hAnsiTheme="majorHAnsi" w:cstheme="majorHAnsi"/>
        </w:rPr>
      </w:pPr>
      <w:r w:rsidRPr="001B1F0C">
        <w:rPr>
          <w:rFonts w:asciiTheme="majorHAnsi" w:hAnsiTheme="majorHAnsi" w:cstheme="majorHAnsi"/>
        </w:rPr>
        <w:t>Unit: COIT13236</w:t>
      </w:r>
      <w:r w:rsidRPr="001B1F0C">
        <w:rPr>
          <w:rFonts w:asciiTheme="majorHAnsi" w:hAnsiTheme="majorHAnsi" w:cstheme="majorHAnsi"/>
        </w:rPr>
        <w:br/>
        <w:t>Student Name: Kishan Patel</w:t>
      </w:r>
      <w:r w:rsidRPr="001B1F0C">
        <w:rPr>
          <w:rFonts w:asciiTheme="majorHAnsi" w:hAnsiTheme="majorHAnsi" w:cstheme="majorHAnsi"/>
        </w:rPr>
        <w:br/>
        <w:t>Student ID: 12232740</w:t>
      </w:r>
    </w:p>
    <w:p w14:paraId="6D1DD618" w14:textId="1B22BE15"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Introduction</w:t>
      </w:r>
    </w:p>
    <w:p w14:paraId="2347F8DB" w14:textId="77777777" w:rsidR="001B1F0C" w:rsidRPr="001B1F0C" w:rsidRDefault="001B1F0C" w:rsidP="001B1F0C">
      <w:pPr>
        <w:rPr>
          <w:rFonts w:asciiTheme="majorHAnsi" w:hAnsiTheme="majorHAnsi" w:cstheme="majorHAnsi"/>
        </w:rPr>
      </w:pPr>
    </w:p>
    <w:p w14:paraId="5F93E5CB" w14:textId="7F15BF80" w:rsidR="00DB241F" w:rsidRPr="00DB241F" w:rsidRDefault="00DB241F" w:rsidP="00DB241F">
      <w:pPr>
        <w:spacing w:after="0" w:line="240" w:lineRule="auto"/>
        <w:rPr>
          <w:rFonts w:asciiTheme="majorHAnsi" w:eastAsia="Times New Roman" w:hAnsiTheme="majorHAnsi" w:cstheme="majorHAnsi"/>
          <w:sz w:val="24"/>
          <w:szCs w:val="24"/>
          <w:lang w:val="en-AU" w:eastAsia="en-AU"/>
        </w:rPr>
      </w:pPr>
      <w:r w:rsidRPr="00DB241F">
        <w:rPr>
          <w:rFonts w:asciiTheme="majorHAnsi" w:eastAsia="Times New Roman" w:hAnsiTheme="majorHAnsi" w:cstheme="majorHAnsi"/>
          <w:sz w:val="24"/>
          <w:szCs w:val="24"/>
          <w:lang w:val="en-AU" w:eastAsia="en-AU"/>
        </w:rPr>
        <w:t xml:space="preserve">The design, setup, and security measures of </w:t>
      </w:r>
      <w:r w:rsidRPr="00DB241F">
        <w:rPr>
          <w:rFonts w:asciiTheme="majorHAnsi" w:eastAsia="Times New Roman" w:hAnsiTheme="majorHAnsi" w:cstheme="majorHAnsi"/>
          <w:sz w:val="24"/>
          <w:szCs w:val="24"/>
          <w:lang w:val="en-AU" w:eastAsia="en-AU"/>
        </w:rPr>
        <w:t>Medicare</w:t>
      </w:r>
      <w:r w:rsidRPr="00DB241F">
        <w:rPr>
          <w:rFonts w:asciiTheme="majorHAnsi" w:eastAsia="Times New Roman" w:hAnsiTheme="majorHAnsi" w:cstheme="majorHAnsi"/>
          <w:sz w:val="24"/>
          <w:szCs w:val="24"/>
          <w:lang w:val="en-AU" w:eastAsia="en-AU"/>
        </w:rPr>
        <w:t xml:space="preserve"> Plus Clinic's Microsoft Azure environment are assessed by the Cloud Security Architecture Review. The clinic uses a hybrid infrastructure that combines cloud-based services including Azure Active Directory (AAD), Virtual Machines (VMs), Blob Storage, and Network Security Groups (NSGs) with on-premises systems. </w:t>
      </w:r>
      <w:r w:rsidRPr="00DB241F">
        <w:rPr>
          <w:rFonts w:asciiTheme="majorHAnsi" w:eastAsia="Times New Roman" w:hAnsiTheme="majorHAnsi" w:cstheme="majorHAnsi"/>
          <w:sz w:val="24"/>
          <w:szCs w:val="24"/>
          <w:lang w:val="en-AU" w:eastAsia="en-AU"/>
        </w:rPr>
        <w:br/>
      </w:r>
      <w:r w:rsidRPr="00DB241F">
        <w:rPr>
          <w:rFonts w:asciiTheme="majorHAnsi" w:eastAsia="Times New Roman" w:hAnsiTheme="majorHAnsi" w:cstheme="majorHAnsi"/>
          <w:sz w:val="24"/>
          <w:szCs w:val="24"/>
          <w:lang w:val="en-AU" w:eastAsia="en-AU"/>
        </w:rPr>
        <w:br/>
        <w:t>A secure cloud architecture is crucial due to the sensitive nature of healthcare data and legal requirements under the Privacy Act of 1988 and the My Health Records Act of 2012. In accordance with NIST SP 800-53 and the Australian Government ISM, this study detects vulnerabilities, assesses risks, and suggests changes.</w:t>
      </w:r>
    </w:p>
    <w:p w14:paraId="41DC8862" w14:textId="5B46E511"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Theoretical Foundation</w:t>
      </w:r>
    </w:p>
    <w:p w14:paraId="53D2DBCB" w14:textId="77777777" w:rsidR="001B1F0C" w:rsidRPr="001B1F0C" w:rsidRDefault="001B1F0C" w:rsidP="001B1F0C">
      <w:pPr>
        <w:pStyle w:val="ListParagraph"/>
        <w:rPr>
          <w:rFonts w:asciiTheme="majorHAnsi" w:hAnsiTheme="majorHAnsi" w:cstheme="majorHAnsi"/>
        </w:rPr>
      </w:pPr>
    </w:p>
    <w:p w14:paraId="086EB35C" w14:textId="77777777" w:rsidR="00DB241F" w:rsidRPr="00DB241F" w:rsidRDefault="00DB241F" w:rsidP="00DB241F">
      <w:pPr>
        <w:spacing w:after="0" w:line="240" w:lineRule="auto"/>
        <w:rPr>
          <w:rFonts w:asciiTheme="majorHAnsi" w:eastAsia="Times New Roman" w:hAnsiTheme="majorHAnsi" w:cstheme="majorHAnsi"/>
          <w:sz w:val="24"/>
          <w:szCs w:val="24"/>
          <w:lang w:val="en-AU" w:eastAsia="en-AU"/>
        </w:rPr>
      </w:pPr>
      <w:r w:rsidRPr="00DB241F">
        <w:rPr>
          <w:rFonts w:asciiTheme="majorHAnsi" w:eastAsia="Times New Roman" w:hAnsiTheme="majorHAnsi" w:cstheme="majorHAnsi"/>
          <w:sz w:val="24"/>
          <w:szCs w:val="24"/>
          <w:lang w:val="en-AU" w:eastAsia="en-AU"/>
        </w:rPr>
        <w:t xml:space="preserve">Key concepts including the CIA Triad, Zero Trust, </w:t>
      </w:r>
      <w:proofErr w:type="spellStart"/>
      <w:r w:rsidRPr="00DB241F">
        <w:rPr>
          <w:rFonts w:asciiTheme="majorHAnsi" w:eastAsia="Times New Roman" w:hAnsiTheme="majorHAnsi" w:cstheme="majorHAnsi"/>
          <w:sz w:val="24"/>
          <w:szCs w:val="24"/>
          <w:lang w:val="en-AU" w:eastAsia="en-AU"/>
        </w:rPr>
        <w:t>Defense</w:t>
      </w:r>
      <w:proofErr w:type="spellEnd"/>
      <w:r w:rsidRPr="00DB241F">
        <w:rPr>
          <w:rFonts w:asciiTheme="majorHAnsi" w:eastAsia="Times New Roman" w:hAnsiTheme="majorHAnsi" w:cstheme="majorHAnsi"/>
          <w:sz w:val="24"/>
          <w:szCs w:val="24"/>
          <w:lang w:val="en-AU" w:eastAsia="en-AU"/>
        </w:rPr>
        <w:t xml:space="preserve">-in-Depth, Least Privilege, and the Shared Responsibility Model form the foundation of cloud security. </w:t>
      </w:r>
      <w:r w:rsidRPr="00DB241F">
        <w:rPr>
          <w:rFonts w:asciiTheme="majorHAnsi" w:eastAsia="Times New Roman" w:hAnsiTheme="majorHAnsi" w:cstheme="majorHAnsi"/>
          <w:sz w:val="24"/>
          <w:szCs w:val="24"/>
          <w:lang w:val="en-AU" w:eastAsia="en-AU"/>
        </w:rPr>
        <w:br/>
      </w:r>
      <w:r w:rsidRPr="00DB241F">
        <w:rPr>
          <w:rFonts w:asciiTheme="majorHAnsi" w:eastAsia="Times New Roman" w:hAnsiTheme="majorHAnsi" w:cstheme="majorHAnsi"/>
          <w:sz w:val="24"/>
          <w:szCs w:val="24"/>
          <w:lang w:val="en-AU" w:eastAsia="en-AU"/>
        </w:rPr>
        <w:br/>
        <w:t xml:space="preserve">Data availability, secrecy, and integrity are guaranteed by CIA Triad. Every access request must be verified under Zero Trust, which presumes that no entity is trusted by default. </w:t>
      </w:r>
      <w:proofErr w:type="spellStart"/>
      <w:r w:rsidRPr="00DB241F">
        <w:rPr>
          <w:rFonts w:asciiTheme="majorHAnsi" w:eastAsia="Times New Roman" w:hAnsiTheme="majorHAnsi" w:cstheme="majorHAnsi"/>
          <w:sz w:val="24"/>
          <w:szCs w:val="24"/>
          <w:lang w:val="en-AU" w:eastAsia="en-AU"/>
        </w:rPr>
        <w:t>Defense</w:t>
      </w:r>
      <w:proofErr w:type="spellEnd"/>
      <w:r w:rsidRPr="00DB241F">
        <w:rPr>
          <w:rFonts w:asciiTheme="majorHAnsi" w:eastAsia="Times New Roman" w:hAnsiTheme="majorHAnsi" w:cstheme="majorHAnsi"/>
          <w:sz w:val="24"/>
          <w:szCs w:val="24"/>
          <w:lang w:val="en-AU" w:eastAsia="en-AU"/>
        </w:rPr>
        <w:t>-in-Depth employs several security control tiers. The Shared Responsibility Model establishes security roles between Azure and the company, while Least Privilege guarantees minimal access permissions.</w:t>
      </w:r>
    </w:p>
    <w:p w14:paraId="06378DEE" w14:textId="49099DDD" w:rsidR="000B3E1B" w:rsidRDefault="00000000" w:rsidP="001B1F0C">
      <w:pPr>
        <w:pStyle w:val="Heading1"/>
        <w:numPr>
          <w:ilvl w:val="0"/>
          <w:numId w:val="10"/>
        </w:numPr>
        <w:rPr>
          <w:rFonts w:cstheme="majorHAnsi"/>
          <w:color w:val="000000" w:themeColor="text1"/>
        </w:rPr>
      </w:pPr>
      <w:r w:rsidRPr="001B1F0C">
        <w:rPr>
          <w:rFonts w:cstheme="majorHAnsi"/>
          <w:color w:val="000000" w:themeColor="text1"/>
        </w:rPr>
        <w:t>Current Cloud Architecture Overview</w:t>
      </w:r>
    </w:p>
    <w:p w14:paraId="25C7487D" w14:textId="77777777" w:rsidR="00DB241F" w:rsidRPr="00DB241F" w:rsidRDefault="00DB241F" w:rsidP="00DB241F">
      <w:pPr>
        <w:rPr>
          <w:sz w:val="24"/>
          <w:szCs w:val="24"/>
        </w:rPr>
      </w:pPr>
    </w:p>
    <w:p w14:paraId="4B1CAA30"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AAD, VMs, Blob Storage, NSGs, and Application Gateway are all part of the Azure infrastructure. Nevertheless, it is devoid of appropriate access control, monitoring, and segmentation.</w:t>
      </w:r>
    </w:p>
    <w:p w14:paraId="3FC33852" w14:textId="4BF13154" w:rsidR="000B3E1B" w:rsidRPr="001B1F0C" w:rsidRDefault="001B1F0C">
      <w:pPr>
        <w:rPr>
          <w:rFonts w:asciiTheme="majorHAnsi" w:hAnsiTheme="majorHAnsi" w:cstheme="majorHAnsi"/>
        </w:rPr>
      </w:pPr>
      <w:r w:rsidRPr="001B1F0C">
        <w:rPr>
          <w:rFonts w:asciiTheme="majorHAnsi" w:hAnsiTheme="majorHAnsi" w:cstheme="majorHAnsi"/>
          <w:noProof/>
        </w:rPr>
        <w:lastRenderedPageBreak/>
        <w:drawing>
          <wp:inline distT="0" distB="0" distL="0" distR="0" wp14:anchorId="7EFE3F26" wp14:editId="7517E77F">
            <wp:extent cx="5486400" cy="3287395"/>
            <wp:effectExtent l="0" t="0" r="0" b="8255"/>
            <wp:docPr id="434943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43260" name="Picture 434943260"/>
                    <pic:cNvPicPr/>
                  </pic:nvPicPr>
                  <pic:blipFill>
                    <a:blip r:embed="rId6"/>
                    <a:stretch>
                      <a:fillRect/>
                    </a:stretch>
                  </pic:blipFill>
                  <pic:spPr>
                    <a:xfrm>
                      <a:off x="0" y="0"/>
                      <a:ext cx="5486400" cy="3287395"/>
                    </a:xfrm>
                    <a:prstGeom prst="rect">
                      <a:avLst/>
                    </a:prstGeom>
                  </pic:spPr>
                </pic:pic>
              </a:graphicData>
            </a:graphic>
          </wp:inline>
        </w:drawing>
      </w:r>
    </w:p>
    <w:p w14:paraId="3F546812" w14:textId="77777777" w:rsidR="000B3E1B" w:rsidRPr="001B1F0C" w:rsidRDefault="00000000">
      <w:pPr>
        <w:rPr>
          <w:rFonts w:asciiTheme="majorHAnsi" w:hAnsiTheme="majorHAnsi" w:cstheme="majorHAnsi"/>
        </w:rPr>
      </w:pPr>
      <w:r w:rsidRPr="001B1F0C">
        <w:rPr>
          <w:rFonts w:asciiTheme="majorHAnsi" w:hAnsiTheme="majorHAnsi" w:cstheme="majorHAnsi"/>
          <w:sz w:val="24"/>
          <w:szCs w:val="24"/>
        </w:rPr>
        <w:t>Figure 1: Current System Architecture</w:t>
      </w:r>
    </w:p>
    <w:p w14:paraId="242962EB" w14:textId="560B33CE"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Threat Landscape</w:t>
      </w:r>
    </w:p>
    <w:p w14:paraId="126F61E4" w14:textId="77777777" w:rsidR="001B1F0C" w:rsidRPr="001B1F0C" w:rsidRDefault="001B1F0C" w:rsidP="001B1F0C">
      <w:pPr>
        <w:pStyle w:val="ListParagraph"/>
        <w:rPr>
          <w:rFonts w:asciiTheme="majorHAnsi" w:hAnsiTheme="majorHAnsi" w:cstheme="majorHAnsi"/>
        </w:rPr>
      </w:pPr>
    </w:p>
    <w:p w14:paraId="1A84DA65" w14:textId="77777777" w:rsidR="00DB241F" w:rsidRPr="00DB241F" w:rsidRDefault="00DB241F" w:rsidP="00DB241F">
      <w:pPr>
        <w:spacing w:after="0" w:line="240" w:lineRule="auto"/>
        <w:rPr>
          <w:rFonts w:asciiTheme="majorHAnsi" w:eastAsia="Times New Roman" w:hAnsiTheme="majorHAnsi" w:cstheme="majorHAnsi"/>
          <w:sz w:val="24"/>
          <w:szCs w:val="24"/>
          <w:lang w:val="en-AU" w:eastAsia="en-AU"/>
        </w:rPr>
      </w:pPr>
      <w:r w:rsidRPr="00DB241F">
        <w:rPr>
          <w:rFonts w:asciiTheme="majorHAnsi" w:eastAsia="Times New Roman" w:hAnsiTheme="majorHAnsi" w:cstheme="majorHAnsi"/>
          <w:sz w:val="24"/>
          <w:szCs w:val="24"/>
          <w:lang w:val="en-AU" w:eastAsia="en-AU"/>
        </w:rPr>
        <w:t>Ransomware, phishing, insider threats, and cloud misconfigurations are major dangers to healthcare organizations. Risk exposure is increased by lax identification constraints and accessible storage.</w:t>
      </w:r>
    </w:p>
    <w:p w14:paraId="284EA8D3" w14:textId="0E41E4A2"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Key Security Findings</w:t>
      </w:r>
    </w:p>
    <w:p w14:paraId="056EFF39" w14:textId="77777777" w:rsidR="001B1F0C" w:rsidRPr="001B1F0C" w:rsidRDefault="001B1F0C" w:rsidP="001B1F0C">
      <w:pPr>
        <w:pStyle w:val="ListParagraph"/>
        <w:rPr>
          <w:rFonts w:asciiTheme="majorHAnsi" w:hAnsiTheme="majorHAnsi" w:cstheme="majorHAnsi"/>
        </w:rPr>
      </w:pPr>
    </w:p>
    <w:p w14:paraId="065CE1A4" w14:textId="77777777" w:rsidR="00DB241F" w:rsidRPr="00DB241F" w:rsidRDefault="00DB241F" w:rsidP="00DB241F">
      <w:pPr>
        <w:pStyle w:val="Heading2"/>
        <w:rPr>
          <w:rFonts w:cstheme="majorHAnsi"/>
          <w:b w:val="0"/>
          <w:bCs w:val="0"/>
          <w:color w:val="000000" w:themeColor="text1"/>
          <w:sz w:val="24"/>
          <w:szCs w:val="24"/>
          <w:lang w:val="en-AU"/>
        </w:rPr>
      </w:pPr>
      <w:r w:rsidRPr="00DB241F">
        <w:rPr>
          <w:rFonts w:cstheme="majorHAnsi"/>
          <w:b w:val="0"/>
          <w:bCs w:val="0"/>
          <w:color w:val="000000" w:themeColor="text1"/>
          <w:sz w:val="24"/>
          <w:szCs w:val="24"/>
          <w:lang w:val="en-AU"/>
        </w:rPr>
        <w:t>Missing MFA, vulnerability to public storage, permissive NSGs, a lack of segmentation, and inadequate monitoring mechanisms are some of the main problems.</w:t>
      </w:r>
    </w:p>
    <w:p w14:paraId="21886E7A" w14:textId="77777777" w:rsidR="000B3E1B" w:rsidRPr="001B1F0C" w:rsidRDefault="00000000">
      <w:pPr>
        <w:pStyle w:val="Heading2"/>
        <w:rPr>
          <w:rFonts w:cstheme="majorHAnsi"/>
          <w:color w:val="000000" w:themeColor="text1"/>
          <w:sz w:val="28"/>
          <w:szCs w:val="28"/>
        </w:rPr>
      </w:pPr>
      <w:r w:rsidRPr="001B1F0C">
        <w:rPr>
          <w:rFonts w:cstheme="majorHAnsi"/>
          <w:color w:val="000000" w:themeColor="text1"/>
          <w:sz w:val="28"/>
          <w:szCs w:val="28"/>
        </w:rPr>
        <w:t>Table 1: Risk Evaluation Summary</w:t>
      </w:r>
    </w:p>
    <w:p w14:paraId="010503C4" w14:textId="77777777" w:rsidR="001B1F0C" w:rsidRPr="001B1F0C" w:rsidRDefault="001B1F0C" w:rsidP="001B1F0C">
      <w:pPr>
        <w:rPr>
          <w:rFonts w:asciiTheme="majorHAnsi" w:hAnsiTheme="majorHAnsi" w:cstheme="majorHAnsi"/>
        </w:rPr>
      </w:pPr>
    </w:p>
    <w:tbl>
      <w:tblPr>
        <w:tblStyle w:val="TableGrid"/>
        <w:tblW w:w="0" w:type="auto"/>
        <w:tblLook w:val="04A0" w:firstRow="1" w:lastRow="0" w:firstColumn="1" w:lastColumn="0" w:noHBand="0" w:noVBand="1"/>
      </w:tblPr>
      <w:tblGrid>
        <w:gridCol w:w="2214"/>
        <w:gridCol w:w="2214"/>
        <w:gridCol w:w="2214"/>
        <w:gridCol w:w="2214"/>
      </w:tblGrid>
      <w:tr w:rsidR="001B1F0C" w:rsidRPr="001B1F0C" w14:paraId="1F3C3F72" w14:textId="77777777" w:rsidTr="001B1F0C">
        <w:tc>
          <w:tcPr>
            <w:tcW w:w="2214" w:type="dxa"/>
          </w:tcPr>
          <w:p w14:paraId="6B41B679" w14:textId="05033D7A"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Risk Area</w:t>
            </w:r>
          </w:p>
        </w:tc>
        <w:tc>
          <w:tcPr>
            <w:tcW w:w="2214" w:type="dxa"/>
          </w:tcPr>
          <w:p w14:paraId="530220C3" w14:textId="660A5AD8"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Likelihood</w:t>
            </w:r>
          </w:p>
        </w:tc>
        <w:tc>
          <w:tcPr>
            <w:tcW w:w="2214" w:type="dxa"/>
          </w:tcPr>
          <w:p w14:paraId="13AFCCC2" w14:textId="7FF8965A"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Impact</w:t>
            </w:r>
          </w:p>
        </w:tc>
        <w:tc>
          <w:tcPr>
            <w:tcW w:w="2214" w:type="dxa"/>
          </w:tcPr>
          <w:p w14:paraId="73BF90B5" w14:textId="77777777"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Risk Level</w:t>
            </w:r>
          </w:p>
          <w:p w14:paraId="5A4EE1E0" w14:textId="77777777" w:rsidR="001B1F0C" w:rsidRPr="001B1F0C" w:rsidRDefault="001B1F0C" w:rsidP="001B1F0C">
            <w:pPr>
              <w:rPr>
                <w:rFonts w:asciiTheme="majorHAnsi" w:hAnsiTheme="majorHAnsi" w:cstheme="majorHAnsi"/>
                <w:sz w:val="24"/>
                <w:szCs w:val="24"/>
              </w:rPr>
            </w:pPr>
          </w:p>
        </w:tc>
      </w:tr>
      <w:tr w:rsidR="001B1F0C" w:rsidRPr="001B1F0C" w14:paraId="6DCC98EB" w14:textId="77777777" w:rsidTr="001B1F0C">
        <w:tc>
          <w:tcPr>
            <w:tcW w:w="2214" w:type="dxa"/>
          </w:tcPr>
          <w:p w14:paraId="655AAF8F" w14:textId="367B7872"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Identity Mismanagement</w:t>
            </w:r>
          </w:p>
        </w:tc>
        <w:tc>
          <w:tcPr>
            <w:tcW w:w="2214" w:type="dxa"/>
          </w:tcPr>
          <w:p w14:paraId="630DF529" w14:textId="71B1245D"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c>
          <w:tcPr>
            <w:tcW w:w="2214" w:type="dxa"/>
          </w:tcPr>
          <w:p w14:paraId="29831B89" w14:textId="3F5E521E"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c>
          <w:tcPr>
            <w:tcW w:w="2214" w:type="dxa"/>
          </w:tcPr>
          <w:p w14:paraId="25C410FE" w14:textId="69E910A9"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r>
      <w:tr w:rsidR="001B1F0C" w:rsidRPr="001B1F0C" w14:paraId="739E1693" w14:textId="77777777" w:rsidTr="001B1F0C">
        <w:tc>
          <w:tcPr>
            <w:tcW w:w="2214" w:type="dxa"/>
          </w:tcPr>
          <w:p w14:paraId="5D13557F" w14:textId="215787B2"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 xml:space="preserve">Public Data </w:t>
            </w:r>
            <w:r w:rsidRPr="001B1F0C">
              <w:rPr>
                <w:rFonts w:asciiTheme="majorHAnsi" w:hAnsiTheme="majorHAnsi" w:cstheme="majorHAnsi"/>
                <w:sz w:val="24"/>
                <w:szCs w:val="24"/>
              </w:rPr>
              <w:lastRenderedPageBreak/>
              <w:t>Exposure</w:t>
            </w:r>
          </w:p>
        </w:tc>
        <w:tc>
          <w:tcPr>
            <w:tcW w:w="2214" w:type="dxa"/>
          </w:tcPr>
          <w:p w14:paraId="49C3D927" w14:textId="0CB1CBDB"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lastRenderedPageBreak/>
              <w:t>Medium</w:t>
            </w:r>
          </w:p>
        </w:tc>
        <w:tc>
          <w:tcPr>
            <w:tcW w:w="2214" w:type="dxa"/>
          </w:tcPr>
          <w:p w14:paraId="796E9C35" w14:textId="47A13DD1"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c>
          <w:tcPr>
            <w:tcW w:w="2214" w:type="dxa"/>
          </w:tcPr>
          <w:p w14:paraId="236BA4CD" w14:textId="24C21F9F"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r>
      <w:tr w:rsidR="001B1F0C" w:rsidRPr="001B1F0C" w14:paraId="01654AB8" w14:textId="77777777" w:rsidTr="001B1F0C">
        <w:tc>
          <w:tcPr>
            <w:tcW w:w="2214" w:type="dxa"/>
          </w:tcPr>
          <w:p w14:paraId="12D4F7E5" w14:textId="4C8A4C83"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NSG Misconfiguration</w:t>
            </w:r>
          </w:p>
        </w:tc>
        <w:tc>
          <w:tcPr>
            <w:tcW w:w="2214" w:type="dxa"/>
          </w:tcPr>
          <w:p w14:paraId="0F36D4A6" w14:textId="1BB744DF"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c>
          <w:tcPr>
            <w:tcW w:w="2214" w:type="dxa"/>
          </w:tcPr>
          <w:p w14:paraId="4588B095" w14:textId="7B14F4E8"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c>
          <w:tcPr>
            <w:tcW w:w="2214" w:type="dxa"/>
          </w:tcPr>
          <w:p w14:paraId="27EB1A86" w14:textId="2DF478C4"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r>
      <w:tr w:rsidR="001B1F0C" w:rsidRPr="001B1F0C" w14:paraId="4D786C93" w14:textId="77777777" w:rsidTr="001B1F0C">
        <w:tc>
          <w:tcPr>
            <w:tcW w:w="2214" w:type="dxa"/>
          </w:tcPr>
          <w:p w14:paraId="25F025A0" w14:textId="7E3013C4"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Lack of Segmentation</w:t>
            </w:r>
          </w:p>
        </w:tc>
        <w:tc>
          <w:tcPr>
            <w:tcW w:w="2214" w:type="dxa"/>
          </w:tcPr>
          <w:p w14:paraId="08E0281F" w14:textId="46E112F4"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c>
          <w:tcPr>
            <w:tcW w:w="2214" w:type="dxa"/>
          </w:tcPr>
          <w:p w14:paraId="1A6FE6B2" w14:textId="6AB1E93F"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c>
          <w:tcPr>
            <w:tcW w:w="2214" w:type="dxa"/>
          </w:tcPr>
          <w:p w14:paraId="51F20A0D" w14:textId="2ED2A5F9"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High</w:t>
            </w:r>
          </w:p>
        </w:tc>
      </w:tr>
      <w:tr w:rsidR="001B1F0C" w:rsidRPr="001B1F0C" w14:paraId="41A68F0E" w14:textId="77777777" w:rsidTr="001B1F0C">
        <w:tc>
          <w:tcPr>
            <w:tcW w:w="2214" w:type="dxa"/>
          </w:tcPr>
          <w:p w14:paraId="1FEA2F74" w14:textId="787F81B6"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Weak Monitoring</w:t>
            </w:r>
          </w:p>
        </w:tc>
        <w:tc>
          <w:tcPr>
            <w:tcW w:w="2214" w:type="dxa"/>
          </w:tcPr>
          <w:p w14:paraId="762B25C4" w14:textId="274D0773"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c>
          <w:tcPr>
            <w:tcW w:w="2214" w:type="dxa"/>
          </w:tcPr>
          <w:p w14:paraId="7054CBFB" w14:textId="5A6D442D"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c>
          <w:tcPr>
            <w:tcW w:w="2214" w:type="dxa"/>
          </w:tcPr>
          <w:p w14:paraId="00225F16" w14:textId="438DF3BB"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Medium</w:t>
            </w:r>
          </w:p>
        </w:tc>
      </w:tr>
    </w:tbl>
    <w:p w14:paraId="1CBD05C0" w14:textId="77777777" w:rsidR="001B1F0C" w:rsidRPr="001B1F0C" w:rsidRDefault="001B1F0C" w:rsidP="001B1F0C">
      <w:pPr>
        <w:rPr>
          <w:rFonts w:asciiTheme="majorHAnsi" w:hAnsiTheme="majorHAnsi" w:cstheme="majorHAnsi"/>
        </w:rPr>
      </w:pPr>
    </w:p>
    <w:p w14:paraId="0E17FD00" w14:textId="1F237190"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Proposed Secure Cloud Architecture</w:t>
      </w:r>
    </w:p>
    <w:p w14:paraId="495363AB" w14:textId="77777777" w:rsidR="001B1F0C" w:rsidRPr="001B1F0C" w:rsidRDefault="001B1F0C" w:rsidP="001B1F0C">
      <w:pPr>
        <w:pStyle w:val="ListParagraph"/>
        <w:rPr>
          <w:rFonts w:asciiTheme="majorHAnsi" w:hAnsiTheme="majorHAnsi" w:cstheme="majorHAnsi"/>
        </w:rPr>
      </w:pPr>
    </w:p>
    <w:p w14:paraId="5571272F"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 xml:space="preserve">The suggested design adheres to the </w:t>
      </w:r>
      <w:proofErr w:type="spellStart"/>
      <w:r w:rsidRPr="00DB241F">
        <w:rPr>
          <w:rFonts w:asciiTheme="majorHAnsi" w:hAnsiTheme="majorHAnsi" w:cstheme="majorHAnsi"/>
          <w:sz w:val="24"/>
          <w:szCs w:val="24"/>
          <w:lang w:val="en-AU"/>
        </w:rPr>
        <w:t>Defense</w:t>
      </w:r>
      <w:proofErr w:type="spellEnd"/>
      <w:r w:rsidRPr="00DB241F">
        <w:rPr>
          <w:rFonts w:asciiTheme="majorHAnsi" w:hAnsiTheme="majorHAnsi" w:cstheme="majorHAnsi"/>
          <w:sz w:val="24"/>
          <w:szCs w:val="24"/>
          <w:lang w:val="en-AU"/>
        </w:rPr>
        <w:t xml:space="preserve">-in-Depth and Zero Trust tenets. MFA, RBAC, segmented </w:t>
      </w:r>
      <w:proofErr w:type="spellStart"/>
      <w:r w:rsidRPr="00DB241F">
        <w:rPr>
          <w:rFonts w:asciiTheme="majorHAnsi" w:hAnsiTheme="majorHAnsi" w:cstheme="majorHAnsi"/>
          <w:sz w:val="24"/>
          <w:szCs w:val="24"/>
          <w:lang w:val="en-AU"/>
        </w:rPr>
        <w:t>VNets</w:t>
      </w:r>
      <w:proofErr w:type="spellEnd"/>
      <w:r w:rsidRPr="00DB241F">
        <w:rPr>
          <w:rFonts w:asciiTheme="majorHAnsi" w:hAnsiTheme="majorHAnsi" w:cstheme="majorHAnsi"/>
          <w:sz w:val="24"/>
          <w:szCs w:val="24"/>
          <w:lang w:val="en-AU"/>
        </w:rPr>
        <w:t>, private endpoints, and ongoing monitoring are all part of it.</w:t>
      </w:r>
    </w:p>
    <w:p w14:paraId="5C6B14CA" w14:textId="1034D54E" w:rsidR="000B3E1B" w:rsidRPr="001B1F0C" w:rsidRDefault="001B1F0C">
      <w:pPr>
        <w:rPr>
          <w:rFonts w:asciiTheme="majorHAnsi" w:hAnsiTheme="majorHAnsi" w:cstheme="majorHAnsi"/>
        </w:rPr>
      </w:pPr>
      <w:r w:rsidRPr="001B1F0C">
        <w:rPr>
          <w:rFonts w:asciiTheme="majorHAnsi" w:hAnsiTheme="majorHAnsi" w:cstheme="majorHAnsi"/>
          <w:noProof/>
        </w:rPr>
        <w:drawing>
          <wp:inline distT="0" distB="0" distL="0" distR="0" wp14:anchorId="55E7C0D7" wp14:editId="5E19F8EA">
            <wp:extent cx="5486400" cy="4102100"/>
            <wp:effectExtent l="0" t="0" r="0" b="0"/>
            <wp:docPr id="4563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957" name="Picture 45637957"/>
                    <pic:cNvPicPr/>
                  </pic:nvPicPr>
                  <pic:blipFill>
                    <a:blip r:embed="rId7"/>
                    <a:stretch>
                      <a:fillRect/>
                    </a:stretch>
                  </pic:blipFill>
                  <pic:spPr>
                    <a:xfrm>
                      <a:off x="0" y="0"/>
                      <a:ext cx="5486400" cy="4102100"/>
                    </a:xfrm>
                    <a:prstGeom prst="rect">
                      <a:avLst/>
                    </a:prstGeom>
                  </pic:spPr>
                </pic:pic>
              </a:graphicData>
            </a:graphic>
          </wp:inline>
        </w:drawing>
      </w:r>
    </w:p>
    <w:p w14:paraId="13097E20" w14:textId="77777777" w:rsidR="000B3E1B" w:rsidRPr="001B1F0C" w:rsidRDefault="00000000">
      <w:pPr>
        <w:rPr>
          <w:rFonts w:asciiTheme="majorHAnsi" w:hAnsiTheme="majorHAnsi" w:cstheme="majorHAnsi"/>
          <w:sz w:val="24"/>
          <w:szCs w:val="24"/>
        </w:rPr>
      </w:pPr>
      <w:r w:rsidRPr="001B1F0C">
        <w:rPr>
          <w:rFonts w:asciiTheme="majorHAnsi" w:hAnsiTheme="majorHAnsi" w:cstheme="majorHAnsi"/>
          <w:sz w:val="24"/>
          <w:szCs w:val="24"/>
        </w:rPr>
        <w:t>Figure 2: Proposed Secure Cloud Architecture</w:t>
      </w:r>
    </w:p>
    <w:p w14:paraId="6E3844F3" w14:textId="77777777" w:rsidR="000B3E1B" w:rsidRPr="001B1F0C" w:rsidRDefault="00000000">
      <w:pPr>
        <w:pStyle w:val="Heading2"/>
        <w:rPr>
          <w:rFonts w:cstheme="majorHAnsi"/>
          <w:color w:val="000000" w:themeColor="text1"/>
          <w:sz w:val="28"/>
          <w:szCs w:val="28"/>
        </w:rPr>
      </w:pPr>
      <w:r w:rsidRPr="001B1F0C">
        <w:rPr>
          <w:rFonts w:cstheme="majorHAnsi"/>
          <w:color w:val="000000" w:themeColor="text1"/>
          <w:sz w:val="28"/>
          <w:szCs w:val="28"/>
        </w:rPr>
        <w:t>Table 2: Security Controls Mapping</w:t>
      </w:r>
    </w:p>
    <w:p w14:paraId="6F8A1AC5" w14:textId="77777777" w:rsidR="001B1F0C" w:rsidRPr="001B1F0C" w:rsidRDefault="001B1F0C" w:rsidP="001B1F0C">
      <w:pPr>
        <w:rPr>
          <w:rFonts w:asciiTheme="majorHAnsi" w:hAnsiTheme="majorHAnsi" w:cstheme="majorHAnsi"/>
        </w:rPr>
      </w:pPr>
    </w:p>
    <w:tbl>
      <w:tblPr>
        <w:tblStyle w:val="TableGrid"/>
        <w:tblW w:w="0" w:type="auto"/>
        <w:tblLook w:val="04A0" w:firstRow="1" w:lastRow="0" w:firstColumn="1" w:lastColumn="0" w:noHBand="0" w:noVBand="1"/>
      </w:tblPr>
      <w:tblGrid>
        <w:gridCol w:w="2952"/>
        <w:gridCol w:w="2952"/>
        <w:gridCol w:w="2952"/>
      </w:tblGrid>
      <w:tr w:rsidR="001B1F0C" w:rsidRPr="001B1F0C" w14:paraId="1C03841B" w14:textId="77777777" w:rsidTr="001B1F0C">
        <w:tc>
          <w:tcPr>
            <w:tcW w:w="2952" w:type="dxa"/>
          </w:tcPr>
          <w:p w14:paraId="06CDC3F6" w14:textId="0567B0AD"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Control Area</w:t>
            </w:r>
          </w:p>
        </w:tc>
        <w:tc>
          <w:tcPr>
            <w:tcW w:w="2952" w:type="dxa"/>
          </w:tcPr>
          <w:p w14:paraId="1EE3793B" w14:textId="44B0239F"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Recommendation</w:t>
            </w:r>
          </w:p>
        </w:tc>
        <w:tc>
          <w:tcPr>
            <w:tcW w:w="2952" w:type="dxa"/>
          </w:tcPr>
          <w:p w14:paraId="17AE7D24" w14:textId="6F16DE46"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Framework Mapping</w:t>
            </w:r>
          </w:p>
        </w:tc>
      </w:tr>
      <w:tr w:rsidR="001B1F0C" w:rsidRPr="001B1F0C" w14:paraId="126DD054" w14:textId="77777777" w:rsidTr="001B1F0C">
        <w:tc>
          <w:tcPr>
            <w:tcW w:w="2952" w:type="dxa"/>
          </w:tcPr>
          <w:p w14:paraId="4DEFB1DC" w14:textId="53B06976"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lastRenderedPageBreak/>
              <w:t>Identity Security</w:t>
            </w:r>
          </w:p>
        </w:tc>
        <w:tc>
          <w:tcPr>
            <w:tcW w:w="2952" w:type="dxa"/>
          </w:tcPr>
          <w:p w14:paraId="7F872BA5" w14:textId="2791F374"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MFA + RBAC</w:t>
            </w:r>
          </w:p>
        </w:tc>
        <w:tc>
          <w:tcPr>
            <w:tcW w:w="2952" w:type="dxa"/>
          </w:tcPr>
          <w:p w14:paraId="7FA25A44" w14:textId="158F077C"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NIST IA-2 / ISM</w:t>
            </w:r>
          </w:p>
        </w:tc>
      </w:tr>
      <w:tr w:rsidR="001B1F0C" w:rsidRPr="001B1F0C" w14:paraId="0AD192E0" w14:textId="77777777" w:rsidTr="001B1F0C">
        <w:tc>
          <w:tcPr>
            <w:tcW w:w="2952" w:type="dxa"/>
          </w:tcPr>
          <w:p w14:paraId="19DDD01A" w14:textId="7ED16BD3"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Data Protection</w:t>
            </w:r>
          </w:p>
        </w:tc>
        <w:tc>
          <w:tcPr>
            <w:tcW w:w="2952" w:type="dxa"/>
          </w:tcPr>
          <w:p w14:paraId="6D854804" w14:textId="21878700"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Encryption + Private Access</w:t>
            </w:r>
          </w:p>
        </w:tc>
        <w:tc>
          <w:tcPr>
            <w:tcW w:w="2952" w:type="dxa"/>
          </w:tcPr>
          <w:p w14:paraId="2D28A1BD" w14:textId="285D2D16"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NIST SC-28 / ISM</w:t>
            </w:r>
          </w:p>
        </w:tc>
      </w:tr>
      <w:tr w:rsidR="001B1F0C" w:rsidRPr="001B1F0C" w14:paraId="6EF41EE9" w14:textId="77777777" w:rsidTr="001B1F0C">
        <w:tc>
          <w:tcPr>
            <w:tcW w:w="2952" w:type="dxa"/>
          </w:tcPr>
          <w:p w14:paraId="24FC4C3B" w14:textId="26330753"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Network Security</w:t>
            </w:r>
          </w:p>
        </w:tc>
        <w:tc>
          <w:tcPr>
            <w:tcW w:w="2952" w:type="dxa"/>
          </w:tcPr>
          <w:p w14:paraId="7E053764" w14:textId="35C12073"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Restrict NSGs</w:t>
            </w:r>
          </w:p>
        </w:tc>
        <w:tc>
          <w:tcPr>
            <w:tcW w:w="2952" w:type="dxa"/>
          </w:tcPr>
          <w:p w14:paraId="292AEDDE" w14:textId="4D70B436"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NIST AC-4 / ISM</w:t>
            </w:r>
          </w:p>
        </w:tc>
      </w:tr>
      <w:tr w:rsidR="001B1F0C" w:rsidRPr="001B1F0C" w14:paraId="3CA1C980" w14:textId="77777777" w:rsidTr="001B1F0C">
        <w:tc>
          <w:tcPr>
            <w:tcW w:w="2952" w:type="dxa"/>
          </w:tcPr>
          <w:p w14:paraId="2652B281" w14:textId="12E7BA53"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Monitoring</w:t>
            </w:r>
          </w:p>
        </w:tc>
        <w:tc>
          <w:tcPr>
            <w:tcW w:w="2952" w:type="dxa"/>
          </w:tcPr>
          <w:p w14:paraId="4D96BB08" w14:textId="7239A779"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Azure Defender</w:t>
            </w:r>
          </w:p>
        </w:tc>
        <w:tc>
          <w:tcPr>
            <w:tcW w:w="2952" w:type="dxa"/>
          </w:tcPr>
          <w:p w14:paraId="2A91F647" w14:textId="194F9797" w:rsidR="001B1F0C" w:rsidRPr="001B1F0C" w:rsidRDefault="001B1F0C" w:rsidP="001B1F0C">
            <w:pPr>
              <w:rPr>
                <w:rFonts w:asciiTheme="majorHAnsi" w:hAnsiTheme="majorHAnsi" w:cstheme="majorHAnsi"/>
                <w:sz w:val="24"/>
                <w:szCs w:val="24"/>
              </w:rPr>
            </w:pPr>
            <w:r w:rsidRPr="001B1F0C">
              <w:rPr>
                <w:rFonts w:asciiTheme="majorHAnsi" w:hAnsiTheme="majorHAnsi" w:cstheme="majorHAnsi"/>
                <w:sz w:val="24"/>
                <w:szCs w:val="24"/>
              </w:rPr>
              <w:t>NIST SI-4 / ISM</w:t>
            </w:r>
          </w:p>
        </w:tc>
      </w:tr>
    </w:tbl>
    <w:p w14:paraId="32DB3821" w14:textId="77777777" w:rsidR="001B1F0C" w:rsidRPr="001B1F0C" w:rsidRDefault="001B1F0C" w:rsidP="001B1F0C">
      <w:pPr>
        <w:rPr>
          <w:rFonts w:asciiTheme="majorHAnsi" w:hAnsiTheme="majorHAnsi" w:cstheme="majorHAnsi"/>
        </w:rPr>
      </w:pPr>
    </w:p>
    <w:p w14:paraId="3B29108C" w14:textId="1F45A5EE"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Benefits of Proposed Architecture</w:t>
      </w:r>
    </w:p>
    <w:p w14:paraId="12108832" w14:textId="77777777" w:rsidR="001B1F0C" w:rsidRPr="001B1F0C" w:rsidRDefault="001B1F0C" w:rsidP="001B1F0C">
      <w:pPr>
        <w:pStyle w:val="ListParagraph"/>
        <w:rPr>
          <w:rFonts w:asciiTheme="majorHAnsi" w:hAnsiTheme="majorHAnsi" w:cstheme="majorHAnsi"/>
        </w:rPr>
      </w:pPr>
    </w:p>
    <w:p w14:paraId="62E3F940" w14:textId="77777777" w:rsidR="00DB241F" w:rsidRPr="00DB241F" w:rsidRDefault="00DB241F" w:rsidP="00DB241F">
      <w:pPr>
        <w:pStyle w:val="Heading1"/>
        <w:rPr>
          <w:rFonts w:cstheme="majorHAnsi"/>
          <w:b w:val="0"/>
          <w:bCs w:val="0"/>
          <w:color w:val="000000" w:themeColor="text1"/>
          <w:sz w:val="24"/>
          <w:szCs w:val="24"/>
          <w:lang w:val="en-AU"/>
        </w:rPr>
      </w:pPr>
      <w:r w:rsidRPr="00DB241F">
        <w:rPr>
          <w:rFonts w:cstheme="majorHAnsi"/>
          <w:b w:val="0"/>
          <w:bCs w:val="0"/>
          <w:color w:val="000000" w:themeColor="text1"/>
          <w:sz w:val="24"/>
          <w:szCs w:val="24"/>
          <w:lang w:val="en-AU"/>
        </w:rPr>
        <w:t>The enhanced architecture facilitates quicker threat detection, improves data security, lowers the attack surface, and increases compliance.</w:t>
      </w:r>
    </w:p>
    <w:p w14:paraId="2DFD4F76" w14:textId="03E25EE0"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Compliance Considerations</w:t>
      </w:r>
    </w:p>
    <w:p w14:paraId="645AA114" w14:textId="77777777" w:rsidR="001B1F0C" w:rsidRPr="001B1F0C" w:rsidRDefault="001B1F0C" w:rsidP="001B1F0C">
      <w:pPr>
        <w:pStyle w:val="ListParagraph"/>
        <w:rPr>
          <w:rFonts w:asciiTheme="majorHAnsi" w:hAnsiTheme="majorHAnsi" w:cstheme="majorHAnsi"/>
        </w:rPr>
      </w:pPr>
    </w:p>
    <w:p w14:paraId="71C8DB56" w14:textId="77777777" w:rsidR="00DB241F" w:rsidRPr="00DB241F" w:rsidRDefault="00DB241F" w:rsidP="00DB241F">
      <w:pPr>
        <w:spacing w:after="0" w:line="240" w:lineRule="auto"/>
        <w:rPr>
          <w:rFonts w:ascii="Calibri" w:eastAsia="Times New Roman" w:hAnsi="Calibri" w:cs="Calibri"/>
          <w:sz w:val="24"/>
          <w:szCs w:val="24"/>
          <w:lang w:val="en-AU" w:eastAsia="en-AU"/>
        </w:rPr>
      </w:pPr>
      <w:r w:rsidRPr="00DB241F">
        <w:rPr>
          <w:rFonts w:ascii="Calibri" w:eastAsia="Times New Roman" w:hAnsi="Calibri" w:cs="Calibri"/>
          <w:sz w:val="24"/>
          <w:szCs w:val="24"/>
          <w:lang w:val="en-AU" w:eastAsia="en-AU"/>
        </w:rPr>
        <w:t>Compliant with Australian ISM, NIST SP 800-53, the Privacy Act of 1988, and the My Health Records Act of 2012.</w:t>
      </w:r>
    </w:p>
    <w:p w14:paraId="0D0A276A" w14:textId="3A454B78" w:rsidR="000B3E1B" w:rsidRPr="001B1F0C" w:rsidRDefault="00000000" w:rsidP="001B1F0C">
      <w:pPr>
        <w:pStyle w:val="Heading1"/>
        <w:numPr>
          <w:ilvl w:val="0"/>
          <w:numId w:val="10"/>
        </w:numPr>
        <w:rPr>
          <w:rFonts w:cstheme="majorHAnsi"/>
          <w:color w:val="000000" w:themeColor="text1"/>
        </w:rPr>
      </w:pPr>
      <w:r w:rsidRPr="001B1F0C">
        <w:rPr>
          <w:rFonts w:cstheme="majorHAnsi"/>
          <w:color w:val="000000" w:themeColor="text1"/>
        </w:rPr>
        <w:t>Conclusio</w:t>
      </w:r>
      <w:r w:rsidR="001B1F0C" w:rsidRPr="001B1F0C">
        <w:rPr>
          <w:rFonts w:cstheme="majorHAnsi"/>
          <w:color w:val="000000" w:themeColor="text1"/>
        </w:rPr>
        <w:t>n</w:t>
      </w:r>
    </w:p>
    <w:p w14:paraId="75C58663" w14:textId="77777777" w:rsidR="00DB241F" w:rsidRDefault="00DB241F" w:rsidP="00DB241F">
      <w:pPr>
        <w:spacing w:after="0" w:line="240" w:lineRule="auto"/>
        <w:ind w:left="360"/>
        <w:rPr>
          <w:rFonts w:asciiTheme="majorHAnsi" w:eastAsia="Times New Roman" w:hAnsiTheme="majorHAnsi" w:cstheme="majorHAnsi"/>
          <w:sz w:val="24"/>
          <w:szCs w:val="24"/>
          <w:lang w:val="en-AU" w:eastAsia="en-AU"/>
        </w:rPr>
      </w:pPr>
    </w:p>
    <w:p w14:paraId="2C0D5211" w14:textId="598F9EA2" w:rsidR="00DB241F" w:rsidRDefault="00DB241F" w:rsidP="00DB241F">
      <w:pPr>
        <w:spacing w:after="0" w:line="240" w:lineRule="auto"/>
        <w:ind w:left="360"/>
        <w:rPr>
          <w:rFonts w:asciiTheme="majorHAnsi" w:eastAsia="Times New Roman" w:hAnsiTheme="majorHAnsi" w:cstheme="majorHAnsi"/>
          <w:sz w:val="24"/>
          <w:szCs w:val="24"/>
          <w:lang w:val="en-AU" w:eastAsia="en-AU"/>
        </w:rPr>
      </w:pPr>
      <w:r w:rsidRPr="00DB241F">
        <w:rPr>
          <w:rFonts w:asciiTheme="majorHAnsi" w:eastAsia="Times New Roman" w:hAnsiTheme="majorHAnsi" w:cstheme="majorHAnsi"/>
          <w:sz w:val="24"/>
          <w:szCs w:val="24"/>
          <w:lang w:val="en-AU" w:eastAsia="en-AU"/>
        </w:rPr>
        <w:t>There are significant flaws in the current architecture. Security posture and compliance readiness will be greatly enhanced by putting the suggested model into practice.</w:t>
      </w:r>
    </w:p>
    <w:p w14:paraId="5C51536F" w14:textId="77777777" w:rsidR="00DB241F" w:rsidRPr="00DB241F" w:rsidRDefault="00DB241F" w:rsidP="00DB241F">
      <w:pPr>
        <w:spacing w:after="0" w:line="240" w:lineRule="auto"/>
        <w:ind w:left="360"/>
        <w:rPr>
          <w:rFonts w:asciiTheme="majorHAnsi" w:eastAsia="Times New Roman" w:hAnsiTheme="majorHAnsi" w:cstheme="majorHAnsi"/>
          <w:sz w:val="24"/>
          <w:szCs w:val="24"/>
          <w:lang w:val="en-AU" w:eastAsia="en-AU"/>
        </w:rPr>
      </w:pPr>
    </w:p>
    <w:p w14:paraId="30911BF6" w14:textId="25E763B2" w:rsidR="001B1F0C" w:rsidRPr="001B1F0C" w:rsidRDefault="001B1F0C" w:rsidP="001B1F0C">
      <w:pPr>
        <w:pStyle w:val="ListParagraph"/>
        <w:numPr>
          <w:ilvl w:val="0"/>
          <w:numId w:val="10"/>
        </w:numPr>
        <w:rPr>
          <w:rFonts w:asciiTheme="majorHAnsi" w:hAnsiTheme="majorHAnsi" w:cstheme="majorHAnsi"/>
          <w:b/>
          <w:bCs/>
          <w:sz w:val="28"/>
          <w:szCs w:val="28"/>
        </w:rPr>
      </w:pPr>
      <w:r w:rsidRPr="001B1F0C">
        <w:rPr>
          <w:rFonts w:asciiTheme="majorHAnsi" w:hAnsiTheme="majorHAnsi" w:cstheme="majorHAnsi"/>
          <w:b/>
          <w:bCs/>
          <w:sz w:val="28"/>
          <w:szCs w:val="28"/>
        </w:rPr>
        <w:t>Evidence and Supporting Findings</w:t>
      </w:r>
    </w:p>
    <w:p w14:paraId="382CB34D" w14:textId="77777777" w:rsidR="001B1F0C" w:rsidRPr="001B1F0C" w:rsidRDefault="001B1F0C" w:rsidP="001B1F0C">
      <w:pPr>
        <w:pStyle w:val="ListParagraph"/>
        <w:rPr>
          <w:rFonts w:asciiTheme="majorHAnsi" w:hAnsiTheme="majorHAnsi" w:cstheme="majorHAnsi"/>
          <w:b/>
          <w:bCs/>
          <w:sz w:val="28"/>
          <w:szCs w:val="28"/>
        </w:rPr>
      </w:pPr>
    </w:p>
    <w:p w14:paraId="49EA78CB" w14:textId="0DC2AB0D" w:rsidR="001B1F0C" w:rsidRPr="001B1F0C" w:rsidRDefault="001B1F0C" w:rsidP="001B1F0C">
      <w:pPr>
        <w:rPr>
          <w:rFonts w:asciiTheme="majorHAnsi" w:hAnsiTheme="majorHAnsi" w:cstheme="majorHAnsi"/>
          <w:b/>
          <w:bCs/>
        </w:rPr>
      </w:pPr>
      <w:r w:rsidRPr="001B1F0C">
        <w:rPr>
          <w:rFonts w:asciiTheme="majorHAnsi" w:hAnsiTheme="majorHAnsi" w:cstheme="majorHAnsi"/>
          <w:b/>
          <w:bCs/>
        </w:rPr>
        <w:t>Identity and Access Evidence</w:t>
      </w:r>
    </w:p>
    <w:p w14:paraId="299773C6"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Accounts in Azure Active Directory were found to lack Multi-Factor Authentication (MFA). Excessive permissions were granted without Role-Based Access Control (RBAC), and inactive user accounts continued to be active. Evidence Type: Azure AD configuration evaluation.</w:t>
      </w:r>
    </w:p>
    <w:p w14:paraId="135C0310" w14:textId="0028BADD" w:rsidR="001B1F0C" w:rsidRPr="001B1F0C" w:rsidRDefault="001B1F0C" w:rsidP="001B1F0C">
      <w:pPr>
        <w:rPr>
          <w:rFonts w:asciiTheme="majorHAnsi" w:hAnsiTheme="majorHAnsi" w:cstheme="majorHAnsi"/>
          <w:b/>
          <w:bCs/>
          <w:sz w:val="24"/>
          <w:szCs w:val="24"/>
        </w:rPr>
      </w:pPr>
      <w:r w:rsidRPr="001B1F0C">
        <w:rPr>
          <w:rFonts w:asciiTheme="majorHAnsi" w:hAnsiTheme="majorHAnsi" w:cstheme="majorHAnsi"/>
          <w:b/>
          <w:bCs/>
          <w:sz w:val="24"/>
          <w:szCs w:val="24"/>
        </w:rPr>
        <w:t>Storage Security Evidence</w:t>
      </w:r>
    </w:p>
    <w:p w14:paraId="7DBEE080"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Sensitive information was exposed because Azure Blob Storage containers were set up with public access enabled. There was inconsistent application of encryption policies. Storage configuration analysis is the type of evidence.</w:t>
      </w:r>
    </w:p>
    <w:p w14:paraId="0B749BEC" w14:textId="3595590C" w:rsidR="001B1F0C" w:rsidRPr="001B1F0C" w:rsidRDefault="001B1F0C" w:rsidP="001B1F0C">
      <w:pPr>
        <w:rPr>
          <w:rFonts w:asciiTheme="majorHAnsi" w:hAnsiTheme="majorHAnsi" w:cstheme="majorHAnsi"/>
          <w:b/>
          <w:bCs/>
          <w:sz w:val="24"/>
          <w:szCs w:val="24"/>
        </w:rPr>
      </w:pPr>
      <w:r w:rsidRPr="001B1F0C">
        <w:rPr>
          <w:rFonts w:asciiTheme="majorHAnsi" w:hAnsiTheme="majorHAnsi" w:cstheme="majorHAnsi"/>
          <w:b/>
          <w:bCs/>
          <w:sz w:val="24"/>
          <w:szCs w:val="24"/>
        </w:rPr>
        <w:lastRenderedPageBreak/>
        <w:t>Network Security Evidence</w:t>
      </w:r>
    </w:p>
    <w:p w14:paraId="17976FDB"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Critical ports like RDP and SSH were open, and Network Security Groups (NSGs) permitted uncontrolled inbound traffic (0.0.0.0/0). NSG and firewall rule inspection are examples of evidence.</w:t>
      </w:r>
    </w:p>
    <w:p w14:paraId="56CBD7C6" w14:textId="3D85F402" w:rsidR="001B1F0C" w:rsidRPr="001B1F0C" w:rsidRDefault="001B1F0C" w:rsidP="001B1F0C">
      <w:pPr>
        <w:rPr>
          <w:rFonts w:asciiTheme="majorHAnsi" w:hAnsiTheme="majorHAnsi" w:cstheme="majorHAnsi"/>
          <w:b/>
          <w:bCs/>
          <w:sz w:val="24"/>
          <w:szCs w:val="24"/>
        </w:rPr>
      </w:pPr>
      <w:r w:rsidRPr="001B1F0C">
        <w:rPr>
          <w:rFonts w:asciiTheme="majorHAnsi" w:hAnsiTheme="majorHAnsi" w:cstheme="majorHAnsi"/>
          <w:b/>
          <w:bCs/>
          <w:sz w:val="24"/>
          <w:szCs w:val="24"/>
        </w:rPr>
        <w:t>Network Architecture Evidence</w:t>
      </w:r>
    </w:p>
    <w:p w14:paraId="74420C05"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The application, database, and user layers were not divided. The hybrid cloud connection was not properly isolated. Type of Evidence: Diagram analysis and architecture evaluation.</w:t>
      </w:r>
    </w:p>
    <w:p w14:paraId="563E35F2" w14:textId="56EEC000" w:rsidR="001B1F0C" w:rsidRPr="001B1F0C" w:rsidRDefault="001B1F0C" w:rsidP="001B1F0C">
      <w:pPr>
        <w:rPr>
          <w:rFonts w:asciiTheme="majorHAnsi" w:hAnsiTheme="majorHAnsi" w:cstheme="majorHAnsi"/>
          <w:b/>
          <w:bCs/>
          <w:sz w:val="24"/>
          <w:szCs w:val="24"/>
        </w:rPr>
      </w:pPr>
      <w:r w:rsidRPr="001B1F0C">
        <w:rPr>
          <w:rFonts w:asciiTheme="majorHAnsi" w:hAnsiTheme="majorHAnsi" w:cstheme="majorHAnsi"/>
          <w:b/>
          <w:bCs/>
          <w:sz w:val="24"/>
          <w:szCs w:val="24"/>
        </w:rPr>
        <w:t>Monitoring and Logging Evidence</w:t>
      </w:r>
    </w:p>
    <w:p w14:paraId="06E4BC7B" w14:textId="77777777" w:rsidR="00DB241F" w:rsidRPr="00DB241F" w:rsidRDefault="00DB241F" w:rsidP="00DB241F">
      <w:pPr>
        <w:rPr>
          <w:rFonts w:asciiTheme="majorHAnsi" w:hAnsiTheme="majorHAnsi" w:cstheme="majorHAnsi"/>
          <w:sz w:val="24"/>
          <w:szCs w:val="24"/>
          <w:lang w:val="en-AU"/>
        </w:rPr>
      </w:pPr>
      <w:r w:rsidRPr="00DB241F">
        <w:rPr>
          <w:rFonts w:asciiTheme="majorHAnsi" w:hAnsiTheme="majorHAnsi" w:cstheme="majorHAnsi"/>
          <w:sz w:val="24"/>
          <w:szCs w:val="24"/>
          <w:lang w:val="en-AU"/>
        </w:rPr>
        <w:t xml:space="preserve">Defender and Azure Monitor were not properly set up. There was no system in place for centralized logging or alerts. Monitoring configuration review is the type of evidence. </w:t>
      </w:r>
      <w:r w:rsidRPr="00DB241F">
        <w:rPr>
          <w:rFonts w:asciiTheme="majorHAnsi" w:hAnsiTheme="majorHAnsi" w:cstheme="majorHAnsi"/>
          <w:sz w:val="24"/>
          <w:szCs w:val="24"/>
          <w:lang w:val="en-AU"/>
        </w:rPr>
        <w:br/>
        <w:t>Every piece of evidence came from an investigation of a simulated environment and was consistent with actual Azure security audit procedures.</w:t>
      </w:r>
    </w:p>
    <w:p w14:paraId="79598E4A" w14:textId="77777777" w:rsidR="001B1F0C" w:rsidRPr="001B1F0C" w:rsidRDefault="001B1F0C">
      <w:pPr>
        <w:rPr>
          <w:rFonts w:asciiTheme="majorHAnsi" w:hAnsiTheme="majorHAnsi" w:cstheme="majorHAnsi"/>
        </w:rPr>
      </w:pPr>
    </w:p>
    <w:sectPr w:rsidR="001B1F0C" w:rsidRPr="001B1F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5470F5"/>
    <w:multiLevelType w:val="hybridMultilevel"/>
    <w:tmpl w:val="342498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64032389">
    <w:abstractNumId w:val="8"/>
  </w:num>
  <w:num w:numId="2" w16cid:durableId="1685672479">
    <w:abstractNumId w:val="6"/>
  </w:num>
  <w:num w:numId="3" w16cid:durableId="581069647">
    <w:abstractNumId w:val="5"/>
  </w:num>
  <w:num w:numId="4" w16cid:durableId="1135872983">
    <w:abstractNumId w:val="4"/>
  </w:num>
  <w:num w:numId="5" w16cid:durableId="835462610">
    <w:abstractNumId w:val="7"/>
  </w:num>
  <w:num w:numId="6" w16cid:durableId="701440832">
    <w:abstractNumId w:val="3"/>
  </w:num>
  <w:num w:numId="7" w16cid:durableId="1423454942">
    <w:abstractNumId w:val="2"/>
  </w:num>
  <w:num w:numId="8" w16cid:durableId="1114133834">
    <w:abstractNumId w:val="1"/>
  </w:num>
  <w:num w:numId="9" w16cid:durableId="1965623162">
    <w:abstractNumId w:val="0"/>
  </w:num>
  <w:num w:numId="10" w16cid:durableId="985670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7B"/>
    <w:rsid w:val="0006063C"/>
    <w:rsid w:val="00065DCF"/>
    <w:rsid w:val="000B3E1B"/>
    <w:rsid w:val="0015074B"/>
    <w:rsid w:val="001B1F0C"/>
    <w:rsid w:val="0029639D"/>
    <w:rsid w:val="00326F90"/>
    <w:rsid w:val="00AA1D8D"/>
    <w:rsid w:val="00B47730"/>
    <w:rsid w:val="00CB0664"/>
    <w:rsid w:val="00DB2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9D0BE"/>
  <w14:defaultImageDpi w14:val="300"/>
  <w15:docId w15:val="{B73105E9-C86C-4CDE-BC7F-6A6B5BE9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642</Words>
  <Characters>4091</Characters>
  <Application>Microsoft Office Word</Application>
  <DocSecurity>0</DocSecurity>
  <Lines>141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Durlabhbhai Patel</cp:lastModifiedBy>
  <cp:revision>3</cp:revision>
  <dcterms:created xsi:type="dcterms:W3CDTF">2013-12-23T23:15:00Z</dcterms:created>
  <dcterms:modified xsi:type="dcterms:W3CDTF">2026-04-15T10:52:00Z</dcterms:modified>
  <cp:category/>
</cp:coreProperties>
</file>